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38CF84D" w:rsidR="00DF1E92" w:rsidRDefault="00000000">
            <w:pPr>
              <w:pStyle w:val="DocNumber"/>
              <w:rPr>
                <w:color w:val="auto"/>
              </w:rPr>
            </w:pPr>
            <w:r>
              <w:t>EA-BFPCL-GGPL-FEED-</w:t>
            </w:r>
            <w:r w:rsidR="00242E9A">
              <w:t>GEN-</w:t>
            </w:r>
            <w:r w:rsidR="00CE27B8">
              <w:t>PHY-</w:t>
            </w:r>
            <w:r>
              <w:t>00</w:t>
            </w:r>
            <w:r w:rsidR="00ED3950">
              <w:t>6</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6BC4CF94"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GGPL-FEED-GEN-PHY-00</w:t>
            </w:r>
            <w:r w:rsidR="00ED3950">
              <w:rPr>
                <w:rFonts w:ascii="Futura Std Book" w:hAnsi="Futura Std Book"/>
                <w:sz w:val="20"/>
              </w:rPr>
              <w:t>6</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19BB6DE2" w14:textId="77777777" w:rsidR="00680310" w:rsidRPr="00B412F4" w:rsidRDefault="00680310" w:rsidP="00680310">
            <w:pPr>
              <w:tabs>
                <w:tab w:val="left" w:pos="1418"/>
              </w:tabs>
              <w:suppressAutoHyphens/>
              <w:spacing w:before="120" w:after="120" w:line="240" w:lineRule="auto"/>
              <w:rPr>
                <w:rFonts w:ascii="Futura Std Book" w:hAnsi="Futura Std Book" w:cs="Arial"/>
                <w:bCs/>
                <w:color w:val="3333FF"/>
                <w:sz w:val="22"/>
                <w:szCs w:val="22"/>
                <w:lang w:eastAsia="en-CA"/>
              </w:rPr>
            </w:pPr>
            <w:r w:rsidRPr="00B412F4">
              <w:rPr>
                <w:rFonts w:ascii="Futura Std Book" w:hAnsi="Futura Std Book" w:cs="Arial"/>
                <w:bCs/>
                <w:color w:val="3333FF"/>
                <w:sz w:val="22"/>
                <w:szCs w:val="22"/>
                <w:lang w:eastAsia="en-CA"/>
              </w:rPr>
              <w:t>The administration of this document is limited to defining the philosophy and BFPCL/DSV commitment to the Decommissioning and Abandonment (D&amp;A) of the entire 125 km OKNU–BBOU–ELEP–AKAB Gas Gathering Pipeline System and associated infrastructure for the BFPCL Gas Hub / Methanol Plant Project at the end of the asset’s operational life.</w:t>
            </w:r>
          </w:p>
          <w:p w14:paraId="46733332" w14:textId="77777777" w:rsidR="00680310" w:rsidRPr="00B412F4" w:rsidRDefault="00680310" w:rsidP="00B412F4">
            <w:pPr>
              <w:tabs>
                <w:tab w:val="left" w:pos="1418"/>
              </w:tabs>
              <w:suppressAutoHyphens/>
              <w:spacing w:before="120" w:after="120" w:line="240" w:lineRule="auto"/>
              <w:rPr>
                <w:rFonts w:ascii="Futura Std Book" w:hAnsi="Futura Std Book" w:cs="Arial"/>
                <w:bCs/>
                <w:color w:val="3333FF"/>
                <w:sz w:val="22"/>
                <w:szCs w:val="22"/>
                <w:lang w:eastAsia="en-CA"/>
              </w:rPr>
            </w:pPr>
            <w:r w:rsidRPr="00B412F4">
              <w:rPr>
                <w:rFonts w:ascii="Futura Std Book" w:hAnsi="Futura Std Book" w:cs="Arial"/>
                <w:bCs/>
                <w:color w:val="3333FF"/>
                <w:sz w:val="22"/>
                <w:szCs w:val="22"/>
                <w:lang w:eastAsia="en-CA"/>
              </w:rPr>
              <w:t>The pipeline system comprises two interconnected segments: the 85 km OKNU–BBOU upstream pipeline segment, which operates under an independent Gas Sale and Purchase Agreement (GSPA) and maintains a distinct project status; and the 40 km BBOU–ELEP–AKAB downstream pipeline segment, into which the upstream segment injects gas for onward transportation to the BFPCL Gas Hub / Gas Processing Plant (GPP). Although both segments are technically integrated and are expected to undergo decommissioning and abandonment in a broadly similar manner at the end of their service life, they may be structured and executed separately to accommodate independent funding allocations, stakeholder responsibilities, commercial arrangements, and regulatory approval requirements.</w:t>
            </w:r>
          </w:p>
          <w:p w14:paraId="4C7FD291" w14:textId="77777777" w:rsidR="00680310" w:rsidRPr="00B412F4" w:rsidRDefault="00680310" w:rsidP="00B412F4">
            <w:pPr>
              <w:tabs>
                <w:tab w:val="left" w:pos="1418"/>
              </w:tabs>
              <w:suppressAutoHyphens/>
              <w:spacing w:before="120" w:after="120" w:line="240" w:lineRule="auto"/>
              <w:rPr>
                <w:rFonts w:ascii="Futura Std Book" w:hAnsi="Futura Std Book" w:cs="Arial"/>
                <w:bCs/>
                <w:color w:val="3333FF"/>
                <w:sz w:val="22"/>
                <w:szCs w:val="22"/>
                <w:lang w:eastAsia="en-CA"/>
              </w:rPr>
            </w:pPr>
            <w:r w:rsidRPr="00B412F4">
              <w:rPr>
                <w:rFonts w:ascii="Futura Std Book" w:hAnsi="Futura Std Book" w:cs="Arial"/>
                <w:bCs/>
                <w:color w:val="3333FF"/>
                <w:sz w:val="22"/>
                <w:szCs w:val="22"/>
                <w:lang w:eastAsia="en-CA"/>
              </w:rPr>
              <w:t>In addition, there remains a long-term strategic aspiration to transport up to 1 BSCFD of gas through the integrated pipeline network to a proposed 1 BSCFD gas hub at Akabel under a separate future development. However, the final configuration, commercial structure, and implementation philosophy of that future expansion remain subject to further definition and subsequent project development decisions.</w:t>
            </w:r>
          </w:p>
          <w:p w14:paraId="5EBDD080" w14:textId="77777777" w:rsidR="00680310" w:rsidRPr="00B412F4" w:rsidRDefault="00680310" w:rsidP="00B412F4">
            <w:pPr>
              <w:tabs>
                <w:tab w:val="left" w:pos="1418"/>
              </w:tabs>
              <w:suppressAutoHyphens/>
              <w:spacing w:before="120" w:after="120" w:line="240" w:lineRule="auto"/>
              <w:rPr>
                <w:rFonts w:ascii="Futura Std Book" w:hAnsi="Futura Std Book" w:cs="Arial"/>
                <w:bCs/>
                <w:color w:val="3333FF"/>
                <w:sz w:val="22"/>
                <w:szCs w:val="22"/>
                <w:lang w:eastAsia="en-CA"/>
              </w:rPr>
            </w:pPr>
            <w:r w:rsidRPr="00B412F4">
              <w:rPr>
                <w:rFonts w:ascii="Futura Std Book" w:hAnsi="Futura Std Book" w:cs="Arial"/>
                <w:bCs/>
                <w:color w:val="3333FF"/>
                <w:sz w:val="22"/>
                <w:szCs w:val="22"/>
                <w:lang w:eastAsia="en-CA"/>
              </w:rPr>
              <w:t>This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(FMEnv), and the Environmental Guidelines and Standards for the Petroleum Industry in Nigeria (EGASPIN).</w:t>
            </w:r>
          </w:p>
          <w:p w14:paraId="32F4B7CF" w14:textId="77777777" w:rsidR="00680310" w:rsidRPr="00B412F4" w:rsidRDefault="00680310" w:rsidP="00B412F4">
            <w:pPr>
              <w:tabs>
                <w:tab w:val="left" w:pos="1418"/>
              </w:tabs>
              <w:suppressAutoHyphens/>
              <w:spacing w:before="120" w:after="120" w:line="240" w:lineRule="auto"/>
              <w:rPr>
                <w:rFonts w:ascii="Futura Std Book" w:hAnsi="Futura Std Book" w:cs="Arial"/>
                <w:bCs/>
                <w:color w:val="3333FF"/>
                <w:sz w:val="22"/>
                <w:szCs w:val="22"/>
                <w:lang w:eastAsia="en-CA"/>
              </w:rPr>
            </w:pPr>
            <w:r w:rsidRPr="00B412F4">
              <w:rPr>
                <w:rFonts w:ascii="Futura Std Book" w:hAnsi="Futura Std Book" w:cs="Arial"/>
                <w:bCs/>
                <w:color w:val="3333FF"/>
                <w:sz w:val="22"/>
                <w:szCs w:val="22"/>
                <w:lang w:eastAsia="en-CA"/>
              </w:rPr>
              <w:t>While this philosophy document provides the intended framework for the anticipated D&amp;A approach, the eventual execution strategy at the time of decommissioning shall remain adaptable to evolving regulatory requirements, technological advancements, environmental considerations, field conditions, stakeholder expectations, and emerging industry best practices applicable at that time.</w:t>
            </w:r>
          </w:p>
          <w:p w14:paraId="713C5CF5" w14:textId="77777777" w:rsidR="00680310" w:rsidRDefault="00680310" w:rsidP="00B412F4">
            <w:pPr>
              <w:tabs>
                <w:tab w:val="left" w:pos="1418"/>
              </w:tabs>
              <w:suppressAutoHyphens/>
              <w:spacing w:before="120" w:after="120" w:line="240" w:lineRule="auto"/>
              <w:rPr>
                <w:rFonts w:ascii="Futura Std Book" w:hAnsi="Futura Std Book" w:cs="Arial"/>
                <w:bCs/>
                <w:color w:val="3333FF"/>
                <w:sz w:val="22"/>
                <w:szCs w:val="22"/>
                <w:lang w:eastAsia="en-CA"/>
              </w:rPr>
            </w:pPr>
            <w:r w:rsidRPr="00680310">
              <w:rPr>
                <w:rFonts w:ascii="Futura Std Book" w:hAnsi="Futura Std Book" w:cs="Arial"/>
                <w:bCs/>
                <w:color w:val="3333FF"/>
                <w:sz w:val="22"/>
                <w:szCs w:val="22"/>
                <w:lang w:eastAsia="en-CA"/>
              </w:rPr>
              <w:t>This report has been prepared using data, assumptions, and reference documents provided by the Client. Should additional information become available during subsequent phases of the project, Epic Atlantic reserves the right to review, amend, or update the opinions, recommendations, assumptions, and conclusions contained herein.</w:t>
            </w:r>
          </w:p>
          <w:p w14:paraId="33C71E43" w14:textId="076EAE05" w:rsidR="00680310" w:rsidRPr="00B412F4" w:rsidRDefault="00B412F4" w:rsidP="00B412F4">
            <w:pPr>
              <w:tabs>
                <w:tab w:val="left" w:pos="1418"/>
              </w:tabs>
              <w:suppressAutoHyphens/>
              <w:spacing w:before="120" w:after="120" w:line="240" w:lineRule="auto"/>
              <w:rPr>
                <w:rFonts w:ascii="Futura Std Book" w:hAnsi="Futura Std Book" w:cs="Arial"/>
                <w:bCs/>
                <w:color w:val="3333FF"/>
                <w:sz w:val="22"/>
                <w:szCs w:val="22"/>
                <w:lang w:eastAsia="en-CA"/>
              </w:rPr>
            </w:pPr>
            <w:r w:rsidRPr="00B412F4">
              <w:rPr>
                <w:rFonts w:ascii="Futura Std Book" w:hAnsi="Futura Std Book" w:cs="Arial"/>
                <w:bCs/>
                <w:color w:val="3333FF"/>
                <w:sz w:val="22"/>
                <w:szCs w:val="22"/>
                <w:lang w:eastAsia="en-CA"/>
              </w:rPr>
              <w:t>For completeness and proper interpretation, this document should be read in conjunction with the referenced FEED documents and associated revisions listed herein, which collectively form integral components of the overall project basis and D&amp;A philosoph</w:t>
            </w:r>
            <w:r>
              <w:rPr>
                <w:rFonts w:ascii="Futura Std Book" w:hAnsi="Futura Std Book" w:cs="Arial"/>
                <w:bCs/>
                <w:color w:val="3333FF"/>
                <w:sz w:val="22"/>
                <w:szCs w:val="22"/>
                <w:lang w:eastAsia="en-CA"/>
              </w:rPr>
              <w:t>y.</w:t>
            </w:r>
          </w:p>
          <w:p w14:paraId="484FBA45" w14:textId="77777777" w:rsidR="00680310" w:rsidRPr="00B412F4" w:rsidRDefault="00680310" w:rsidP="00A05064">
            <w:pPr>
              <w:tabs>
                <w:tab w:val="left" w:pos="1418"/>
              </w:tabs>
              <w:suppressAutoHyphens/>
              <w:spacing w:before="120" w:after="120" w:line="240" w:lineRule="auto"/>
              <w:rPr>
                <w:rFonts w:ascii="Futura Std Book" w:hAnsi="Futura Std Book" w:cs="Arial"/>
                <w:bCs/>
                <w:color w:val="3333FF"/>
                <w:sz w:val="22"/>
                <w:szCs w:val="22"/>
                <w:lang w:eastAsia="en-CA"/>
              </w:rPr>
            </w:pPr>
          </w:p>
          <w:p w14:paraId="6ED98C29" w14:textId="0A01768B" w:rsidR="0052588A" w:rsidRPr="00B412F4" w:rsidRDefault="0052588A">
            <w:pPr>
              <w:tabs>
                <w:tab w:val="left" w:pos="1418"/>
              </w:tabs>
              <w:suppressAutoHyphens/>
              <w:spacing w:before="120" w:after="120" w:line="240" w:lineRule="auto"/>
              <w:rPr>
                <w:rFonts w:ascii="Futura Std Book" w:hAnsi="Futura Std Book" w:cs="Arial"/>
                <w:bCs/>
                <w:color w:val="3333FF"/>
                <w:sz w:val="22"/>
                <w:szCs w:val="22"/>
                <w:lang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lastRenderedPageBreak/>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EA-BFPCL-DSV 0KNU-BBOU-ELEP-AKAB 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OKNU-BBOU-ELEP-AKAB Pipeline</w:t>
            </w:r>
          </w:p>
        </w:tc>
      </w:tr>
      <w:tr w:rsidR="00D8611A" w14:paraId="520892B0" w14:textId="77777777" w:rsidTr="00E70878">
        <w:tc>
          <w:tcPr>
            <w:tcW w:w="3964" w:type="dxa"/>
          </w:tcPr>
          <w:p w14:paraId="4A5821DB" w14:textId="257539A9" w:rsidR="00D8611A" w:rsidRPr="00C941DE" w:rsidRDefault="00D8611A" w:rsidP="00D8611A">
            <w:pPr>
              <w:keepNext/>
              <w:tabs>
                <w:tab w:val="left" w:pos="1418"/>
              </w:tabs>
              <w:spacing w:before="40" w:after="40" w:line="240" w:lineRule="auto"/>
              <w:rPr>
                <w:rFonts w:ascii="Futura Std Book" w:hAnsi="Futura Std Book" w:cs="Arial"/>
                <w:bCs/>
                <w:sz w:val="16"/>
                <w:szCs w:val="16"/>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w:t>
            </w:r>
            <w:r>
              <w:rPr>
                <w:rFonts w:ascii="Futura Std Book" w:hAnsi="Futura Std Book" w:cs="Arial"/>
                <w:bCs/>
                <w:sz w:val="18"/>
                <w:szCs w:val="18"/>
                <w:lang w:val="en-US" w:eastAsia="en-CA"/>
              </w:rPr>
              <w:t>, TBA</w:t>
            </w:r>
          </w:p>
        </w:tc>
        <w:tc>
          <w:tcPr>
            <w:tcW w:w="6242" w:type="dxa"/>
          </w:tcPr>
          <w:p w14:paraId="3217B1B1" w14:textId="1C3911B2" w:rsidR="00D8611A" w:rsidRPr="00C941DE" w:rsidRDefault="00D8611A" w:rsidP="00D8611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4C00D879"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00D081CE"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442C1A7E"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28CF3FBC"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17AF33B9"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7B7B1F8C"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7B858593"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72F3EF3B"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5623CD23"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239FE76C"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22C7318D"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6B1FA34E"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2FEEDBBF"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00AE86BD"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69DE4AE3"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67DD6137"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70A7E2B5"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6EFB3557"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734F5039"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68FD6F2F"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433BDAA2"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199F0A1F"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061F6449"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0ED907C4"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544DE6A4"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53B2CB5A"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0B8B59DB"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13FAA260"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13785D43"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5E757144"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0C627861"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710B971A" w14:textId="77777777" w:rsidR="00D8611A" w:rsidRDefault="00D8611A">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34616A" w:rsidRDefault="00D6382D" w:rsidP="00D6382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strategy adopts a </w:t>
      </w:r>
      <w:r w:rsidRPr="0034616A">
        <w:rPr>
          <w:rFonts w:ascii="Futura Std Book" w:hAnsi="Futura Std Book"/>
          <w:b/>
          <w:bCs/>
          <w:color w:val="000000" w:themeColor="text1"/>
          <w:sz w:val="22"/>
          <w:szCs w:val="22"/>
        </w:rPr>
        <w:t>hybrid approach (Removal + Abandonment-in-Place)</w:t>
      </w:r>
      <w:r w:rsidRPr="0034616A">
        <w:rPr>
          <w:rFonts w:ascii="Futura Std Book" w:hAnsi="Futura Std Book"/>
          <w:color w:val="000000" w:themeColor="text1"/>
          <w:sz w:val="22"/>
          <w:szCs w:val="22"/>
        </w:rPr>
        <w:t xml:space="preserve"> to:</w:t>
      </w:r>
    </w:p>
    <w:p w14:paraId="0823576B"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Eliminate residual hydrocarbon risk </w:t>
      </w:r>
    </w:p>
    <w:p w14:paraId="4EDD65F5"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Minimize environmental disturbance </w:t>
      </w:r>
    </w:p>
    <w:p w14:paraId="1E9D49CA"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Optimize lifecycle cost </w:t>
      </w:r>
    </w:p>
    <w:p w14:paraId="13247F6F"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Preserve recoverable asset value </w:t>
      </w:r>
    </w:p>
    <w:p w14:paraId="7A398FE0" w14:textId="77777777" w:rsidR="00D6382D" w:rsidRPr="00975B5C" w:rsidRDefault="00D6382D" w:rsidP="00D6382D">
      <w:pPr>
        <w:spacing w:before="0" w:after="160" w:line="278" w:lineRule="auto"/>
        <w:ind w:left="851"/>
        <w:rPr>
          <w:rFonts w:ascii="Futura Std Book" w:hAnsi="Futura Std Book"/>
          <w:color w:val="000000" w:themeColor="text1"/>
          <w:sz w:val="22"/>
          <w:szCs w:val="22"/>
        </w:rPr>
      </w:pPr>
      <w:r w:rsidRPr="00975B5C">
        <w:rPr>
          <w:rFonts w:ascii="Futura Std Book" w:hAnsi="Futura Std Book"/>
          <w:color w:val="000000" w:themeColor="text1"/>
          <w:sz w:val="22"/>
          <w:szCs w:val="22"/>
        </w:rPr>
        <w:t>The approach is aligned with FEED philosophy, regulatory expectations, and Niger Delta execution realities.</w:t>
      </w:r>
    </w:p>
    <w:p w14:paraId="24573529" w14:textId="77777777" w:rsidR="00975B5C" w:rsidRDefault="00975B5C" w:rsidP="00D6382D">
      <w:pPr>
        <w:spacing w:before="0" w:after="160" w:line="278" w:lineRule="auto"/>
        <w:ind w:left="851"/>
        <w:rPr>
          <w:color w:val="000000" w:themeColor="text1"/>
        </w:rPr>
      </w:pPr>
    </w:p>
    <w:p w14:paraId="34B6AB00" w14:textId="77777777" w:rsidR="00975B5C" w:rsidRDefault="00975B5C" w:rsidP="00D6382D">
      <w:pPr>
        <w:spacing w:before="0" w:after="160" w:line="278" w:lineRule="auto"/>
        <w:ind w:left="851"/>
        <w:rPr>
          <w:color w:val="000000" w:themeColor="text1"/>
        </w:rPr>
      </w:pPr>
    </w:p>
    <w:p w14:paraId="5E90E81F" w14:textId="77777777" w:rsidR="00975B5C" w:rsidRDefault="00975B5C" w:rsidP="00D6382D">
      <w:pPr>
        <w:spacing w:before="0" w:after="160" w:line="278" w:lineRule="auto"/>
        <w:ind w:left="851"/>
        <w:rPr>
          <w:color w:val="000000" w:themeColor="text1"/>
        </w:rPr>
      </w:pPr>
    </w:p>
    <w:p w14:paraId="0C3A0338" w14:textId="4C001A2E" w:rsidR="00975B5C" w:rsidRPr="000271D2" w:rsidRDefault="00975B5C" w:rsidP="00975B5C">
      <w:pPr>
        <w:pStyle w:val="Heading2"/>
        <w:spacing w:before="360" w:line="276" w:lineRule="auto"/>
        <w:ind w:left="851" w:hanging="851"/>
        <w:rPr>
          <w:sz w:val="22"/>
          <w:szCs w:val="22"/>
        </w:rPr>
      </w:pPr>
      <w:r w:rsidRPr="000271D2">
        <w:rPr>
          <w:sz w:val="22"/>
          <w:szCs w:val="22"/>
        </w:rPr>
        <w:lastRenderedPageBreak/>
        <w:t>Indicative Combined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5030"/>
        <w:gridCol w:w="1867"/>
      </w:tblGrid>
      <w:tr w:rsidR="00975B5C" w:rsidRPr="000271D2" w14:paraId="6B17EBFC" w14:textId="77777777" w:rsidTr="00D22FE0">
        <w:trPr>
          <w:tblCellSpacing w:w="15" w:type="dxa"/>
        </w:trPr>
        <w:tc>
          <w:tcPr>
            <w:tcW w:w="0" w:type="auto"/>
            <w:vAlign w:val="center"/>
            <w:hideMark/>
          </w:tcPr>
          <w:p w14:paraId="289A312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Phase</w:t>
            </w:r>
          </w:p>
        </w:tc>
        <w:tc>
          <w:tcPr>
            <w:tcW w:w="0" w:type="auto"/>
            <w:vAlign w:val="center"/>
            <w:hideMark/>
          </w:tcPr>
          <w:p w14:paraId="3E5C1BF4"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Activity</w:t>
            </w:r>
          </w:p>
        </w:tc>
        <w:tc>
          <w:tcPr>
            <w:tcW w:w="0" w:type="auto"/>
            <w:vAlign w:val="center"/>
            <w:hideMark/>
          </w:tcPr>
          <w:p w14:paraId="6EA92C5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Indicative Duration</w:t>
            </w:r>
          </w:p>
        </w:tc>
      </w:tr>
      <w:tr w:rsidR="00975B5C" w:rsidRPr="000271D2" w14:paraId="56817D57" w14:textId="77777777" w:rsidTr="00D22FE0">
        <w:trPr>
          <w:tblCellSpacing w:w="15" w:type="dxa"/>
        </w:trPr>
        <w:tc>
          <w:tcPr>
            <w:tcW w:w="0" w:type="auto"/>
            <w:vAlign w:val="center"/>
            <w:hideMark/>
          </w:tcPr>
          <w:p w14:paraId="0FC51AA9"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w:t>
            </w:r>
          </w:p>
        </w:tc>
        <w:tc>
          <w:tcPr>
            <w:tcW w:w="0" w:type="auto"/>
            <w:vAlign w:val="center"/>
            <w:hideMark/>
          </w:tcPr>
          <w:p w14:paraId="179C7F77"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Regulatory notification and stakeholder engagement</w:t>
            </w:r>
          </w:p>
        </w:tc>
        <w:tc>
          <w:tcPr>
            <w:tcW w:w="0" w:type="auto"/>
            <w:vAlign w:val="center"/>
            <w:hideMark/>
          </w:tcPr>
          <w:p w14:paraId="69D2C94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 months</w:t>
            </w:r>
          </w:p>
        </w:tc>
      </w:tr>
      <w:tr w:rsidR="00975B5C" w:rsidRPr="000271D2" w14:paraId="6B4D139D" w14:textId="77777777" w:rsidTr="00D22FE0">
        <w:trPr>
          <w:tblCellSpacing w:w="15" w:type="dxa"/>
        </w:trPr>
        <w:tc>
          <w:tcPr>
            <w:tcW w:w="0" w:type="auto"/>
            <w:vAlign w:val="center"/>
            <w:hideMark/>
          </w:tcPr>
          <w:p w14:paraId="40B261C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2</w:t>
            </w:r>
          </w:p>
        </w:tc>
        <w:tc>
          <w:tcPr>
            <w:tcW w:w="0" w:type="auto"/>
            <w:vAlign w:val="center"/>
            <w:hideMark/>
          </w:tcPr>
          <w:p w14:paraId="165EBE3B"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Integrated engineering and D&amp;A planning</w:t>
            </w:r>
          </w:p>
        </w:tc>
        <w:tc>
          <w:tcPr>
            <w:tcW w:w="0" w:type="auto"/>
            <w:vAlign w:val="center"/>
            <w:hideMark/>
          </w:tcPr>
          <w:p w14:paraId="4BB49F3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6 months</w:t>
            </w:r>
          </w:p>
        </w:tc>
      </w:tr>
      <w:tr w:rsidR="00975B5C" w:rsidRPr="000271D2" w14:paraId="399B23D8" w14:textId="77777777" w:rsidTr="00D22FE0">
        <w:trPr>
          <w:tblCellSpacing w:w="15" w:type="dxa"/>
        </w:trPr>
        <w:tc>
          <w:tcPr>
            <w:tcW w:w="0" w:type="auto"/>
            <w:vAlign w:val="center"/>
            <w:hideMark/>
          </w:tcPr>
          <w:p w14:paraId="06F659F0"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3</w:t>
            </w:r>
          </w:p>
        </w:tc>
        <w:tc>
          <w:tcPr>
            <w:tcW w:w="0" w:type="auto"/>
            <w:vAlign w:val="center"/>
            <w:hideMark/>
          </w:tcPr>
          <w:p w14:paraId="33E4EEE1"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Environmental and statutory approvals</w:t>
            </w:r>
          </w:p>
        </w:tc>
        <w:tc>
          <w:tcPr>
            <w:tcW w:w="0" w:type="auto"/>
            <w:vAlign w:val="center"/>
            <w:hideMark/>
          </w:tcPr>
          <w:p w14:paraId="70AD0B6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 months</w:t>
            </w:r>
          </w:p>
        </w:tc>
      </w:tr>
      <w:tr w:rsidR="00975B5C" w:rsidRPr="000271D2" w14:paraId="69604D73" w14:textId="77777777" w:rsidTr="00D22FE0">
        <w:trPr>
          <w:tblCellSpacing w:w="15" w:type="dxa"/>
        </w:trPr>
        <w:tc>
          <w:tcPr>
            <w:tcW w:w="0" w:type="auto"/>
            <w:vAlign w:val="center"/>
            <w:hideMark/>
          </w:tcPr>
          <w:p w14:paraId="0FBADC94"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w:t>
            </w:r>
          </w:p>
        </w:tc>
        <w:tc>
          <w:tcPr>
            <w:tcW w:w="0" w:type="auto"/>
            <w:vAlign w:val="center"/>
            <w:hideMark/>
          </w:tcPr>
          <w:p w14:paraId="0EACDBB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Pipeline isolation, depressurization, and cleaning</w:t>
            </w:r>
          </w:p>
        </w:tc>
        <w:tc>
          <w:tcPr>
            <w:tcW w:w="0" w:type="auto"/>
            <w:vAlign w:val="center"/>
            <w:hideMark/>
          </w:tcPr>
          <w:p w14:paraId="18755C3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 months</w:t>
            </w:r>
          </w:p>
        </w:tc>
      </w:tr>
      <w:tr w:rsidR="00975B5C" w:rsidRPr="000271D2" w14:paraId="5550511C" w14:textId="77777777" w:rsidTr="00D22FE0">
        <w:trPr>
          <w:tblCellSpacing w:w="15" w:type="dxa"/>
        </w:trPr>
        <w:tc>
          <w:tcPr>
            <w:tcW w:w="0" w:type="auto"/>
            <w:vAlign w:val="center"/>
            <w:hideMark/>
          </w:tcPr>
          <w:p w14:paraId="2E8824F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5</w:t>
            </w:r>
          </w:p>
        </w:tc>
        <w:tc>
          <w:tcPr>
            <w:tcW w:w="0" w:type="auto"/>
            <w:vAlign w:val="center"/>
            <w:hideMark/>
          </w:tcPr>
          <w:p w14:paraId="37FE2E8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Removal of above-ground facilities</w:t>
            </w:r>
          </w:p>
        </w:tc>
        <w:tc>
          <w:tcPr>
            <w:tcW w:w="0" w:type="auto"/>
            <w:vAlign w:val="center"/>
            <w:hideMark/>
          </w:tcPr>
          <w:p w14:paraId="2D4BF059"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5 months</w:t>
            </w:r>
          </w:p>
        </w:tc>
      </w:tr>
      <w:tr w:rsidR="00975B5C" w:rsidRPr="000271D2" w14:paraId="24DB6D74" w14:textId="77777777" w:rsidTr="00D22FE0">
        <w:trPr>
          <w:tblCellSpacing w:w="15" w:type="dxa"/>
        </w:trPr>
        <w:tc>
          <w:tcPr>
            <w:tcW w:w="0" w:type="auto"/>
            <w:vAlign w:val="center"/>
            <w:hideMark/>
          </w:tcPr>
          <w:p w14:paraId="054483A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6</w:t>
            </w:r>
          </w:p>
        </w:tc>
        <w:tc>
          <w:tcPr>
            <w:tcW w:w="0" w:type="auto"/>
            <w:vAlign w:val="center"/>
            <w:hideMark/>
          </w:tcPr>
          <w:p w14:paraId="307B6766"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Pipeline abandonment/removal activities</w:t>
            </w:r>
          </w:p>
        </w:tc>
        <w:tc>
          <w:tcPr>
            <w:tcW w:w="0" w:type="auto"/>
            <w:vAlign w:val="center"/>
            <w:hideMark/>
          </w:tcPr>
          <w:p w14:paraId="093A83B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9 months</w:t>
            </w:r>
          </w:p>
        </w:tc>
      </w:tr>
      <w:tr w:rsidR="00975B5C" w:rsidRPr="000271D2" w14:paraId="0917F2BC" w14:textId="77777777" w:rsidTr="00D22FE0">
        <w:trPr>
          <w:tblCellSpacing w:w="15" w:type="dxa"/>
        </w:trPr>
        <w:tc>
          <w:tcPr>
            <w:tcW w:w="0" w:type="auto"/>
            <w:vAlign w:val="center"/>
            <w:hideMark/>
          </w:tcPr>
          <w:p w14:paraId="1102C58C"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7</w:t>
            </w:r>
          </w:p>
        </w:tc>
        <w:tc>
          <w:tcPr>
            <w:tcW w:w="0" w:type="auto"/>
            <w:vAlign w:val="center"/>
            <w:hideMark/>
          </w:tcPr>
          <w:p w14:paraId="32614D7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River crossing stabilization and remediation</w:t>
            </w:r>
          </w:p>
        </w:tc>
        <w:tc>
          <w:tcPr>
            <w:tcW w:w="0" w:type="auto"/>
            <w:vAlign w:val="center"/>
            <w:hideMark/>
          </w:tcPr>
          <w:p w14:paraId="59E6DF7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 months</w:t>
            </w:r>
          </w:p>
        </w:tc>
      </w:tr>
      <w:tr w:rsidR="00975B5C" w:rsidRPr="000271D2" w14:paraId="68C7F4E9" w14:textId="77777777" w:rsidTr="00D22FE0">
        <w:trPr>
          <w:tblCellSpacing w:w="15" w:type="dxa"/>
        </w:trPr>
        <w:tc>
          <w:tcPr>
            <w:tcW w:w="0" w:type="auto"/>
            <w:vAlign w:val="center"/>
            <w:hideMark/>
          </w:tcPr>
          <w:p w14:paraId="76C7DE9A"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8</w:t>
            </w:r>
          </w:p>
        </w:tc>
        <w:tc>
          <w:tcPr>
            <w:tcW w:w="0" w:type="auto"/>
            <w:vAlign w:val="center"/>
            <w:hideMark/>
          </w:tcPr>
          <w:p w14:paraId="6CB39EA6"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Waste management and disposal</w:t>
            </w:r>
          </w:p>
        </w:tc>
        <w:tc>
          <w:tcPr>
            <w:tcW w:w="0" w:type="auto"/>
            <w:vAlign w:val="center"/>
            <w:hideMark/>
          </w:tcPr>
          <w:p w14:paraId="41DA24F0"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 months</w:t>
            </w:r>
          </w:p>
        </w:tc>
      </w:tr>
      <w:tr w:rsidR="00975B5C" w:rsidRPr="000271D2" w14:paraId="623E74A3" w14:textId="77777777" w:rsidTr="00D22FE0">
        <w:trPr>
          <w:tblCellSpacing w:w="15" w:type="dxa"/>
        </w:trPr>
        <w:tc>
          <w:tcPr>
            <w:tcW w:w="0" w:type="auto"/>
            <w:vAlign w:val="center"/>
            <w:hideMark/>
          </w:tcPr>
          <w:p w14:paraId="5A0B73CC"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9</w:t>
            </w:r>
          </w:p>
        </w:tc>
        <w:tc>
          <w:tcPr>
            <w:tcW w:w="0" w:type="auto"/>
            <w:vAlign w:val="center"/>
            <w:hideMark/>
          </w:tcPr>
          <w:p w14:paraId="04663B3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Environmental remediation and restoration</w:t>
            </w:r>
          </w:p>
        </w:tc>
        <w:tc>
          <w:tcPr>
            <w:tcW w:w="0" w:type="auto"/>
            <w:vAlign w:val="center"/>
            <w:hideMark/>
          </w:tcPr>
          <w:p w14:paraId="60F997B9"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6 months</w:t>
            </w:r>
          </w:p>
        </w:tc>
      </w:tr>
      <w:tr w:rsidR="00975B5C" w:rsidRPr="000271D2" w14:paraId="225D02F8" w14:textId="77777777" w:rsidTr="00D22FE0">
        <w:trPr>
          <w:tblCellSpacing w:w="15" w:type="dxa"/>
        </w:trPr>
        <w:tc>
          <w:tcPr>
            <w:tcW w:w="0" w:type="auto"/>
            <w:vAlign w:val="center"/>
            <w:hideMark/>
          </w:tcPr>
          <w:p w14:paraId="110D88A7"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10</w:t>
            </w:r>
          </w:p>
        </w:tc>
        <w:tc>
          <w:tcPr>
            <w:tcW w:w="0" w:type="auto"/>
            <w:vAlign w:val="center"/>
            <w:hideMark/>
          </w:tcPr>
          <w:p w14:paraId="4F4036AC"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Final inspection, certification, and project close-out</w:t>
            </w:r>
          </w:p>
        </w:tc>
        <w:tc>
          <w:tcPr>
            <w:tcW w:w="0" w:type="auto"/>
            <w:vAlign w:val="center"/>
            <w:hideMark/>
          </w:tcPr>
          <w:p w14:paraId="6D7E53A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3 months</w:t>
            </w:r>
          </w:p>
        </w:tc>
      </w:tr>
    </w:tbl>
    <w:p w14:paraId="6547A5F4" w14:textId="77777777" w:rsidR="00975B5C" w:rsidRPr="000271D2" w:rsidRDefault="00975B5C" w:rsidP="00975B5C">
      <w:pPr>
        <w:spacing w:before="0" w:after="160" w:line="278" w:lineRule="auto"/>
        <w:rPr>
          <w:rFonts w:ascii="Futura Std Book" w:hAnsi="Futura Std Book"/>
          <w:b/>
          <w:bCs/>
          <w:sz w:val="22"/>
          <w:szCs w:val="22"/>
        </w:rPr>
      </w:pPr>
      <w:r w:rsidRPr="000271D2">
        <w:rPr>
          <w:rFonts w:ascii="Futura Std Book" w:hAnsi="Futura Std Book"/>
          <w:b/>
          <w:bCs/>
          <w:sz w:val="22"/>
          <w:szCs w:val="22"/>
        </w:rPr>
        <w:t>Total Indicative Project Duration</w:t>
      </w:r>
    </w:p>
    <w:p w14:paraId="08B674E2" w14:textId="77777777" w:rsidR="00975B5C" w:rsidRPr="000271D2" w:rsidRDefault="00975B5C" w:rsidP="00975B5C">
      <w:pPr>
        <w:spacing w:before="0" w:after="160" w:line="278" w:lineRule="auto"/>
        <w:rPr>
          <w:rFonts w:ascii="Futura Std Book" w:hAnsi="Futura Std Book"/>
          <w:sz w:val="22"/>
          <w:szCs w:val="22"/>
        </w:rPr>
      </w:pPr>
      <w:r w:rsidRPr="000271D2">
        <w:rPr>
          <w:rFonts w:ascii="Futura Std Book" w:hAnsi="Futura Std Book"/>
          <w:sz w:val="22"/>
          <w:szCs w:val="22"/>
        </w:rPr>
        <w:t>Approximately 24–32 months, depending on seasonal access limitations, marine spread availability, regulatory approval timelines, contractor productivity, and stakeholder coordination requirements.</w:t>
      </w:r>
    </w:p>
    <w:p w14:paraId="7D8F6861" w14:textId="57B3618B" w:rsidR="00975B5C" w:rsidRPr="000271D2" w:rsidRDefault="00975B5C" w:rsidP="000271D2">
      <w:pPr>
        <w:pStyle w:val="Heading2"/>
        <w:spacing w:before="360" w:line="276" w:lineRule="auto"/>
        <w:ind w:left="851" w:hanging="851"/>
        <w:rPr>
          <w:sz w:val="22"/>
          <w:szCs w:val="22"/>
        </w:rPr>
      </w:pPr>
      <w:r w:rsidRPr="000271D2">
        <w:rPr>
          <w:sz w:val="22"/>
          <w:szCs w:val="22"/>
        </w:rPr>
        <w:t>Preliminary Combined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4795"/>
        <w:gridCol w:w="2807"/>
      </w:tblGrid>
      <w:tr w:rsidR="00975B5C" w:rsidRPr="000271D2" w14:paraId="259DD103" w14:textId="77777777" w:rsidTr="00D22FE0">
        <w:trPr>
          <w:tblCellSpacing w:w="15" w:type="dxa"/>
        </w:trPr>
        <w:tc>
          <w:tcPr>
            <w:tcW w:w="0" w:type="auto"/>
            <w:vAlign w:val="center"/>
            <w:hideMark/>
          </w:tcPr>
          <w:p w14:paraId="01A451B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Item</w:t>
            </w:r>
          </w:p>
        </w:tc>
        <w:tc>
          <w:tcPr>
            <w:tcW w:w="0" w:type="auto"/>
            <w:vAlign w:val="center"/>
            <w:hideMark/>
          </w:tcPr>
          <w:p w14:paraId="17E0AD4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Description</w:t>
            </w:r>
          </w:p>
        </w:tc>
        <w:tc>
          <w:tcPr>
            <w:tcW w:w="0" w:type="auto"/>
            <w:vAlign w:val="center"/>
            <w:hideMark/>
          </w:tcPr>
          <w:p w14:paraId="2164730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Estimated Cost (USD Million)</w:t>
            </w:r>
          </w:p>
        </w:tc>
      </w:tr>
      <w:tr w:rsidR="00975B5C" w:rsidRPr="000271D2" w14:paraId="23D151A1" w14:textId="77777777" w:rsidTr="00D22FE0">
        <w:trPr>
          <w:tblCellSpacing w:w="15" w:type="dxa"/>
        </w:trPr>
        <w:tc>
          <w:tcPr>
            <w:tcW w:w="0" w:type="auto"/>
            <w:vAlign w:val="center"/>
            <w:hideMark/>
          </w:tcPr>
          <w:p w14:paraId="32682CC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w:t>
            </w:r>
          </w:p>
        </w:tc>
        <w:tc>
          <w:tcPr>
            <w:tcW w:w="0" w:type="auto"/>
            <w:vAlign w:val="center"/>
            <w:hideMark/>
          </w:tcPr>
          <w:p w14:paraId="618AB7D4"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Integrated engineering studies and D&amp;A planning</w:t>
            </w:r>
          </w:p>
        </w:tc>
        <w:tc>
          <w:tcPr>
            <w:tcW w:w="0" w:type="auto"/>
            <w:vAlign w:val="center"/>
            <w:hideMark/>
          </w:tcPr>
          <w:p w14:paraId="21BB26E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2.40</w:t>
            </w:r>
          </w:p>
        </w:tc>
      </w:tr>
      <w:tr w:rsidR="00975B5C" w:rsidRPr="000271D2" w14:paraId="02CDE83F" w14:textId="77777777" w:rsidTr="00D22FE0">
        <w:trPr>
          <w:tblCellSpacing w:w="15" w:type="dxa"/>
        </w:trPr>
        <w:tc>
          <w:tcPr>
            <w:tcW w:w="0" w:type="auto"/>
            <w:vAlign w:val="center"/>
            <w:hideMark/>
          </w:tcPr>
          <w:p w14:paraId="303546C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2</w:t>
            </w:r>
          </w:p>
        </w:tc>
        <w:tc>
          <w:tcPr>
            <w:tcW w:w="0" w:type="auto"/>
            <w:vAlign w:val="center"/>
            <w:hideMark/>
          </w:tcPr>
          <w:p w14:paraId="06EA4B5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Regulatory compliance and permitting</w:t>
            </w:r>
          </w:p>
        </w:tc>
        <w:tc>
          <w:tcPr>
            <w:tcW w:w="0" w:type="auto"/>
            <w:vAlign w:val="center"/>
            <w:hideMark/>
          </w:tcPr>
          <w:p w14:paraId="65582D47"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1.20</w:t>
            </w:r>
          </w:p>
        </w:tc>
      </w:tr>
      <w:tr w:rsidR="00975B5C" w:rsidRPr="000271D2" w14:paraId="2A13E2F8" w14:textId="77777777" w:rsidTr="00D22FE0">
        <w:trPr>
          <w:tblCellSpacing w:w="15" w:type="dxa"/>
        </w:trPr>
        <w:tc>
          <w:tcPr>
            <w:tcW w:w="0" w:type="auto"/>
            <w:vAlign w:val="center"/>
            <w:hideMark/>
          </w:tcPr>
          <w:p w14:paraId="3053582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3</w:t>
            </w:r>
          </w:p>
        </w:tc>
        <w:tc>
          <w:tcPr>
            <w:tcW w:w="0" w:type="auto"/>
            <w:vAlign w:val="center"/>
            <w:hideMark/>
          </w:tcPr>
          <w:p w14:paraId="0868E06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Pipeline cleaning, gauging, and flushing</w:t>
            </w:r>
          </w:p>
        </w:tc>
        <w:tc>
          <w:tcPr>
            <w:tcW w:w="0" w:type="auto"/>
            <w:vAlign w:val="center"/>
            <w:hideMark/>
          </w:tcPr>
          <w:p w14:paraId="3A74B36B"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5.60</w:t>
            </w:r>
          </w:p>
        </w:tc>
      </w:tr>
      <w:tr w:rsidR="00975B5C" w:rsidRPr="000271D2" w14:paraId="4AD29F13" w14:textId="77777777" w:rsidTr="00D22FE0">
        <w:trPr>
          <w:tblCellSpacing w:w="15" w:type="dxa"/>
        </w:trPr>
        <w:tc>
          <w:tcPr>
            <w:tcW w:w="0" w:type="auto"/>
            <w:vAlign w:val="center"/>
            <w:hideMark/>
          </w:tcPr>
          <w:p w14:paraId="57F7086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4</w:t>
            </w:r>
          </w:p>
        </w:tc>
        <w:tc>
          <w:tcPr>
            <w:tcW w:w="0" w:type="auto"/>
            <w:vAlign w:val="center"/>
            <w:hideMark/>
          </w:tcPr>
          <w:p w14:paraId="3B0B309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 xml:space="preserve">Isolation and depressurization </w:t>
            </w:r>
            <w:proofErr w:type="gramStart"/>
            <w:r w:rsidRPr="000271D2">
              <w:rPr>
                <w:rFonts w:ascii="Futura Std Book" w:hAnsi="Futura Std Book"/>
                <w:sz w:val="22"/>
                <w:szCs w:val="22"/>
              </w:rPr>
              <w:t>works</w:t>
            </w:r>
            <w:proofErr w:type="gramEnd"/>
          </w:p>
        </w:tc>
        <w:tc>
          <w:tcPr>
            <w:tcW w:w="0" w:type="auto"/>
            <w:vAlign w:val="center"/>
            <w:hideMark/>
          </w:tcPr>
          <w:p w14:paraId="3754C9E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1.70</w:t>
            </w:r>
          </w:p>
        </w:tc>
      </w:tr>
      <w:tr w:rsidR="00975B5C" w:rsidRPr="000271D2" w14:paraId="6B5F8614" w14:textId="77777777" w:rsidTr="00D22FE0">
        <w:trPr>
          <w:tblCellSpacing w:w="15" w:type="dxa"/>
        </w:trPr>
        <w:tc>
          <w:tcPr>
            <w:tcW w:w="0" w:type="auto"/>
            <w:vAlign w:val="center"/>
            <w:hideMark/>
          </w:tcPr>
          <w:p w14:paraId="0D2D74EC"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5</w:t>
            </w:r>
          </w:p>
        </w:tc>
        <w:tc>
          <w:tcPr>
            <w:tcW w:w="0" w:type="auto"/>
            <w:vAlign w:val="center"/>
            <w:hideMark/>
          </w:tcPr>
          <w:p w14:paraId="23EB2D1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Removal of above-ground facilities</w:t>
            </w:r>
          </w:p>
        </w:tc>
        <w:tc>
          <w:tcPr>
            <w:tcW w:w="0" w:type="auto"/>
            <w:vAlign w:val="center"/>
            <w:hideMark/>
          </w:tcPr>
          <w:p w14:paraId="102EB84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6.80</w:t>
            </w:r>
          </w:p>
        </w:tc>
      </w:tr>
      <w:tr w:rsidR="00975B5C" w:rsidRPr="000271D2" w14:paraId="095409D7" w14:textId="77777777" w:rsidTr="00D22FE0">
        <w:trPr>
          <w:tblCellSpacing w:w="15" w:type="dxa"/>
        </w:trPr>
        <w:tc>
          <w:tcPr>
            <w:tcW w:w="0" w:type="auto"/>
            <w:vAlign w:val="center"/>
            <w:hideMark/>
          </w:tcPr>
          <w:p w14:paraId="4AA79FC1"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6</w:t>
            </w:r>
          </w:p>
        </w:tc>
        <w:tc>
          <w:tcPr>
            <w:tcW w:w="0" w:type="auto"/>
            <w:vAlign w:val="center"/>
            <w:hideMark/>
          </w:tcPr>
          <w:p w14:paraId="1BA89DE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Selective pipeline removal works</w:t>
            </w:r>
          </w:p>
        </w:tc>
        <w:tc>
          <w:tcPr>
            <w:tcW w:w="0" w:type="auto"/>
            <w:vAlign w:val="center"/>
            <w:hideMark/>
          </w:tcPr>
          <w:p w14:paraId="2EBFA61A"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12.80</w:t>
            </w:r>
          </w:p>
        </w:tc>
      </w:tr>
      <w:tr w:rsidR="00975B5C" w:rsidRPr="000271D2" w14:paraId="0407B332" w14:textId="77777777" w:rsidTr="00D22FE0">
        <w:trPr>
          <w:tblCellSpacing w:w="15" w:type="dxa"/>
        </w:trPr>
        <w:tc>
          <w:tcPr>
            <w:tcW w:w="0" w:type="auto"/>
            <w:vAlign w:val="center"/>
            <w:hideMark/>
          </w:tcPr>
          <w:p w14:paraId="780A4123"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lastRenderedPageBreak/>
              <w:t>7</w:t>
            </w:r>
          </w:p>
        </w:tc>
        <w:tc>
          <w:tcPr>
            <w:tcW w:w="0" w:type="auto"/>
            <w:vAlign w:val="center"/>
            <w:hideMark/>
          </w:tcPr>
          <w:p w14:paraId="3C71D938"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Abandonment-in-place activities</w:t>
            </w:r>
          </w:p>
        </w:tc>
        <w:tc>
          <w:tcPr>
            <w:tcW w:w="0" w:type="auto"/>
            <w:vAlign w:val="center"/>
            <w:hideMark/>
          </w:tcPr>
          <w:p w14:paraId="76A71CC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5.90</w:t>
            </w:r>
          </w:p>
        </w:tc>
      </w:tr>
      <w:tr w:rsidR="00975B5C" w:rsidRPr="000271D2" w14:paraId="1ACB4FF3" w14:textId="77777777" w:rsidTr="00D22FE0">
        <w:trPr>
          <w:tblCellSpacing w:w="15" w:type="dxa"/>
        </w:trPr>
        <w:tc>
          <w:tcPr>
            <w:tcW w:w="0" w:type="auto"/>
            <w:vAlign w:val="center"/>
            <w:hideMark/>
          </w:tcPr>
          <w:p w14:paraId="367241E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8</w:t>
            </w:r>
          </w:p>
        </w:tc>
        <w:tc>
          <w:tcPr>
            <w:tcW w:w="0" w:type="auto"/>
            <w:vAlign w:val="center"/>
            <w:hideMark/>
          </w:tcPr>
          <w:p w14:paraId="58582D36"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River crossing remediation and stabilization</w:t>
            </w:r>
          </w:p>
        </w:tc>
        <w:tc>
          <w:tcPr>
            <w:tcW w:w="0" w:type="auto"/>
            <w:vAlign w:val="center"/>
            <w:hideMark/>
          </w:tcPr>
          <w:p w14:paraId="49CB641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3.40</w:t>
            </w:r>
          </w:p>
        </w:tc>
      </w:tr>
      <w:tr w:rsidR="00975B5C" w:rsidRPr="000271D2" w14:paraId="02613154" w14:textId="77777777" w:rsidTr="00D22FE0">
        <w:trPr>
          <w:tblCellSpacing w:w="15" w:type="dxa"/>
        </w:trPr>
        <w:tc>
          <w:tcPr>
            <w:tcW w:w="0" w:type="auto"/>
            <w:vAlign w:val="center"/>
            <w:hideMark/>
          </w:tcPr>
          <w:p w14:paraId="04C6DA59"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9</w:t>
            </w:r>
          </w:p>
        </w:tc>
        <w:tc>
          <w:tcPr>
            <w:tcW w:w="0" w:type="auto"/>
            <w:vAlign w:val="center"/>
            <w:hideMark/>
          </w:tcPr>
          <w:p w14:paraId="5BB33D3B"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Waste handling, transportation, and disposal</w:t>
            </w:r>
          </w:p>
        </w:tc>
        <w:tc>
          <w:tcPr>
            <w:tcW w:w="0" w:type="auto"/>
            <w:vAlign w:val="center"/>
            <w:hideMark/>
          </w:tcPr>
          <w:p w14:paraId="0640E36B"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3.20</w:t>
            </w:r>
          </w:p>
        </w:tc>
      </w:tr>
      <w:tr w:rsidR="00975B5C" w:rsidRPr="000271D2" w14:paraId="6D73CAB1" w14:textId="77777777" w:rsidTr="00D22FE0">
        <w:trPr>
          <w:tblCellSpacing w:w="15" w:type="dxa"/>
        </w:trPr>
        <w:tc>
          <w:tcPr>
            <w:tcW w:w="0" w:type="auto"/>
            <w:vAlign w:val="center"/>
            <w:hideMark/>
          </w:tcPr>
          <w:p w14:paraId="65AE127E"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10</w:t>
            </w:r>
          </w:p>
        </w:tc>
        <w:tc>
          <w:tcPr>
            <w:tcW w:w="0" w:type="auto"/>
            <w:vAlign w:val="center"/>
            <w:hideMark/>
          </w:tcPr>
          <w:p w14:paraId="620867B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Environmental remediation and restoration</w:t>
            </w:r>
          </w:p>
        </w:tc>
        <w:tc>
          <w:tcPr>
            <w:tcW w:w="0" w:type="auto"/>
            <w:vAlign w:val="center"/>
            <w:hideMark/>
          </w:tcPr>
          <w:p w14:paraId="777F65DD"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7.80</w:t>
            </w:r>
          </w:p>
        </w:tc>
      </w:tr>
      <w:tr w:rsidR="00975B5C" w:rsidRPr="000271D2" w14:paraId="43D8E160" w14:textId="77777777" w:rsidTr="00D22FE0">
        <w:trPr>
          <w:tblCellSpacing w:w="15" w:type="dxa"/>
        </w:trPr>
        <w:tc>
          <w:tcPr>
            <w:tcW w:w="0" w:type="auto"/>
            <w:vAlign w:val="center"/>
            <w:hideMark/>
          </w:tcPr>
          <w:p w14:paraId="0E33C870"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11</w:t>
            </w:r>
          </w:p>
        </w:tc>
        <w:tc>
          <w:tcPr>
            <w:tcW w:w="0" w:type="auto"/>
            <w:vAlign w:val="center"/>
            <w:hideMark/>
          </w:tcPr>
          <w:p w14:paraId="739D25F5"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Marine/swamp logistics and access support</w:t>
            </w:r>
          </w:p>
        </w:tc>
        <w:tc>
          <w:tcPr>
            <w:tcW w:w="0" w:type="auto"/>
            <w:vAlign w:val="center"/>
            <w:hideMark/>
          </w:tcPr>
          <w:p w14:paraId="6EC62DD3"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5.20</w:t>
            </w:r>
          </w:p>
        </w:tc>
      </w:tr>
      <w:tr w:rsidR="00975B5C" w:rsidRPr="000271D2" w14:paraId="7FE572BC" w14:textId="77777777" w:rsidTr="00D22FE0">
        <w:trPr>
          <w:tblCellSpacing w:w="15" w:type="dxa"/>
        </w:trPr>
        <w:tc>
          <w:tcPr>
            <w:tcW w:w="0" w:type="auto"/>
            <w:vAlign w:val="center"/>
            <w:hideMark/>
          </w:tcPr>
          <w:p w14:paraId="724B051A"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12</w:t>
            </w:r>
          </w:p>
        </w:tc>
        <w:tc>
          <w:tcPr>
            <w:tcW w:w="0" w:type="auto"/>
            <w:vAlign w:val="center"/>
            <w:hideMark/>
          </w:tcPr>
          <w:p w14:paraId="430F9F7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Project management and supervision</w:t>
            </w:r>
          </w:p>
        </w:tc>
        <w:tc>
          <w:tcPr>
            <w:tcW w:w="0" w:type="auto"/>
            <w:vAlign w:val="center"/>
            <w:hideMark/>
          </w:tcPr>
          <w:p w14:paraId="49669816"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3.00</w:t>
            </w:r>
          </w:p>
        </w:tc>
      </w:tr>
      <w:tr w:rsidR="00975B5C" w:rsidRPr="000271D2" w14:paraId="1807BE70" w14:textId="77777777" w:rsidTr="00D22FE0">
        <w:trPr>
          <w:tblCellSpacing w:w="15" w:type="dxa"/>
        </w:trPr>
        <w:tc>
          <w:tcPr>
            <w:tcW w:w="0" w:type="auto"/>
            <w:vAlign w:val="center"/>
            <w:hideMark/>
          </w:tcPr>
          <w:p w14:paraId="206F81F9"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13</w:t>
            </w:r>
          </w:p>
        </w:tc>
        <w:tc>
          <w:tcPr>
            <w:tcW w:w="0" w:type="auto"/>
            <w:vAlign w:val="center"/>
            <w:hideMark/>
          </w:tcPr>
          <w:p w14:paraId="70D9E1AE"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HSE management and security support</w:t>
            </w:r>
          </w:p>
        </w:tc>
        <w:tc>
          <w:tcPr>
            <w:tcW w:w="0" w:type="auto"/>
            <w:vAlign w:val="center"/>
            <w:hideMark/>
          </w:tcPr>
          <w:p w14:paraId="71B3C133"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2.20</w:t>
            </w:r>
          </w:p>
        </w:tc>
      </w:tr>
      <w:tr w:rsidR="00975B5C" w:rsidRPr="000271D2" w14:paraId="5A28C113" w14:textId="77777777" w:rsidTr="00D22FE0">
        <w:trPr>
          <w:tblCellSpacing w:w="15" w:type="dxa"/>
        </w:trPr>
        <w:tc>
          <w:tcPr>
            <w:tcW w:w="0" w:type="auto"/>
            <w:vAlign w:val="center"/>
            <w:hideMark/>
          </w:tcPr>
          <w:p w14:paraId="7C217A5E"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14</w:t>
            </w:r>
          </w:p>
        </w:tc>
        <w:tc>
          <w:tcPr>
            <w:tcW w:w="0" w:type="auto"/>
            <w:vAlign w:val="center"/>
            <w:hideMark/>
          </w:tcPr>
          <w:p w14:paraId="2B606462"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Contingency allowance (15%)</w:t>
            </w:r>
          </w:p>
        </w:tc>
        <w:tc>
          <w:tcPr>
            <w:tcW w:w="0" w:type="auto"/>
            <w:vAlign w:val="center"/>
            <w:hideMark/>
          </w:tcPr>
          <w:p w14:paraId="2BF7BD5F" w14:textId="77777777" w:rsidR="00975B5C" w:rsidRPr="000271D2" w:rsidRDefault="00975B5C" w:rsidP="00D22FE0">
            <w:pPr>
              <w:spacing w:after="160" w:line="278" w:lineRule="auto"/>
              <w:rPr>
                <w:rFonts w:ascii="Futura Std Book" w:hAnsi="Futura Std Book"/>
                <w:sz w:val="22"/>
                <w:szCs w:val="22"/>
              </w:rPr>
            </w:pPr>
            <w:r w:rsidRPr="000271D2">
              <w:rPr>
                <w:rFonts w:ascii="Futura Std Book" w:hAnsi="Futura Std Book"/>
                <w:sz w:val="22"/>
                <w:szCs w:val="22"/>
              </w:rPr>
              <w:t>8.00</w:t>
            </w:r>
          </w:p>
        </w:tc>
      </w:tr>
    </w:tbl>
    <w:p w14:paraId="6883CE64" w14:textId="77777777" w:rsidR="00975B5C" w:rsidRPr="000271D2" w:rsidRDefault="00975B5C" w:rsidP="00975B5C">
      <w:pPr>
        <w:spacing w:before="0" w:after="160" w:line="278" w:lineRule="auto"/>
        <w:rPr>
          <w:rFonts w:ascii="Futura Std Book" w:hAnsi="Futura Std Book"/>
          <w:b/>
          <w:bCs/>
          <w:sz w:val="22"/>
          <w:szCs w:val="22"/>
        </w:rPr>
      </w:pPr>
      <w:r w:rsidRPr="000271D2">
        <w:rPr>
          <w:rFonts w:ascii="Futura Std Book" w:hAnsi="Futura Std Book"/>
          <w:b/>
          <w:bCs/>
          <w:sz w:val="22"/>
          <w:szCs w:val="22"/>
        </w:rPr>
        <w:t>Total Preliminary Combined D&amp;A Cost Estimate</w:t>
      </w:r>
    </w:p>
    <w:p w14:paraId="2391C006" w14:textId="77777777" w:rsidR="00975B5C" w:rsidRPr="000271D2" w:rsidRDefault="00975B5C" w:rsidP="00975B5C">
      <w:pPr>
        <w:spacing w:before="0" w:after="160" w:line="278" w:lineRule="auto"/>
        <w:rPr>
          <w:rFonts w:ascii="Futura Std Book" w:hAnsi="Futura Std Book"/>
          <w:b/>
          <w:bCs/>
          <w:sz w:val="22"/>
          <w:szCs w:val="22"/>
        </w:rPr>
      </w:pPr>
      <w:r w:rsidRPr="000271D2">
        <w:rPr>
          <w:rFonts w:ascii="Futura Std Book" w:hAnsi="Futura Std Book"/>
          <w:b/>
          <w:bCs/>
          <w:sz w:val="22"/>
          <w:szCs w:val="22"/>
        </w:rPr>
        <w:t>USD 69.20 Million</w:t>
      </w:r>
    </w:p>
    <w:p w14:paraId="2BF7362D" w14:textId="5F90F01C" w:rsidR="00975B5C" w:rsidRPr="000271D2" w:rsidRDefault="00975B5C" w:rsidP="00975B5C">
      <w:pPr>
        <w:spacing w:before="0" w:after="160" w:line="278" w:lineRule="auto"/>
        <w:rPr>
          <w:rFonts w:ascii="Futura Std Book" w:hAnsi="Futura Std Book"/>
          <w:sz w:val="22"/>
          <w:szCs w:val="22"/>
        </w:rPr>
      </w:pPr>
      <w:r w:rsidRPr="000271D2">
        <w:rPr>
          <w:rFonts w:ascii="Futura Std Book" w:hAnsi="Futura Std Book"/>
          <w:sz w:val="22"/>
          <w:szCs w:val="22"/>
        </w:rPr>
        <w:t>The combined execution strategy indicates potential overall cost optimization when compared with the independent execution of both pipeline segments separately</w:t>
      </w:r>
      <w:r w:rsidR="000271D2" w:rsidRPr="000271D2">
        <w:rPr>
          <w:rFonts w:ascii="Futura Std Book" w:hAnsi="Futura Std Book"/>
          <w:sz w:val="22"/>
          <w:szCs w:val="22"/>
        </w:rPr>
        <w:t>; mainly due to:</w:t>
      </w:r>
    </w:p>
    <w:p w14:paraId="27BD2F06" w14:textId="77777777" w:rsidR="00975B5C" w:rsidRPr="000271D2" w:rsidRDefault="00975B5C" w:rsidP="00975B5C">
      <w:pPr>
        <w:numPr>
          <w:ilvl w:val="0"/>
          <w:numId w:val="60"/>
        </w:numPr>
        <w:spacing w:before="0" w:after="160" w:line="278" w:lineRule="auto"/>
        <w:jc w:val="left"/>
        <w:rPr>
          <w:rFonts w:ascii="Futura Std Book" w:hAnsi="Futura Std Book"/>
          <w:sz w:val="22"/>
          <w:szCs w:val="22"/>
        </w:rPr>
      </w:pPr>
      <w:r w:rsidRPr="000271D2">
        <w:rPr>
          <w:rFonts w:ascii="Futura Std Book" w:hAnsi="Futura Std Book"/>
          <w:sz w:val="22"/>
          <w:szCs w:val="22"/>
        </w:rPr>
        <w:t>Shared engineering and project management resources</w:t>
      </w:r>
    </w:p>
    <w:p w14:paraId="1FC1B161" w14:textId="77777777" w:rsidR="00975B5C" w:rsidRPr="000271D2" w:rsidRDefault="00975B5C" w:rsidP="00975B5C">
      <w:pPr>
        <w:numPr>
          <w:ilvl w:val="0"/>
          <w:numId w:val="60"/>
        </w:numPr>
        <w:spacing w:before="0" w:after="160" w:line="278" w:lineRule="auto"/>
        <w:jc w:val="left"/>
        <w:rPr>
          <w:rFonts w:ascii="Futura Std Book" w:hAnsi="Futura Std Book"/>
          <w:sz w:val="22"/>
          <w:szCs w:val="22"/>
        </w:rPr>
      </w:pPr>
      <w:r w:rsidRPr="000271D2">
        <w:rPr>
          <w:rFonts w:ascii="Futura Std Book" w:hAnsi="Futura Std Book"/>
          <w:sz w:val="22"/>
          <w:szCs w:val="22"/>
        </w:rPr>
        <w:t>Single marine/swamp mobilization campaign</w:t>
      </w:r>
    </w:p>
    <w:p w14:paraId="64BE928E" w14:textId="77777777" w:rsidR="00975B5C" w:rsidRPr="000271D2" w:rsidRDefault="00975B5C" w:rsidP="00975B5C">
      <w:pPr>
        <w:numPr>
          <w:ilvl w:val="0"/>
          <w:numId w:val="60"/>
        </w:numPr>
        <w:spacing w:before="0" w:after="160" w:line="278" w:lineRule="auto"/>
        <w:jc w:val="left"/>
        <w:rPr>
          <w:rFonts w:ascii="Futura Std Book" w:hAnsi="Futura Std Book"/>
          <w:sz w:val="22"/>
          <w:szCs w:val="22"/>
        </w:rPr>
      </w:pPr>
      <w:r w:rsidRPr="000271D2">
        <w:rPr>
          <w:rFonts w:ascii="Futura Std Book" w:hAnsi="Futura Std Book"/>
          <w:sz w:val="22"/>
          <w:szCs w:val="22"/>
        </w:rPr>
        <w:t>Consolidated contractor and equipment utilization</w:t>
      </w:r>
    </w:p>
    <w:p w14:paraId="7E0933E3" w14:textId="77777777" w:rsidR="00975B5C" w:rsidRPr="000271D2" w:rsidRDefault="00975B5C" w:rsidP="00975B5C">
      <w:pPr>
        <w:numPr>
          <w:ilvl w:val="0"/>
          <w:numId w:val="60"/>
        </w:numPr>
        <w:spacing w:before="0" w:after="160" w:line="278" w:lineRule="auto"/>
        <w:jc w:val="left"/>
        <w:rPr>
          <w:rFonts w:ascii="Futura Std Book" w:hAnsi="Futura Std Book"/>
          <w:sz w:val="22"/>
          <w:szCs w:val="22"/>
        </w:rPr>
      </w:pPr>
      <w:r w:rsidRPr="000271D2">
        <w:rPr>
          <w:rFonts w:ascii="Futura Std Book" w:hAnsi="Futura Std Book"/>
          <w:sz w:val="22"/>
          <w:szCs w:val="22"/>
        </w:rPr>
        <w:t>Integrated waste management and disposal logistics</w:t>
      </w:r>
    </w:p>
    <w:p w14:paraId="421897A8" w14:textId="77777777" w:rsidR="00975B5C" w:rsidRPr="000271D2" w:rsidRDefault="00975B5C" w:rsidP="00975B5C">
      <w:pPr>
        <w:numPr>
          <w:ilvl w:val="0"/>
          <w:numId w:val="60"/>
        </w:numPr>
        <w:spacing w:before="0" w:after="160" w:line="278" w:lineRule="auto"/>
        <w:jc w:val="left"/>
        <w:rPr>
          <w:rFonts w:ascii="Futura Std Book" w:hAnsi="Futura Std Book"/>
          <w:sz w:val="22"/>
          <w:szCs w:val="22"/>
        </w:rPr>
      </w:pPr>
      <w:r w:rsidRPr="000271D2">
        <w:rPr>
          <w:rFonts w:ascii="Futura Std Book" w:hAnsi="Futura Std Book"/>
          <w:sz w:val="22"/>
          <w:szCs w:val="22"/>
        </w:rPr>
        <w:t>Reduced duplication of regulatory and stakeholder engagement activities</w:t>
      </w:r>
    </w:p>
    <w:p w14:paraId="447EDC2D" w14:textId="77777777" w:rsidR="00975B5C" w:rsidRPr="000271D2" w:rsidRDefault="00975B5C" w:rsidP="00975B5C">
      <w:pPr>
        <w:numPr>
          <w:ilvl w:val="0"/>
          <w:numId w:val="60"/>
        </w:numPr>
        <w:spacing w:before="0" w:after="160" w:line="278" w:lineRule="auto"/>
        <w:jc w:val="left"/>
        <w:rPr>
          <w:rFonts w:ascii="Futura Std Book" w:hAnsi="Futura Std Book"/>
          <w:sz w:val="22"/>
          <w:szCs w:val="22"/>
        </w:rPr>
      </w:pPr>
      <w:r w:rsidRPr="000271D2">
        <w:rPr>
          <w:rFonts w:ascii="Futura Std Book" w:hAnsi="Futura Std Book"/>
          <w:sz w:val="22"/>
          <w:szCs w:val="22"/>
        </w:rPr>
        <w:t>Combined environmental remediation execution strategy</w:t>
      </w:r>
    </w:p>
    <w:p w14:paraId="7A7F9312" w14:textId="77777777" w:rsidR="00975B5C" w:rsidRPr="000271D2" w:rsidRDefault="00975B5C" w:rsidP="00D6382D">
      <w:pPr>
        <w:spacing w:before="0" w:after="160" w:line="278" w:lineRule="auto"/>
        <w:ind w:left="851"/>
        <w:rPr>
          <w:rFonts w:ascii="Futura Std Book" w:hAnsi="Futura Std Book"/>
          <w:color w:val="000000" w:themeColor="text1"/>
          <w:sz w:val="22"/>
          <w:szCs w:val="22"/>
        </w:rPr>
      </w:pPr>
    </w:p>
    <w:p w14:paraId="6B318E89" w14:textId="77777777" w:rsidR="000C5665" w:rsidRPr="000271D2" w:rsidRDefault="000C5665" w:rsidP="000C5665">
      <w:pPr>
        <w:pStyle w:val="Heading2"/>
        <w:spacing w:before="360" w:line="276" w:lineRule="auto"/>
        <w:ind w:left="851" w:hanging="851"/>
        <w:rPr>
          <w:color w:val="000000" w:themeColor="text1"/>
          <w:sz w:val="22"/>
          <w:szCs w:val="22"/>
        </w:rPr>
      </w:pPr>
      <w:bookmarkStart w:id="29" w:name="_Toc228831482"/>
      <w:r w:rsidRPr="000271D2">
        <w:rPr>
          <w:color w:val="000000" w:themeColor="text1"/>
          <w:sz w:val="22"/>
          <w:szCs w:val="22"/>
        </w:rPr>
        <w:t>Cost Estimate (USD)</w:t>
      </w:r>
      <w:bookmarkEnd w:id="29"/>
    </w:p>
    <w:tbl>
      <w:tblPr>
        <w:tblStyle w:val="TableGrid"/>
        <w:tblW w:w="0" w:type="auto"/>
        <w:tblLook w:val="04A0" w:firstRow="1" w:lastRow="0" w:firstColumn="1" w:lastColumn="0" w:noHBand="0" w:noVBand="1"/>
      </w:tblPr>
      <w:tblGrid>
        <w:gridCol w:w="3318"/>
        <w:gridCol w:w="3318"/>
        <w:gridCol w:w="3318"/>
      </w:tblGrid>
      <w:tr w:rsidR="002657FD" w:rsidRPr="000271D2" w14:paraId="62239979" w14:textId="77777777" w:rsidTr="002657FD">
        <w:tc>
          <w:tcPr>
            <w:tcW w:w="3318" w:type="dxa"/>
          </w:tcPr>
          <w:p w14:paraId="5C65D7BA" w14:textId="77777777" w:rsidR="002657FD" w:rsidRPr="000271D2" w:rsidRDefault="002657FD" w:rsidP="002657FD">
            <w:pPr>
              <w:rPr>
                <w:rFonts w:ascii="Futura Std Book" w:hAnsi="Futura Std Book"/>
                <w:sz w:val="22"/>
                <w:szCs w:val="22"/>
                <w:lang w:val="en-US" w:eastAsia="en-US"/>
              </w:rPr>
            </w:pPr>
          </w:p>
        </w:tc>
        <w:tc>
          <w:tcPr>
            <w:tcW w:w="3318" w:type="dxa"/>
          </w:tcPr>
          <w:p w14:paraId="4A11D65B" w14:textId="77777777" w:rsidR="002657FD" w:rsidRPr="000271D2" w:rsidRDefault="002657FD" w:rsidP="002657FD">
            <w:pPr>
              <w:rPr>
                <w:rFonts w:ascii="Futura Std Book" w:hAnsi="Futura Std Book"/>
                <w:sz w:val="22"/>
                <w:szCs w:val="22"/>
                <w:lang w:val="en-US" w:eastAsia="en-US"/>
              </w:rPr>
            </w:pPr>
          </w:p>
        </w:tc>
        <w:tc>
          <w:tcPr>
            <w:tcW w:w="3318" w:type="dxa"/>
          </w:tcPr>
          <w:p w14:paraId="29594E75" w14:textId="77777777" w:rsidR="002657FD" w:rsidRPr="000271D2" w:rsidRDefault="002657FD" w:rsidP="002657FD">
            <w:pPr>
              <w:rPr>
                <w:rFonts w:ascii="Futura Std Book" w:hAnsi="Futura Std Book"/>
                <w:sz w:val="22"/>
                <w:szCs w:val="22"/>
                <w:lang w:val="en-US" w:eastAsia="en-US"/>
              </w:rPr>
            </w:pPr>
          </w:p>
        </w:tc>
      </w:tr>
      <w:tr w:rsidR="002657FD" w:rsidRPr="000271D2" w14:paraId="6ACE9A83" w14:textId="77777777" w:rsidTr="002657FD">
        <w:tc>
          <w:tcPr>
            <w:tcW w:w="3318" w:type="dxa"/>
          </w:tcPr>
          <w:p w14:paraId="0AC38EED" w14:textId="77777777" w:rsidR="002657FD" w:rsidRPr="000271D2" w:rsidRDefault="002657FD" w:rsidP="002657FD">
            <w:pPr>
              <w:rPr>
                <w:rFonts w:ascii="Futura Std Book" w:hAnsi="Futura Std Book"/>
                <w:sz w:val="22"/>
                <w:szCs w:val="22"/>
                <w:lang w:val="en-US" w:eastAsia="en-US"/>
              </w:rPr>
            </w:pPr>
          </w:p>
        </w:tc>
        <w:tc>
          <w:tcPr>
            <w:tcW w:w="3318" w:type="dxa"/>
          </w:tcPr>
          <w:p w14:paraId="0B4ED705" w14:textId="77777777" w:rsidR="002657FD" w:rsidRPr="000271D2" w:rsidRDefault="002657FD" w:rsidP="002657FD">
            <w:pPr>
              <w:rPr>
                <w:rFonts w:ascii="Futura Std Book" w:hAnsi="Futura Std Book"/>
                <w:sz w:val="22"/>
                <w:szCs w:val="22"/>
                <w:lang w:val="en-US" w:eastAsia="en-US"/>
              </w:rPr>
            </w:pPr>
          </w:p>
        </w:tc>
        <w:tc>
          <w:tcPr>
            <w:tcW w:w="3318" w:type="dxa"/>
          </w:tcPr>
          <w:p w14:paraId="6A9B81C7" w14:textId="77777777" w:rsidR="002657FD" w:rsidRPr="000271D2" w:rsidRDefault="002657FD" w:rsidP="002657FD">
            <w:pPr>
              <w:rPr>
                <w:rFonts w:ascii="Futura Std Book" w:hAnsi="Futura Std Book"/>
                <w:sz w:val="22"/>
                <w:szCs w:val="22"/>
                <w:lang w:val="en-US" w:eastAsia="en-US"/>
              </w:rPr>
            </w:pPr>
          </w:p>
        </w:tc>
      </w:tr>
      <w:tr w:rsidR="002657FD" w:rsidRPr="000271D2" w14:paraId="2FAEF2D8" w14:textId="77777777" w:rsidTr="002657FD">
        <w:tc>
          <w:tcPr>
            <w:tcW w:w="3318" w:type="dxa"/>
          </w:tcPr>
          <w:p w14:paraId="130A9106" w14:textId="77777777" w:rsidR="002657FD" w:rsidRPr="000271D2" w:rsidRDefault="002657FD" w:rsidP="002657FD">
            <w:pPr>
              <w:rPr>
                <w:rFonts w:ascii="Futura Std Book" w:hAnsi="Futura Std Book"/>
                <w:sz w:val="22"/>
                <w:szCs w:val="22"/>
                <w:lang w:val="en-US" w:eastAsia="en-US"/>
              </w:rPr>
            </w:pPr>
          </w:p>
        </w:tc>
        <w:tc>
          <w:tcPr>
            <w:tcW w:w="3318" w:type="dxa"/>
          </w:tcPr>
          <w:p w14:paraId="176A495B" w14:textId="77777777" w:rsidR="002657FD" w:rsidRPr="000271D2" w:rsidRDefault="002657FD" w:rsidP="002657FD">
            <w:pPr>
              <w:rPr>
                <w:rFonts w:ascii="Futura Std Book" w:hAnsi="Futura Std Book"/>
                <w:sz w:val="22"/>
                <w:szCs w:val="22"/>
                <w:lang w:val="en-US" w:eastAsia="en-US"/>
              </w:rPr>
            </w:pPr>
          </w:p>
        </w:tc>
        <w:tc>
          <w:tcPr>
            <w:tcW w:w="3318" w:type="dxa"/>
          </w:tcPr>
          <w:p w14:paraId="638CE80C" w14:textId="77777777" w:rsidR="002657FD" w:rsidRPr="000271D2" w:rsidRDefault="002657FD" w:rsidP="002657FD">
            <w:pPr>
              <w:rPr>
                <w:rFonts w:ascii="Futura Std Book" w:hAnsi="Futura Std Book"/>
                <w:sz w:val="22"/>
                <w:szCs w:val="22"/>
                <w:lang w:val="en-US" w:eastAsia="en-US"/>
              </w:rPr>
            </w:pPr>
          </w:p>
        </w:tc>
      </w:tr>
    </w:tbl>
    <w:p w14:paraId="7C3B2B83" w14:textId="77777777" w:rsidR="002657FD" w:rsidRPr="000271D2" w:rsidRDefault="002657FD" w:rsidP="002657FD">
      <w:pPr>
        <w:rPr>
          <w:rFonts w:ascii="Futura Std Book" w:hAnsi="Futura Std Book"/>
          <w:sz w:val="22"/>
          <w:szCs w:val="22"/>
          <w:lang w:val="en-US" w:eastAsia="en-US"/>
        </w:rPr>
      </w:pPr>
    </w:p>
    <w:p w14:paraId="7D8CB79B" w14:textId="77777777" w:rsidR="000C5665" w:rsidRPr="000271D2" w:rsidRDefault="000C5665" w:rsidP="00D6382D">
      <w:pPr>
        <w:spacing w:before="0" w:after="160" w:line="278" w:lineRule="auto"/>
        <w:ind w:left="851"/>
        <w:rPr>
          <w:rFonts w:ascii="Futura Std Book" w:hAnsi="Futura Std Book"/>
          <w:color w:val="000000" w:themeColor="text1"/>
          <w:sz w:val="22"/>
          <w:szCs w:val="22"/>
        </w:rPr>
      </w:pPr>
    </w:p>
    <w:p w14:paraId="0D517A51" w14:textId="77777777" w:rsidR="00D6382D" w:rsidRPr="000271D2" w:rsidRDefault="00D6382D" w:rsidP="00D6382D">
      <w:pPr>
        <w:spacing w:before="0" w:after="160" w:line="278" w:lineRule="auto"/>
        <w:ind w:left="851"/>
        <w:rPr>
          <w:rFonts w:ascii="Futura Std Book" w:hAnsi="Futura Std Book"/>
          <w:color w:val="000000" w:themeColor="text1"/>
          <w:sz w:val="22"/>
          <w:szCs w:val="22"/>
        </w:rPr>
      </w:pPr>
    </w:p>
    <w:p w14:paraId="6F7694A4" w14:textId="77777777" w:rsidR="009451F2" w:rsidRPr="000271D2" w:rsidRDefault="009451F2" w:rsidP="00D6382D">
      <w:pPr>
        <w:spacing w:before="0" w:after="160" w:line="278" w:lineRule="auto"/>
        <w:ind w:left="851"/>
        <w:rPr>
          <w:rFonts w:ascii="Futura Std Book" w:hAnsi="Futura Std Book"/>
          <w:color w:val="000000" w:themeColor="text1"/>
          <w:sz w:val="22"/>
          <w:szCs w:val="22"/>
        </w:rPr>
      </w:pPr>
    </w:p>
    <w:p w14:paraId="034CD016" w14:textId="77777777" w:rsidR="009451F2" w:rsidRPr="000271D2" w:rsidRDefault="009451F2" w:rsidP="00D6382D">
      <w:pPr>
        <w:spacing w:before="0" w:after="160" w:line="278" w:lineRule="auto"/>
        <w:ind w:left="851"/>
        <w:rPr>
          <w:rFonts w:ascii="Futura Std Book" w:hAnsi="Futura Std Book"/>
          <w:color w:val="000000" w:themeColor="text1"/>
          <w:sz w:val="22"/>
          <w:szCs w:val="22"/>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0"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0"/>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1" w:name="_Toc228279616"/>
      <w:bookmarkStart w:id="32" w:name="_Toc228279926"/>
      <w:bookmarkStart w:id="33" w:name="_Toc228387967"/>
      <w:bookmarkStart w:id="34" w:name="_Toc228779412"/>
      <w:bookmarkStart w:id="35" w:name="_Toc228781909"/>
      <w:bookmarkStart w:id="36" w:name="_Toc228790097"/>
      <w:bookmarkStart w:id="37" w:name="_Toc228279617"/>
      <w:bookmarkStart w:id="38" w:name="_Toc228279927"/>
      <w:bookmarkStart w:id="39" w:name="_Toc228387968"/>
      <w:bookmarkStart w:id="40" w:name="_Toc228779413"/>
      <w:bookmarkStart w:id="41" w:name="_Toc228781910"/>
      <w:bookmarkStart w:id="42" w:name="_Toc228790098"/>
      <w:bookmarkStart w:id="43" w:name="_Toc228807877"/>
      <w:bookmarkStart w:id="44" w:name="_Toc228808380"/>
      <w:bookmarkStart w:id="45" w:name="_Toc228808536"/>
      <w:bookmarkStart w:id="46" w:name="_Toc228819687"/>
      <w:bookmarkStart w:id="47" w:name="_Toc228828134"/>
      <w:bookmarkStart w:id="48" w:name="_Toc228830707"/>
      <w:bookmarkStart w:id="49" w:name="_Toc228831484"/>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04E17FA9" w14:textId="0FA9D046" w:rsidR="00F6152F" w:rsidRPr="00934361" w:rsidRDefault="002E1402" w:rsidP="004D7486">
      <w:pPr>
        <w:pStyle w:val="Heading2"/>
        <w:spacing w:after="0" w:line="276" w:lineRule="auto"/>
        <w:ind w:left="851" w:hanging="851"/>
      </w:pPr>
      <w:bookmarkStart w:id="50" w:name="_Toc228831485"/>
      <w:r w:rsidRPr="00934361">
        <w:t xml:space="preserve">Base Case </w:t>
      </w:r>
      <w:r w:rsidR="00F6152F" w:rsidRPr="00934361">
        <w:t>Gas Gathering System</w:t>
      </w:r>
      <w:bookmarkEnd w:id="50"/>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1" w:name="_Toc228831486"/>
      <w:r>
        <w:lastRenderedPageBreak/>
        <w:t>Gas Processing Plant (GPP) – 500 MMscfd</w:t>
      </w:r>
      <w:bookmarkEnd w:id="51"/>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2" w:name="_Toc228831487"/>
      <w:r w:rsidRPr="00D944C1">
        <w:t>Methanol Production Plant</w:t>
      </w:r>
      <w:bookmarkEnd w:id="52"/>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3" w:name="_Toc228831488"/>
      <w:r w:rsidRPr="00D944C1">
        <w:t>Floating LNG (FLNG) Facility</w:t>
      </w:r>
      <w:r w:rsidR="00C36341">
        <w:t>/</w:t>
      </w:r>
      <w:r w:rsidR="007646EA">
        <w:t>Fertilizer (Urea)</w:t>
      </w:r>
      <w:bookmarkEnd w:id="53"/>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4" w:name="_Toc228831489"/>
      <w:r w:rsidRPr="00D944C1">
        <w:t>Product Export System</w:t>
      </w:r>
      <w:bookmarkEnd w:id="54"/>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5" w:name="_Toc228831490"/>
      <w:r w:rsidRPr="00D944C1">
        <w:t>Produced Water Management</w:t>
      </w:r>
      <w:bookmarkEnd w:id="55"/>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6" w:name="_Toc228831491"/>
      <w:r w:rsidRPr="00D944C1">
        <w:t>Utilities and Offsite Infrastructure</w:t>
      </w:r>
      <w:bookmarkEnd w:id="56"/>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7" w:name="_Toc228831492"/>
      <w:r w:rsidRPr="00D944C1">
        <w:lastRenderedPageBreak/>
        <w:t>Pipeline Design Philosophy – Flexibility &amp; Expandability</w:t>
      </w:r>
      <w:bookmarkEnd w:id="57"/>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8" w:name="_Toc228831493"/>
      <w:r>
        <w:rPr>
          <w:rStyle w:val="Hyperlink"/>
          <w:color w:val="000080"/>
          <w:u w:val="none"/>
        </w:rPr>
        <w:lastRenderedPageBreak/>
        <w:t>Battery Limit, and Scope of Work</w:t>
      </w:r>
      <w:bookmarkEnd w:id="58"/>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59" w:name="_Toc228807887"/>
      <w:bookmarkStart w:id="60" w:name="_Toc228808390"/>
      <w:bookmarkStart w:id="61" w:name="_Toc228808546"/>
      <w:bookmarkStart w:id="62" w:name="_Toc228819697"/>
      <w:bookmarkStart w:id="63" w:name="_Toc228828144"/>
      <w:bookmarkStart w:id="64" w:name="_Toc228830717"/>
      <w:bookmarkStart w:id="65" w:name="_Toc228831494"/>
      <w:bookmarkEnd w:id="59"/>
      <w:bookmarkEnd w:id="60"/>
      <w:bookmarkEnd w:id="61"/>
      <w:bookmarkEnd w:id="62"/>
      <w:bookmarkEnd w:id="63"/>
      <w:bookmarkEnd w:id="64"/>
      <w:bookmarkEnd w:id="65"/>
    </w:p>
    <w:p w14:paraId="512D6ED5" w14:textId="5E6FF847" w:rsidR="0066567D" w:rsidRPr="00CA20A4" w:rsidRDefault="0066567D" w:rsidP="00E57AD3">
      <w:pPr>
        <w:pStyle w:val="Heading2"/>
        <w:spacing w:before="360"/>
        <w:ind w:left="851" w:hanging="851"/>
        <w:rPr>
          <w:rStyle w:val="Hyperlink"/>
          <w:color w:val="000080"/>
          <w:u w:val="none"/>
        </w:rPr>
      </w:pPr>
      <w:bookmarkStart w:id="66" w:name="_Toc228831495"/>
      <w:r w:rsidRPr="00CA20A4">
        <w:rPr>
          <w:rStyle w:val="Hyperlink"/>
          <w:color w:val="000080"/>
          <w:u w:val="none"/>
        </w:rPr>
        <w:t>Battery Limit</w:t>
      </w:r>
      <w:bookmarkEnd w:id="66"/>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7" w:name="_Toc228831496"/>
      <w:r>
        <w:t>OKNU</w:t>
      </w:r>
      <w:r w:rsidR="0066567D">
        <w:t xml:space="preserve"> Platform</w:t>
      </w:r>
      <w:bookmarkEnd w:id="67"/>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8" w:name="_Toc228831497"/>
      <w:r>
        <w:t>BBOU Platform</w:t>
      </w:r>
      <w:bookmarkEnd w:id="68"/>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69" w:name="_Toc228831498"/>
      <w:r>
        <w:t>ELEP Platform</w:t>
      </w:r>
      <w:bookmarkEnd w:id="69"/>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70" w:name="_Toc228831499"/>
      <w:r>
        <w:t>Akabel Facility</w:t>
      </w:r>
      <w:bookmarkEnd w:id="70"/>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1" w:name="_Toc228831500"/>
      <w:r>
        <w:t>Data Room Index Structure</w:t>
      </w:r>
      <w:bookmarkEnd w:id="71"/>
    </w:p>
    <w:p w14:paraId="08E8315C" w14:textId="79370C3F" w:rsidR="0066567D" w:rsidRPr="007A7379" w:rsidRDefault="0066567D" w:rsidP="00EA2D74">
      <w:pPr>
        <w:pStyle w:val="Heading3"/>
        <w:ind w:left="851" w:hanging="851"/>
        <w:rPr>
          <w:bCs w:val="0"/>
        </w:rPr>
      </w:pPr>
      <w:bookmarkStart w:id="72" w:name="_Toc228831501"/>
      <w:r w:rsidRPr="007A7379">
        <w:rPr>
          <w:bCs w:val="0"/>
        </w:rPr>
        <w:t>Project Overview</w:t>
      </w:r>
      <w:bookmarkEnd w:id="72"/>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3" w:name="_Toc228831502"/>
      <w:r w:rsidRPr="007A7379">
        <w:rPr>
          <w:bCs w:val="0"/>
        </w:rPr>
        <w:t>Route &amp; Survey</w:t>
      </w:r>
      <w:bookmarkEnd w:id="73"/>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4" w:name="_Toc228831503"/>
      <w:r w:rsidRPr="007A7379">
        <w:rPr>
          <w:bCs w:val="0"/>
        </w:rPr>
        <w:t>Pipeline Engineering</w:t>
      </w:r>
      <w:bookmarkEnd w:id="74"/>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5" w:name="_Toc228831504"/>
      <w:r w:rsidRPr="000A5E1F">
        <w:rPr>
          <w:bCs w:val="0"/>
        </w:rPr>
        <w:t>Facilities</w:t>
      </w:r>
      <w:bookmarkEnd w:id="75"/>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6" w:name="_Toc228831505"/>
      <w:r w:rsidRPr="000A5E1F">
        <w:rPr>
          <w:bCs w:val="0"/>
        </w:rPr>
        <w:t>Crossings</w:t>
      </w:r>
      <w:bookmarkEnd w:id="76"/>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7" w:name="_Toc228831506"/>
      <w:r w:rsidRPr="007A7379">
        <w:rPr>
          <w:bCs w:val="0"/>
        </w:rPr>
        <w:t>Mechanical &amp; Materials</w:t>
      </w:r>
      <w:bookmarkEnd w:id="77"/>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8" w:name="_Toc228831507"/>
      <w:r w:rsidRPr="007A7379">
        <w:rPr>
          <w:bCs w:val="0"/>
        </w:rPr>
        <w:t>Process &amp; Instrumentation</w:t>
      </w:r>
      <w:bookmarkEnd w:id="78"/>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79" w:name="_Toc228831508"/>
      <w:r w:rsidRPr="000A5E1F">
        <w:rPr>
          <w:bCs w:val="0"/>
        </w:rPr>
        <w:t>Electrical &amp; CP</w:t>
      </w:r>
      <w:bookmarkEnd w:id="79"/>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0" w:name="_Toc228831509"/>
      <w:r w:rsidRPr="000A5E1F">
        <w:rPr>
          <w:bCs w:val="0"/>
        </w:rPr>
        <w:t>Civil &amp; Structural</w:t>
      </w:r>
      <w:bookmarkEnd w:id="80"/>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1" w:name="_Toc228831510"/>
      <w:r w:rsidRPr="000A5E1F">
        <w:rPr>
          <w:bCs w:val="0"/>
        </w:rPr>
        <w:t>Testing &amp; Commissioning</w:t>
      </w:r>
      <w:bookmarkEnd w:id="81"/>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2" w:name="_Toc228831511"/>
      <w:r w:rsidRPr="000A5E1F">
        <w:rPr>
          <w:bCs w:val="0"/>
        </w:rPr>
        <w:t>Environmental</w:t>
      </w:r>
      <w:bookmarkEnd w:id="82"/>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3" w:name="_Toc228831512"/>
      <w:r w:rsidRPr="000A5E1F">
        <w:rPr>
          <w:bCs w:val="0"/>
        </w:rPr>
        <w:t>Modifications</w:t>
      </w:r>
      <w:bookmarkEnd w:id="83"/>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4" w:name="_Toc228831513"/>
      <w:r w:rsidRPr="000A5E1F">
        <w:rPr>
          <w:bCs w:val="0"/>
        </w:rPr>
        <w:t>Decommissioning (To Be Developed)</w:t>
      </w:r>
      <w:bookmarkEnd w:id="84"/>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5" w:name="_Toc228831514"/>
      <w:r>
        <w:t>Layout &amp; Configuration</w:t>
      </w:r>
      <w:bookmarkEnd w:id="85"/>
    </w:p>
    <w:p w14:paraId="147A012A" w14:textId="689C0393" w:rsidR="0066567D" w:rsidRPr="007221F4" w:rsidRDefault="0066567D" w:rsidP="000767A0">
      <w:pPr>
        <w:pStyle w:val="Heading3"/>
        <w:ind w:left="851" w:hanging="851"/>
        <w:rPr>
          <w:bCs w:val="0"/>
        </w:rPr>
      </w:pPr>
      <w:bookmarkStart w:id="86" w:name="_Toc228831515"/>
      <w:r w:rsidRPr="007221F4">
        <w:rPr>
          <w:bCs w:val="0"/>
        </w:rPr>
        <w:t>Route &amp; Alignment</w:t>
      </w:r>
      <w:bookmarkEnd w:id="86"/>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7" w:name="_Toc228831516"/>
      <w:r w:rsidRPr="007221F4">
        <w:rPr>
          <w:bCs w:val="0"/>
        </w:rPr>
        <w:t>Crossings &amp; Special Sections</w:t>
      </w:r>
      <w:bookmarkEnd w:id="87"/>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8" w:name="_Toc228831517"/>
      <w:r w:rsidRPr="007221F4">
        <w:rPr>
          <w:bCs w:val="0"/>
        </w:rPr>
        <w:t>Mechanical &amp; Materials</w:t>
      </w:r>
      <w:bookmarkEnd w:id="88"/>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89" w:name="_Toc228831518"/>
      <w:r w:rsidRPr="007221F4">
        <w:rPr>
          <w:bCs w:val="0"/>
        </w:rPr>
        <w:t>Valves &amp; Facilities</w:t>
      </w:r>
      <w:bookmarkEnd w:id="89"/>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0" w:name="_Toc228831519"/>
      <w:r w:rsidRPr="007221F4">
        <w:rPr>
          <w:bCs w:val="0"/>
        </w:rPr>
        <w:lastRenderedPageBreak/>
        <w:t>Process &amp; Control</w:t>
      </w:r>
      <w:bookmarkEnd w:id="90"/>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1" w:name="_Toc228831520"/>
      <w:r w:rsidRPr="007221F4">
        <w:rPr>
          <w:bCs w:val="0"/>
        </w:rPr>
        <w:t>Electrical &amp; CP</w:t>
      </w:r>
      <w:bookmarkEnd w:id="91"/>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2" w:name="_Toc228831521"/>
      <w:r w:rsidRPr="000A5E1F">
        <w:rPr>
          <w:bCs w:val="0"/>
        </w:rPr>
        <w:t>Civil &amp; Structural</w:t>
      </w:r>
      <w:bookmarkEnd w:id="92"/>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3" w:name="_Toc228831522"/>
      <w:r w:rsidRPr="00A26052">
        <w:rPr>
          <w:bCs w:val="0"/>
        </w:rPr>
        <w:t>Testing &amp; Commissioning</w:t>
      </w:r>
      <w:bookmarkEnd w:id="93"/>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4" w:name="_Toc228831523"/>
      <w:r w:rsidRPr="00A26052">
        <w:rPr>
          <w:bCs w:val="0"/>
        </w:rPr>
        <w:t>Environmental</w:t>
      </w:r>
      <w:bookmarkEnd w:id="94"/>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5" w:name="_Toc228831524"/>
      <w:r w:rsidRPr="00A26052">
        <w:rPr>
          <w:bCs w:val="0"/>
        </w:rPr>
        <w:t>Modifications &amp; Deviations</w:t>
      </w:r>
      <w:bookmarkEnd w:id="95"/>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6" w:name="_Toc228831525"/>
      <w:r w:rsidRPr="000A5E1F">
        <w:t>Submission Requirements</w:t>
      </w:r>
      <w:bookmarkEnd w:id="96"/>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7"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7"/>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8" w:name="_Toc228831527"/>
      <w:r w:rsidRPr="000A5E1F">
        <w:lastRenderedPageBreak/>
        <w:t xml:space="preserve">KP 0 – KP 10 (OKNU </w:t>
      </w:r>
      <w:r w:rsidRPr="000A5E1F">
        <w:rPr>
          <w:rFonts w:ascii="Arial" w:hAnsi="Arial" w:cs="Arial"/>
        </w:rPr>
        <w:t>→</w:t>
      </w:r>
      <w:r w:rsidRPr="000A5E1F">
        <w:t xml:space="preserve"> River Niger Crossing)</w:t>
      </w:r>
      <w:bookmarkEnd w:id="98"/>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99" w:name="_Toc228831528"/>
      <w:r w:rsidRPr="000A5E1F">
        <w:rPr>
          <w:bCs w:val="0"/>
        </w:rPr>
        <w:t>KP 10 – River Niger Crossing</w:t>
      </w:r>
      <w:bookmarkEnd w:id="99"/>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0" w:name="_Toc228831529"/>
      <w:r w:rsidRPr="000A5E1F">
        <w:rPr>
          <w:bCs w:val="0"/>
        </w:rPr>
        <w:t>KP 10 – KP 38 (Swamp Section)</w:t>
      </w:r>
      <w:bookmarkEnd w:id="100"/>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1" w:name="_Toc228831530"/>
      <w:r w:rsidRPr="000A5E1F">
        <w:rPr>
          <w:bCs w:val="0"/>
        </w:rPr>
        <w:t>KP 38 – Midline Manifold (SEIB Tie-in)</w:t>
      </w:r>
      <w:bookmarkEnd w:id="101"/>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2" w:name="_Toc228831531"/>
      <w:r w:rsidRPr="000A5E1F">
        <w:rPr>
          <w:bCs w:val="0"/>
        </w:rPr>
        <w:t>KP 38 – KP 66</w:t>
      </w:r>
      <w:bookmarkEnd w:id="102"/>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3" w:name="_Toc228831532"/>
      <w:r w:rsidRPr="000A5E1F">
        <w:rPr>
          <w:bCs w:val="0"/>
        </w:rPr>
        <w:t>KP 66 – Midline Manifold (NUNR/DBUC Tie-in)</w:t>
      </w:r>
      <w:bookmarkEnd w:id="103"/>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4" w:name="_Toc228831533"/>
      <w:r w:rsidRPr="0034011A">
        <w:rPr>
          <w:bCs w:val="0"/>
        </w:rPr>
        <w:t>KP 66 – KP 85 (BBOU)</w:t>
      </w:r>
      <w:bookmarkEnd w:id="104"/>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5" w:name="_Toc228831534"/>
      <w:r w:rsidRPr="000A5E1F">
        <w:rPr>
          <w:bCs w:val="0"/>
        </w:rPr>
        <w:t>KP 85 – BBOU Manifold</w:t>
      </w:r>
      <w:bookmarkEnd w:id="105"/>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6"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6"/>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7"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7"/>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8" w:name="_Toc228831537"/>
      <w:r w:rsidRPr="000A5E1F">
        <w:rPr>
          <w:bCs w:val="0"/>
        </w:rPr>
        <w:t>KP 125 – AKAB Gas Hub</w:t>
      </w:r>
      <w:bookmarkEnd w:id="108"/>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09"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09"/>
    </w:p>
    <w:p w14:paraId="554F17CD" w14:textId="77777777" w:rsidR="002C40F7" w:rsidRPr="005B6684" w:rsidRDefault="002C40F7" w:rsidP="002C40F7">
      <w:pPr>
        <w:pStyle w:val="Heading2"/>
        <w:spacing w:before="360" w:line="276" w:lineRule="auto"/>
        <w:ind w:left="851" w:hanging="851"/>
        <w:rPr>
          <w:color w:val="000000" w:themeColor="text1"/>
        </w:rPr>
      </w:pPr>
      <w:bookmarkStart w:id="110" w:name="_Toc228831539"/>
      <w:r w:rsidRPr="005B6684">
        <w:rPr>
          <w:color w:val="000000" w:themeColor="text1"/>
        </w:rPr>
        <w:t>Governance</w:t>
      </w:r>
      <w:bookmarkEnd w:id="110"/>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1" w:name="_Toc228831540"/>
      <w:r w:rsidRPr="005B6684">
        <w:rPr>
          <w:color w:val="000000" w:themeColor="text1"/>
        </w:rPr>
        <w:t>Primary Regulators</w:t>
      </w:r>
      <w:bookmarkEnd w:id="111"/>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2" w:name="_Toc228831541"/>
      <w:r w:rsidRPr="005B6684">
        <w:rPr>
          <w:color w:val="000000" w:themeColor="text1"/>
        </w:rPr>
        <w:t>Core Legal Frameworks</w:t>
      </w:r>
      <w:bookmarkEnd w:id="112"/>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3" w:name="_Toc228831542"/>
      <w:r w:rsidRPr="005B6684">
        <w:rPr>
          <w:color w:val="000000" w:themeColor="text1"/>
        </w:rPr>
        <w:t>Technical &amp; Operational Requirements</w:t>
      </w:r>
      <w:bookmarkEnd w:id="113"/>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4" w:name="_Toc228831543"/>
      <w:r w:rsidRPr="005B6684">
        <w:rPr>
          <w:color w:val="000000" w:themeColor="text1"/>
        </w:rPr>
        <w:t>Key Challenges in the Nigerian Context</w:t>
      </w:r>
      <w:bookmarkEnd w:id="114"/>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5" w:name="_Toc228831544"/>
      <w:r w:rsidRPr="005B6684">
        <w:rPr>
          <w:color w:val="000000" w:themeColor="text1"/>
        </w:rPr>
        <w:t>Ancillary Systems</w:t>
      </w:r>
      <w:bookmarkEnd w:id="115"/>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6" w:name="_Toc228831545"/>
      <w:r w:rsidRPr="005B6684">
        <w:rPr>
          <w:color w:val="000000" w:themeColor="text1"/>
          <w:sz w:val="22"/>
          <w:szCs w:val="22"/>
        </w:rPr>
        <w:t>Decommissioning Philosophy</w:t>
      </w:r>
      <w:bookmarkEnd w:id="116"/>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7" w:name="_Toc228831546"/>
      <w:r w:rsidRPr="005B6684">
        <w:rPr>
          <w:color w:val="000000" w:themeColor="text1"/>
          <w:sz w:val="22"/>
          <w:szCs w:val="22"/>
        </w:rPr>
        <w:t>Key Decommissioning Processes</w:t>
      </w:r>
      <w:bookmarkEnd w:id="117"/>
    </w:p>
    <w:p w14:paraId="4EA090E3" w14:textId="77777777" w:rsidR="002C40F7" w:rsidRPr="005B6684" w:rsidRDefault="002C40F7" w:rsidP="002C40F7">
      <w:pPr>
        <w:pStyle w:val="Heading3"/>
        <w:ind w:left="794" w:hanging="794"/>
        <w:rPr>
          <w:color w:val="000000" w:themeColor="text1"/>
        </w:rPr>
      </w:pPr>
      <w:bookmarkStart w:id="118" w:name="_Toc228831547"/>
      <w:r w:rsidRPr="005B6684">
        <w:rPr>
          <w:color w:val="000000" w:themeColor="text1"/>
        </w:rPr>
        <w:t>Planning &amp; Approvals</w:t>
      </w:r>
      <w:bookmarkEnd w:id="118"/>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19" w:name="_Toc228831548"/>
      <w:r w:rsidRPr="005B6684">
        <w:rPr>
          <w:color w:val="000000" w:themeColor="text1"/>
        </w:rPr>
        <w:t>Shutdown &amp; Isolation</w:t>
      </w:r>
      <w:bookmarkEnd w:id="119"/>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20" w:name="_Toc228831549"/>
      <w:r w:rsidRPr="005B6684">
        <w:rPr>
          <w:color w:val="000000" w:themeColor="text1"/>
        </w:rPr>
        <w:t>Cleaning &amp; Hydrocarbon Removal</w:t>
      </w:r>
      <w:bookmarkEnd w:id="120"/>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1" w:name="_Toc228831550"/>
      <w:r w:rsidRPr="005B6684">
        <w:rPr>
          <w:color w:val="000000" w:themeColor="text1"/>
        </w:rPr>
        <w:t>Flushing, Drying &amp; Inerting</w:t>
      </w:r>
      <w:bookmarkEnd w:id="121"/>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2" w:name="_Toc228831551"/>
      <w:r w:rsidRPr="005B6684">
        <w:rPr>
          <w:color w:val="000000" w:themeColor="text1"/>
        </w:rPr>
        <w:t>Metering Close-Out (Critical Step)</w:t>
      </w:r>
      <w:bookmarkEnd w:id="122"/>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3" w:name="_Toc228831552"/>
      <w:r w:rsidRPr="005B6684">
        <w:rPr>
          <w:color w:val="000000" w:themeColor="text1"/>
        </w:rPr>
        <w:t>Disconnection &amp; Segmentation</w:t>
      </w:r>
      <w:bookmarkEnd w:id="123"/>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4" w:name="_Toc228831553"/>
      <w:r w:rsidRPr="005B6684">
        <w:rPr>
          <w:color w:val="000000" w:themeColor="text1"/>
        </w:rPr>
        <w:t>Execution (Removal / Abandonment)</w:t>
      </w:r>
      <w:bookmarkEnd w:id="124"/>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5" w:name="_Toc228831554"/>
      <w:r w:rsidRPr="005B6684">
        <w:rPr>
          <w:color w:val="000000" w:themeColor="text1"/>
        </w:rPr>
        <w:t>Waste Management</w:t>
      </w:r>
      <w:bookmarkEnd w:id="125"/>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6" w:name="_Toc228831555"/>
      <w:r w:rsidRPr="005B6684">
        <w:rPr>
          <w:color w:val="000000" w:themeColor="text1"/>
        </w:rPr>
        <w:t>Site Restoration</w:t>
      </w:r>
      <w:bookmarkEnd w:id="126"/>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7" w:name="_Toc228831556"/>
      <w:r w:rsidRPr="005B6684">
        <w:rPr>
          <w:color w:val="000000" w:themeColor="text1"/>
          <w:sz w:val="22"/>
          <w:szCs w:val="22"/>
        </w:rPr>
        <w:t>Abandonment Activities</w:t>
      </w:r>
      <w:bookmarkEnd w:id="127"/>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7"/>
      <w:r w:rsidRPr="005B6684">
        <w:rPr>
          <w:color w:val="000000" w:themeColor="text1"/>
          <w:sz w:val="22"/>
          <w:szCs w:val="22"/>
        </w:rPr>
        <w:t>KP-Based Execution Strategy</w:t>
      </w:r>
      <w:bookmarkEnd w:id="128"/>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8"/>
      <w:r w:rsidRPr="005B6684">
        <w:rPr>
          <w:color w:val="000000" w:themeColor="text1"/>
          <w:sz w:val="22"/>
          <w:szCs w:val="22"/>
        </w:rPr>
        <w:t>Risk Management</w:t>
      </w:r>
      <w:bookmarkEnd w:id="1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30" w:name="_Toc228831559"/>
      <w:r w:rsidRPr="005B6684">
        <w:rPr>
          <w:color w:val="000000" w:themeColor="text1"/>
          <w:sz w:val="22"/>
          <w:szCs w:val="22"/>
        </w:rPr>
        <w:t>Conclusion</w:t>
      </w:r>
      <w:bookmarkEnd w:id="130"/>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1" w:name="_Toc228831560"/>
      <w:r>
        <w:rPr>
          <w:rStyle w:val="Hyperlink"/>
          <w:color w:val="000080"/>
          <w:u w:val="none"/>
        </w:rPr>
        <w:lastRenderedPageBreak/>
        <w:t>Key Decommissioning Processes &amp; Abandonment Activities</w:t>
      </w:r>
      <w:bookmarkEnd w:id="131"/>
    </w:p>
    <w:p w14:paraId="2D9D657D" w14:textId="34F90ECA" w:rsidR="00D878B7" w:rsidRDefault="00D878B7" w:rsidP="00E73C1F">
      <w:pPr>
        <w:pStyle w:val="Heading2"/>
        <w:ind w:left="851" w:hanging="851"/>
      </w:pPr>
      <w:bookmarkStart w:id="132" w:name="_Toc228831561"/>
      <w:r>
        <w:t>Decommissioning Processes (End-to-End Execution)</w:t>
      </w:r>
      <w:bookmarkEnd w:id="132"/>
    </w:p>
    <w:p w14:paraId="0A4B3AF0" w14:textId="77777777" w:rsidR="00D878B7" w:rsidRDefault="00D878B7" w:rsidP="00E73C1F">
      <w:pPr>
        <w:pStyle w:val="Heading3"/>
        <w:ind w:left="794" w:hanging="794"/>
      </w:pPr>
      <w:r>
        <w:t xml:space="preserve"> </w:t>
      </w:r>
      <w:bookmarkStart w:id="133" w:name="_Toc228831562"/>
      <w:r>
        <w:t>Pre-Decommissioning Planning</w:t>
      </w:r>
      <w:bookmarkEnd w:id="133"/>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4" w:name="_Toc228831563"/>
      <w:r>
        <w:t>System Shutdown &amp; Isolation</w:t>
      </w:r>
      <w:bookmarkEnd w:id="134"/>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5" w:name="_Toc228831564"/>
      <w:r>
        <w:t>Pipeline Cleaning &amp; Hydrocarbon Removal</w:t>
      </w:r>
      <w:bookmarkEnd w:id="135"/>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6" w:name="_Toc228831565"/>
      <w:r>
        <w:t>Flushing, Drying &amp; Inerting</w:t>
      </w:r>
      <w:bookmarkEnd w:id="136"/>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7" w:name="_Toc228831566"/>
      <w:r>
        <w:t>Disconnection &amp; Mechanical Works</w:t>
      </w:r>
      <w:bookmarkEnd w:id="137"/>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8" w:name="_Toc228831567"/>
      <w:r>
        <w:t>Pipeline Removal (Where Applicable)</w:t>
      </w:r>
      <w:bookmarkEnd w:id="138"/>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39" w:name="_Toc228831568"/>
      <w:r>
        <w:t>Waste Management</w:t>
      </w:r>
      <w:bookmarkEnd w:id="139"/>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40" w:name="_Toc228831569"/>
      <w:r>
        <w:t>Site Restoration</w:t>
      </w:r>
      <w:bookmarkEnd w:id="140"/>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1" w:name="_Toc228831570"/>
      <w:r>
        <w:t>Abandonment Activities (Pipeline Left In Place)</w:t>
      </w:r>
      <w:bookmarkEnd w:id="141"/>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2" w:name="_Toc228831571"/>
      <w:r>
        <w:t>Cleaning to Acceptable Standard</w:t>
      </w:r>
      <w:bookmarkEnd w:id="142"/>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3" w:name="_Toc228831572"/>
      <w:r>
        <w:t>Isolation &amp; Disconnection</w:t>
      </w:r>
      <w:bookmarkEnd w:id="143"/>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4" w:name="_Toc228831573"/>
      <w:r>
        <w:t>Filling / Stabilization</w:t>
      </w:r>
      <w:bookmarkEnd w:id="144"/>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5" w:name="_Toc228831574"/>
      <w:r>
        <w:t>Cathodic Protection Decommissioning</w:t>
      </w:r>
      <w:bookmarkEnd w:id="145"/>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6" w:name="_Toc228831575"/>
      <w:r>
        <w:t>Long-Term Integrity Assurance</w:t>
      </w:r>
      <w:bookmarkEnd w:id="146"/>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7" w:name="_Toc228831576"/>
      <w:r>
        <w:t>Marking &amp; Records</w:t>
      </w:r>
      <w:bookmarkEnd w:id="147"/>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8" w:name="_Toc228831577"/>
      <w:r>
        <w:t>Special Considerations for OKNU–BBOU–ELEP–AKAB</w:t>
      </w:r>
      <w:bookmarkEnd w:id="148"/>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49" w:name="_Toc227320001"/>
      <w:bookmarkStart w:id="150" w:name="_Toc228831578"/>
      <w:r>
        <w:rPr>
          <w:rStyle w:val="Hyperlink"/>
          <w:color w:val="000080"/>
          <w:u w:val="none"/>
        </w:rPr>
        <w:lastRenderedPageBreak/>
        <w:t xml:space="preserve">Facilities </w:t>
      </w:r>
      <w:r w:rsidR="00F6152F" w:rsidRPr="000D0F97">
        <w:rPr>
          <w:rStyle w:val="Hyperlink"/>
          <w:color w:val="000080"/>
          <w:u w:val="none"/>
        </w:rPr>
        <w:t>Engineering</w:t>
      </w:r>
      <w:bookmarkEnd w:id="149"/>
      <w:r w:rsidR="00DF5C79">
        <w:rPr>
          <w:rStyle w:val="Hyperlink"/>
          <w:color w:val="000080"/>
          <w:u w:val="none"/>
        </w:rPr>
        <w:t xml:space="preserve"> Design Features</w:t>
      </w:r>
      <w:bookmarkEnd w:id="150"/>
    </w:p>
    <w:p w14:paraId="3F14BBFA" w14:textId="5F0C1B8D" w:rsidR="00F6152F" w:rsidRDefault="00F6152F" w:rsidP="0072361F">
      <w:pPr>
        <w:pStyle w:val="Heading2"/>
        <w:spacing w:before="360"/>
        <w:ind w:left="851" w:hanging="851"/>
        <w:jc w:val="left"/>
      </w:pPr>
      <w:bookmarkStart w:id="151" w:name="_Toc227319480"/>
      <w:bookmarkStart w:id="152" w:name="_Toc227319580"/>
      <w:bookmarkStart w:id="153" w:name="_Toc227319641"/>
      <w:bookmarkStart w:id="154" w:name="_Toc227320002"/>
      <w:bookmarkStart w:id="155" w:name="_Toc228279635"/>
      <w:bookmarkStart w:id="156" w:name="_Toc228279945"/>
      <w:bookmarkStart w:id="157" w:name="_Toc228388004"/>
      <w:bookmarkStart w:id="158" w:name="_Toc228779449"/>
      <w:bookmarkStart w:id="159" w:name="_Toc228781946"/>
      <w:bookmarkStart w:id="160" w:name="_Toc228790156"/>
      <w:bookmarkStart w:id="161" w:name="_Toc228388005"/>
      <w:bookmarkStart w:id="162" w:name="_Toc228779450"/>
      <w:bookmarkStart w:id="163" w:name="_Toc228781947"/>
      <w:bookmarkStart w:id="164" w:name="_Toc228790157"/>
      <w:bookmarkStart w:id="165" w:name="_Toc228388006"/>
      <w:bookmarkStart w:id="166" w:name="_Toc228779451"/>
      <w:bookmarkStart w:id="167" w:name="_Toc228781948"/>
      <w:bookmarkStart w:id="168" w:name="_Toc228790158"/>
      <w:bookmarkStart w:id="169" w:name="_Toc227320003"/>
      <w:bookmarkStart w:id="170" w:name="_Toc228831579"/>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rsidRPr="0072361F">
        <w:t>Pipeline</w:t>
      </w:r>
      <w:r>
        <w:t xml:space="preserve"> Routing Philosophy</w:t>
      </w:r>
      <w:bookmarkEnd w:id="169"/>
      <w:bookmarkEnd w:id="170"/>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1" w:name="_Toc228831580"/>
      <w:r>
        <w:t>Liquid Management Strategy</w:t>
      </w:r>
      <w:bookmarkEnd w:id="171"/>
    </w:p>
    <w:p w14:paraId="2795F770" w14:textId="0FD1C6B9" w:rsidR="00F6152F" w:rsidRDefault="00F6152F" w:rsidP="0072361F">
      <w:pPr>
        <w:pStyle w:val="Heading3"/>
        <w:ind w:left="794" w:hanging="794"/>
      </w:pPr>
      <w:bookmarkStart w:id="172" w:name="_Toc228279638"/>
      <w:bookmarkStart w:id="173" w:name="_Toc228279948"/>
      <w:bookmarkStart w:id="174" w:name="_Toc228388009"/>
      <w:bookmarkStart w:id="175" w:name="_Toc228779454"/>
      <w:bookmarkStart w:id="176" w:name="_Toc228781951"/>
      <w:bookmarkStart w:id="177" w:name="_Toc228790161"/>
      <w:bookmarkStart w:id="178" w:name="_Toc228279639"/>
      <w:bookmarkStart w:id="179" w:name="_Toc228279949"/>
      <w:bookmarkStart w:id="180" w:name="_Toc228388010"/>
      <w:bookmarkStart w:id="181" w:name="_Toc228779455"/>
      <w:bookmarkStart w:id="182" w:name="_Toc228781952"/>
      <w:bookmarkStart w:id="183" w:name="_Toc228790162"/>
      <w:bookmarkStart w:id="184" w:name="_Toc228279640"/>
      <w:bookmarkStart w:id="185" w:name="_Toc228279950"/>
      <w:bookmarkStart w:id="186" w:name="_Toc228388011"/>
      <w:bookmarkStart w:id="187" w:name="_Toc228779456"/>
      <w:bookmarkStart w:id="188" w:name="_Toc228781953"/>
      <w:bookmarkStart w:id="189" w:name="_Toc228790163"/>
      <w:bookmarkStart w:id="190" w:name="_Toc228279641"/>
      <w:bookmarkStart w:id="191" w:name="_Toc228279951"/>
      <w:bookmarkStart w:id="192" w:name="_Toc228388012"/>
      <w:bookmarkStart w:id="193" w:name="_Toc228779457"/>
      <w:bookmarkStart w:id="194" w:name="_Toc228781954"/>
      <w:bookmarkStart w:id="195" w:name="_Toc228790164"/>
      <w:bookmarkStart w:id="196" w:name="_Toc228279642"/>
      <w:bookmarkStart w:id="197" w:name="_Toc228279952"/>
      <w:bookmarkStart w:id="198" w:name="_Toc228388013"/>
      <w:bookmarkStart w:id="199" w:name="_Toc228779458"/>
      <w:bookmarkStart w:id="200" w:name="_Toc228781955"/>
      <w:bookmarkStart w:id="201" w:name="_Toc228790165"/>
      <w:bookmarkStart w:id="202" w:name="_Toc228279643"/>
      <w:bookmarkStart w:id="203" w:name="_Toc228279953"/>
      <w:bookmarkStart w:id="204" w:name="_Toc228388014"/>
      <w:bookmarkStart w:id="205" w:name="_Toc228779459"/>
      <w:bookmarkStart w:id="206" w:name="_Toc228781956"/>
      <w:bookmarkStart w:id="207" w:name="_Toc228790166"/>
      <w:bookmarkStart w:id="208" w:name="_Toc228388015"/>
      <w:bookmarkStart w:id="209" w:name="_Toc228779460"/>
      <w:bookmarkStart w:id="210" w:name="_Toc228781957"/>
      <w:bookmarkStart w:id="211" w:name="_Toc228790167"/>
      <w:bookmarkStart w:id="212" w:name="_Toc228388016"/>
      <w:bookmarkStart w:id="213" w:name="_Toc228779461"/>
      <w:bookmarkStart w:id="214" w:name="_Toc228781958"/>
      <w:bookmarkStart w:id="215" w:name="_Toc228790168"/>
      <w:bookmarkStart w:id="216" w:name="_Toc228388017"/>
      <w:bookmarkStart w:id="217" w:name="_Toc228779462"/>
      <w:bookmarkStart w:id="218" w:name="_Toc228781959"/>
      <w:bookmarkStart w:id="219" w:name="_Toc228790169"/>
      <w:bookmarkStart w:id="220" w:name="_Toc228388018"/>
      <w:bookmarkStart w:id="221" w:name="_Toc228779463"/>
      <w:bookmarkStart w:id="222" w:name="_Toc228781960"/>
      <w:bookmarkStart w:id="223" w:name="_Toc228790170"/>
      <w:bookmarkStart w:id="224" w:name="_Toc228388019"/>
      <w:bookmarkStart w:id="225" w:name="_Toc228779464"/>
      <w:bookmarkStart w:id="226" w:name="_Toc228781961"/>
      <w:bookmarkStart w:id="227" w:name="_Toc228790171"/>
      <w:bookmarkStart w:id="228" w:name="_Toc228388020"/>
      <w:bookmarkStart w:id="229" w:name="_Toc228779465"/>
      <w:bookmarkStart w:id="230" w:name="_Toc228781962"/>
      <w:bookmarkStart w:id="231" w:name="_Toc228790172"/>
      <w:bookmarkStart w:id="232" w:name="_Toc22883158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72361F">
        <w:t>Upstream</w:t>
      </w:r>
      <w:r>
        <w:t xml:space="preserve"> Liquid Removal</w:t>
      </w:r>
      <w:bookmarkEnd w:id="232"/>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3" w:name="_Toc228831582"/>
      <w:r w:rsidRPr="00605E78">
        <w:t>Diameter</w:t>
      </w:r>
      <w:r>
        <w:t xml:space="preserve"> Optimization</w:t>
      </w:r>
      <w:bookmarkEnd w:id="233"/>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4" w:name="_Toc228831583"/>
      <w:r>
        <w:lastRenderedPageBreak/>
        <w:t>Receiving Facility Protection</w:t>
      </w:r>
      <w:bookmarkEnd w:id="234"/>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5" w:name="_Toc228831584"/>
      <w:r>
        <w:t>Liquid Handling and Disposal</w:t>
      </w:r>
      <w:bookmarkEnd w:id="235"/>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6" w:name="_Toc228831585"/>
      <w:r w:rsidRPr="00DD5415">
        <w:t>Pipeline Capacity and System Integration</w:t>
      </w:r>
      <w:bookmarkEnd w:id="236"/>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7" w:name="_Toc228831586"/>
      <w:r w:rsidRPr="00DD5415">
        <w:t>System Integration</w:t>
      </w:r>
      <w:bookmarkEnd w:id="237"/>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8" w:name="_Toc228831587"/>
      <w:r w:rsidRPr="00211C1B">
        <w:t>Pipeline Routing and Terrain</w:t>
      </w:r>
      <w:bookmarkEnd w:id="238"/>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39" w:name="_Toc228831588"/>
      <w:r w:rsidRPr="00211C1B">
        <w:t>Pipeline Size Decision</w:t>
      </w:r>
      <w:bookmarkEnd w:id="239"/>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40" w:name="_Toc228831589"/>
      <w:r w:rsidRPr="0018477D">
        <w:t>Metering System</w:t>
      </w:r>
      <w:bookmarkEnd w:id="240"/>
    </w:p>
    <w:p w14:paraId="1671FDA9" w14:textId="77777777" w:rsidR="00D36A08" w:rsidRDefault="00D36A08" w:rsidP="00286DB7">
      <w:pPr>
        <w:pStyle w:val="Heading3"/>
        <w:ind w:left="794" w:hanging="794"/>
      </w:pPr>
      <w:bookmarkStart w:id="241" w:name="_Toc228831590"/>
      <w:r w:rsidRPr="00B01434">
        <w:t>Wet Gas Metering (For Hydrocarbon Accounting)</w:t>
      </w:r>
      <w:bookmarkEnd w:id="241"/>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2" w:name="_Toc228831591"/>
      <w:r w:rsidRPr="005B6684">
        <w:rPr>
          <w:color w:val="000000" w:themeColor="text1"/>
        </w:rPr>
        <w:t>The Fiscal Metering system</w:t>
      </w:r>
      <w:bookmarkEnd w:id="242"/>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3" w:name="_Toc228831592"/>
      <w:r w:rsidRPr="005B6684">
        <w:rPr>
          <w:color w:val="000000" w:themeColor="text1"/>
        </w:rPr>
        <w:t>Other Metering Systems</w:t>
      </w:r>
      <w:bookmarkEnd w:id="243"/>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4" w:name="_Toc228831593"/>
      <w:r w:rsidRPr="005B6684">
        <w:rPr>
          <w:color w:val="000000" w:themeColor="text1"/>
        </w:rPr>
        <w:t>Governance &amp; Integration</w:t>
      </w:r>
      <w:bookmarkEnd w:id="244"/>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5E20" w14:textId="77777777" w:rsidR="00A9306B" w:rsidRDefault="00A9306B">
      <w:pPr>
        <w:spacing w:before="0" w:after="0" w:line="240" w:lineRule="auto"/>
      </w:pPr>
      <w:r>
        <w:separator/>
      </w:r>
    </w:p>
  </w:endnote>
  <w:endnote w:type="continuationSeparator" w:id="0">
    <w:p w14:paraId="32D82CC6" w14:textId="77777777" w:rsidR="00A9306B" w:rsidRDefault="00A930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8937B" w14:textId="77777777" w:rsidR="00A9306B" w:rsidRDefault="00A9306B">
      <w:pPr>
        <w:spacing w:before="0" w:after="0" w:line="240" w:lineRule="auto"/>
      </w:pPr>
      <w:r>
        <w:separator/>
      </w:r>
    </w:p>
  </w:footnote>
  <w:footnote w:type="continuationSeparator" w:id="0">
    <w:p w14:paraId="4CABA1D0" w14:textId="77777777" w:rsidR="00A9306B" w:rsidRDefault="00A930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6424E5"/>
    <w:multiLevelType w:val="multilevel"/>
    <w:tmpl w:val="294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4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FE2981"/>
    <w:multiLevelType w:val="multilevel"/>
    <w:tmpl w:val="F40A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5"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7"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9"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0"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9"/>
  </w:num>
  <w:num w:numId="3" w16cid:durableId="814569600">
    <w:abstractNumId w:val="49"/>
  </w:num>
  <w:num w:numId="4" w16cid:durableId="161164540">
    <w:abstractNumId w:val="49"/>
  </w:num>
  <w:num w:numId="5" w16cid:durableId="1156532021">
    <w:abstractNumId w:val="49"/>
  </w:num>
  <w:num w:numId="6" w16cid:durableId="846868193">
    <w:abstractNumId w:val="49"/>
  </w:num>
  <w:num w:numId="7" w16cid:durableId="364259079">
    <w:abstractNumId w:val="49"/>
  </w:num>
  <w:num w:numId="8" w16cid:durableId="796721640">
    <w:abstractNumId w:val="49"/>
  </w:num>
  <w:num w:numId="9" w16cid:durableId="1250381754">
    <w:abstractNumId w:val="49"/>
  </w:num>
  <w:num w:numId="10" w16cid:durableId="1559054978">
    <w:abstractNumId w:val="49"/>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7"/>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5"/>
  </w:num>
  <w:num w:numId="27" w16cid:durableId="1840580378">
    <w:abstractNumId w:val="51"/>
  </w:num>
  <w:num w:numId="28" w16cid:durableId="1209142546">
    <w:abstractNumId w:val="40"/>
  </w:num>
  <w:num w:numId="29" w16cid:durableId="1073158167">
    <w:abstractNumId w:val="26"/>
  </w:num>
  <w:num w:numId="30" w16cid:durableId="792670536">
    <w:abstractNumId w:val="41"/>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4"/>
  </w:num>
  <w:num w:numId="37" w16cid:durableId="1509173380">
    <w:abstractNumId w:val="27"/>
  </w:num>
  <w:num w:numId="38" w16cid:durableId="1126776675">
    <w:abstractNumId w:val="10"/>
  </w:num>
  <w:num w:numId="39" w16cid:durableId="1751122140">
    <w:abstractNumId w:val="42"/>
  </w:num>
  <w:num w:numId="40" w16cid:durableId="1990984649">
    <w:abstractNumId w:val="39"/>
  </w:num>
  <w:num w:numId="41" w16cid:durableId="233468373">
    <w:abstractNumId w:val="8"/>
  </w:num>
  <w:num w:numId="42" w16cid:durableId="20474579">
    <w:abstractNumId w:val="35"/>
  </w:num>
  <w:num w:numId="43" w16cid:durableId="614823498">
    <w:abstractNumId w:val="52"/>
  </w:num>
  <w:num w:numId="44" w16cid:durableId="414209621">
    <w:abstractNumId w:val="21"/>
  </w:num>
  <w:num w:numId="45" w16cid:durableId="255132943">
    <w:abstractNumId w:val="14"/>
  </w:num>
  <w:num w:numId="46" w16cid:durableId="943615372">
    <w:abstractNumId w:val="20"/>
  </w:num>
  <w:num w:numId="47" w16cid:durableId="1042899275">
    <w:abstractNumId w:val="37"/>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50"/>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8"/>
  </w:num>
  <w:num w:numId="56" w16cid:durableId="142937731">
    <w:abstractNumId w:val="32"/>
  </w:num>
  <w:num w:numId="57" w16cid:durableId="1542982245">
    <w:abstractNumId w:val="46"/>
  </w:num>
  <w:num w:numId="58" w16cid:durableId="239677737">
    <w:abstractNumId w:val="22"/>
  </w:num>
  <w:num w:numId="59" w16cid:durableId="406652022">
    <w:abstractNumId w:val="38"/>
  </w:num>
  <w:num w:numId="60" w16cid:durableId="1705641415">
    <w:abstractNumId w:val="36"/>
  </w:num>
  <w:num w:numId="61" w16cid:durableId="342316474">
    <w:abstractNumId w:val="43"/>
  </w:num>
  <w:num w:numId="62" w16cid:durableId="1282103535">
    <w:abstractNumId w:val="14"/>
  </w:num>
  <w:num w:numId="63" w16cid:durableId="1665351492">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0402E"/>
    <w:rsid w:val="00014C7F"/>
    <w:rsid w:val="0002396A"/>
    <w:rsid w:val="000271D2"/>
    <w:rsid w:val="00027229"/>
    <w:rsid w:val="00040692"/>
    <w:rsid w:val="00053809"/>
    <w:rsid w:val="00061326"/>
    <w:rsid w:val="00061C63"/>
    <w:rsid w:val="00061F10"/>
    <w:rsid w:val="000664F4"/>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71625"/>
    <w:rsid w:val="00183489"/>
    <w:rsid w:val="0018477D"/>
    <w:rsid w:val="001A2F1A"/>
    <w:rsid w:val="001E1EA1"/>
    <w:rsid w:val="001E71A0"/>
    <w:rsid w:val="001F5C54"/>
    <w:rsid w:val="001F62FB"/>
    <w:rsid w:val="001F6B96"/>
    <w:rsid w:val="00211076"/>
    <w:rsid w:val="00211C1B"/>
    <w:rsid w:val="00217927"/>
    <w:rsid w:val="0023343D"/>
    <w:rsid w:val="00241048"/>
    <w:rsid w:val="00242E9A"/>
    <w:rsid w:val="002433E8"/>
    <w:rsid w:val="00250970"/>
    <w:rsid w:val="002657FD"/>
    <w:rsid w:val="0026591E"/>
    <w:rsid w:val="00270869"/>
    <w:rsid w:val="00271C37"/>
    <w:rsid w:val="00286DB7"/>
    <w:rsid w:val="002A00FE"/>
    <w:rsid w:val="002A1D7A"/>
    <w:rsid w:val="002A4699"/>
    <w:rsid w:val="002A7ED0"/>
    <w:rsid w:val="002C185A"/>
    <w:rsid w:val="002C40F7"/>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60CD"/>
    <w:rsid w:val="00367CD0"/>
    <w:rsid w:val="00377275"/>
    <w:rsid w:val="003A4DED"/>
    <w:rsid w:val="003B0DE0"/>
    <w:rsid w:val="003B3D87"/>
    <w:rsid w:val="003C238D"/>
    <w:rsid w:val="003D1834"/>
    <w:rsid w:val="003D371E"/>
    <w:rsid w:val="003E47D2"/>
    <w:rsid w:val="004207FC"/>
    <w:rsid w:val="00426AAA"/>
    <w:rsid w:val="004475CF"/>
    <w:rsid w:val="00494D83"/>
    <w:rsid w:val="004A1526"/>
    <w:rsid w:val="004A2A48"/>
    <w:rsid w:val="004B014F"/>
    <w:rsid w:val="004B7F6A"/>
    <w:rsid w:val="004C12DC"/>
    <w:rsid w:val="004D7486"/>
    <w:rsid w:val="004E0CF9"/>
    <w:rsid w:val="004F4721"/>
    <w:rsid w:val="0052588A"/>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80310"/>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525F"/>
    <w:rsid w:val="007C53F7"/>
    <w:rsid w:val="007D2AA3"/>
    <w:rsid w:val="007D69FB"/>
    <w:rsid w:val="007E2557"/>
    <w:rsid w:val="008010C9"/>
    <w:rsid w:val="00823E80"/>
    <w:rsid w:val="008607EE"/>
    <w:rsid w:val="00887C01"/>
    <w:rsid w:val="008B0E3E"/>
    <w:rsid w:val="008D4DF0"/>
    <w:rsid w:val="008D7B15"/>
    <w:rsid w:val="008E0609"/>
    <w:rsid w:val="008F2998"/>
    <w:rsid w:val="009015BE"/>
    <w:rsid w:val="009036F2"/>
    <w:rsid w:val="00932D89"/>
    <w:rsid w:val="00934361"/>
    <w:rsid w:val="009451F2"/>
    <w:rsid w:val="009601D4"/>
    <w:rsid w:val="00960BC8"/>
    <w:rsid w:val="00962A5E"/>
    <w:rsid w:val="00975B5C"/>
    <w:rsid w:val="0097772C"/>
    <w:rsid w:val="0099366D"/>
    <w:rsid w:val="009A480F"/>
    <w:rsid w:val="009B3841"/>
    <w:rsid w:val="009B69A0"/>
    <w:rsid w:val="009C1335"/>
    <w:rsid w:val="009D21A6"/>
    <w:rsid w:val="00A05064"/>
    <w:rsid w:val="00A10547"/>
    <w:rsid w:val="00A26052"/>
    <w:rsid w:val="00A4660D"/>
    <w:rsid w:val="00A51F3C"/>
    <w:rsid w:val="00A53224"/>
    <w:rsid w:val="00A540F3"/>
    <w:rsid w:val="00A56E0B"/>
    <w:rsid w:val="00A754E8"/>
    <w:rsid w:val="00A862EC"/>
    <w:rsid w:val="00A9306B"/>
    <w:rsid w:val="00A97D34"/>
    <w:rsid w:val="00AB5157"/>
    <w:rsid w:val="00AE753D"/>
    <w:rsid w:val="00AF14B6"/>
    <w:rsid w:val="00B00211"/>
    <w:rsid w:val="00B01434"/>
    <w:rsid w:val="00B02AD0"/>
    <w:rsid w:val="00B03093"/>
    <w:rsid w:val="00B30C1D"/>
    <w:rsid w:val="00B412F4"/>
    <w:rsid w:val="00B44B19"/>
    <w:rsid w:val="00B54B19"/>
    <w:rsid w:val="00B70803"/>
    <w:rsid w:val="00B80FF5"/>
    <w:rsid w:val="00B84C1C"/>
    <w:rsid w:val="00B90DC4"/>
    <w:rsid w:val="00B95394"/>
    <w:rsid w:val="00BB3204"/>
    <w:rsid w:val="00BE07B5"/>
    <w:rsid w:val="00C20634"/>
    <w:rsid w:val="00C36341"/>
    <w:rsid w:val="00C36874"/>
    <w:rsid w:val="00C4175F"/>
    <w:rsid w:val="00C419CD"/>
    <w:rsid w:val="00C47150"/>
    <w:rsid w:val="00C55004"/>
    <w:rsid w:val="00C70391"/>
    <w:rsid w:val="00C70E13"/>
    <w:rsid w:val="00C71930"/>
    <w:rsid w:val="00C72525"/>
    <w:rsid w:val="00C7315C"/>
    <w:rsid w:val="00C77C1B"/>
    <w:rsid w:val="00C83566"/>
    <w:rsid w:val="00C83960"/>
    <w:rsid w:val="00C941DE"/>
    <w:rsid w:val="00C94D04"/>
    <w:rsid w:val="00CA20A4"/>
    <w:rsid w:val="00CB43B1"/>
    <w:rsid w:val="00CD5A96"/>
    <w:rsid w:val="00CE27B8"/>
    <w:rsid w:val="00CE3E15"/>
    <w:rsid w:val="00CF2CE2"/>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611A"/>
    <w:rsid w:val="00D878B7"/>
    <w:rsid w:val="00D91595"/>
    <w:rsid w:val="00D944C1"/>
    <w:rsid w:val="00D94A13"/>
    <w:rsid w:val="00D94ACA"/>
    <w:rsid w:val="00D94D8E"/>
    <w:rsid w:val="00D97FE4"/>
    <w:rsid w:val="00DA6402"/>
    <w:rsid w:val="00DB4211"/>
    <w:rsid w:val="00DD166D"/>
    <w:rsid w:val="00DD5415"/>
    <w:rsid w:val="00DF1E92"/>
    <w:rsid w:val="00DF2DC1"/>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3950"/>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A6934"/>
    <w:rsid w:val="00FB631B"/>
    <w:rsid w:val="00FB67A5"/>
    <w:rsid w:val="00FC2CEC"/>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4.xml><?xml version="1.0" encoding="utf-8"?>
<?mso-contentType ?>
<p:Policy xmlns:p="office.server.policy" id="" local="true">
  <p:Name>Shell Document Base</p:Name>
  <p:Description/>
  <p:Statement/>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3.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4.xml><?xml version="1.0" encoding="utf-8"?>
<ds:datastoreItem xmlns:ds="http://schemas.openxmlformats.org/officeDocument/2006/customXml" ds:itemID="{95C94815-B585-4A30-99BE-2043E4EC1477}">
  <ds:schemaRefs>
    <ds:schemaRef ds:uri="office.server.policy"/>
  </ds:schemaRefs>
</ds:datastoreItem>
</file>

<file path=customXml/itemProps5.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6.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7.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BfD (004).dotx</Template>
  <TotalTime>97</TotalTime>
  <Pages>45</Pages>
  <Words>8743</Words>
  <Characters>49841</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58468</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3</cp:revision>
  <cp:lastPrinted>2026-05-04T16:38:00Z</cp:lastPrinted>
  <dcterms:created xsi:type="dcterms:W3CDTF">2026-05-10T17:12:00Z</dcterms:created>
  <dcterms:modified xsi:type="dcterms:W3CDTF">2026-05-10T18:52:00Z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