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38CF84D" w:rsidR="00DF1E92" w:rsidRDefault="00000000">
            <w:pPr>
              <w:pStyle w:val="DocNumber"/>
              <w:rPr>
                <w:color w:val="auto"/>
              </w:rPr>
            </w:pPr>
            <w:r>
              <w:t>EA-BFPCL-GGPL-FEED-</w:t>
            </w:r>
            <w:r w:rsidR="00242E9A">
              <w:t>GEN-</w:t>
            </w:r>
            <w:r w:rsidR="00CE27B8">
              <w:t>PHY-</w:t>
            </w:r>
            <w:r>
              <w:t>00</w:t>
            </w:r>
            <w:r w:rsidR="00ED3950">
              <w:t>6</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6BC4CF9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w:t>
            </w:r>
            <w:r w:rsidR="004F4721" w:rsidRPr="004B7F6A">
              <w:rPr>
                <w:rFonts w:ascii="Futura Std Book" w:hAnsi="Futura Std Book"/>
                <w:sz w:val="20"/>
              </w:rPr>
              <w:t>-PHY-00</w:t>
            </w:r>
            <w:r w:rsidR="00ED3950">
              <w:rPr>
                <w:rFonts w:ascii="Futura Std Book" w:hAnsi="Futura Std Book"/>
                <w:sz w:val="20"/>
              </w:rPr>
              <w:t>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0D15B540" w14:textId="77777777" w:rsidR="0052588A" w:rsidRDefault="0052588A" w:rsidP="001E71A0">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Pr>
                <w:rFonts w:ascii="Futura Std Book" w:eastAsia="Calibri" w:hAnsi="Futura Std Book" w:cs="Kalinga"/>
                <w:bCs/>
                <w:color w:val="3333FF"/>
                <w:sz w:val="22"/>
                <w:szCs w:val="22"/>
                <w:lang w:eastAsia="en-CA"/>
              </w:rPr>
              <w:t>Refine the below for me:</w:t>
            </w:r>
          </w:p>
          <w:p w14:paraId="6F584920" w14:textId="3A10C9A9"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FA6934" w:rsidRPr="00271C37">
              <w:rPr>
                <w:rFonts w:ascii="Futura Std Book" w:eastAsia="Calibri" w:hAnsi="Futura Std Book" w:cs="Kalinga"/>
                <w:bCs/>
                <w:color w:val="3333FF"/>
                <w:sz w:val="22"/>
                <w:szCs w:val="22"/>
                <w:lang w:eastAsia="en-CA"/>
              </w:rPr>
              <w:t>DSVS</w:t>
            </w:r>
            <w:r w:rsidRPr="00271C37">
              <w:rPr>
                <w:rFonts w:ascii="Futura Std Book" w:eastAsia="Calibri" w:hAnsi="Futura Std Book" w:cs="Kalinga"/>
                <w:bCs/>
                <w:color w:val="3333FF"/>
                <w:sz w:val="22"/>
                <w:szCs w:val="22"/>
                <w:lang w:eastAsia="en-CA"/>
              </w:rPr>
              <w:t xml:space="preserve">’s commitment to the Decommissioning and Abandonment (D&amp;A) of the </w:t>
            </w:r>
            <w:r w:rsidR="009B69A0">
              <w:rPr>
                <w:rFonts w:ascii="Futura Std Book" w:eastAsia="Calibri" w:hAnsi="Futura Std Book" w:cs="Kalinga"/>
                <w:bCs/>
                <w:color w:val="3333FF"/>
                <w:sz w:val="22"/>
                <w:szCs w:val="22"/>
                <w:lang w:eastAsia="en-CA"/>
              </w:rPr>
              <w:t xml:space="preserve">40 km </w:t>
            </w:r>
            <w:r w:rsidR="00FA6934" w:rsidRPr="00271C37">
              <w:rPr>
                <w:rFonts w:ascii="Futura Std Book" w:eastAsia="Calibri" w:hAnsi="Futura Std Book" w:cs="Kalinga"/>
                <w:bCs/>
                <w:color w:val="3333FF"/>
                <w:sz w:val="22"/>
                <w:szCs w:val="22"/>
                <w:lang w:eastAsia="en-CA"/>
              </w:rPr>
              <w:t>BBOU</w:t>
            </w:r>
            <w:r w:rsidR="00ED3950" w:rsidRPr="00271C37">
              <w:rPr>
                <w:rFonts w:ascii="Futura Std Book" w:eastAsia="Calibri" w:hAnsi="Futura Std Book" w:cs="Kalinga"/>
                <w:bCs/>
                <w:color w:val="3333FF"/>
                <w:sz w:val="22"/>
                <w:szCs w:val="22"/>
                <w:lang w:eastAsia="en-CA"/>
              </w:rPr>
              <w:t>-ELEP-AKAB</w:t>
            </w:r>
            <w:r w:rsidR="00FA6934" w:rsidRPr="00271C37">
              <w:rPr>
                <w:rFonts w:ascii="Futura Std Book" w:eastAsia="Calibri" w:hAnsi="Futura Std Book" w:cs="Kalinga"/>
                <w:bCs/>
                <w:color w:val="3333FF"/>
                <w:sz w:val="22"/>
                <w:szCs w:val="22"/>
                <w:lang w:eastAsia="en-CA"/>
              </w:rPr>
              <w:t xml:space="preserve"> </w:t>
            </w:r>
            <w:r w:rsidRPr="00271C37">
              <w:rPr>
                <w:rFonts w:ascii="Futura Std Book" w:eastAsia="Calibri" w:hAnsi="Futura Std Book" w:cs="Kalinga"/>
                <w:bCs/>
                <w:color w:val="3333FF"/>
                <w:sz w:val="22"/>
                <w:szCs w:val="22"/>
                <w:lang w:eastAsia="en-CA"/>
              </w:rPr>
              <w:t xml:space="preserve">Gas Gathering Pipeline System and associated infrastructure for the BFPCL </w:t>
            </w:r>
            <w:r w:rsidR="00FA6934" w:rsidRPr="00271C37">
              <w:rPr>
                <w:rFonts w:ascii="Futura Std Book" w:eastAsia="Calibri" w:hAnsi="Futura Std Book" w:cs="Kalinga"/>
                <w:bCs/>
                <w:color w:val="3333FF"/>
                <w:sz w:val="22"/>
                <w:szCs w:val="22"/>
                <w:lang w:eastAsia="en-CA"/>
              </w:rPr>
              <w:t xml:space="preserve">Gas Hub / </w:t>
            </w:r>
            <w:r w:rsidRPr="00271C37">
              <w:rPr>
                <w:rFonts w:ascii="Futura Std Book" w:eastAsia="Calibri" w:hAnsi="Futura Std Book" w:cs="Kalinga"/>
                <w:bCs/>
                <w:color w:val="3333FF"/>
                <w:sz w:val="22"/>
                <w:szCs w:val="22"/>
                <w:lang w:eastAsia="en-CA"/>
              </w:rPr>
              <w:t xml:space="preserve">Methanol Plant Project at the end of </w:t>
            </w:r>
            <w:r w:rsidR="009B69A0">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7DECA5B0" w14:textId="77777777" w:rsidR="00061C63" w:rsidRPr="00061C63"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This D&amp;A scope is complemented by the separate 85 km OKNU–BBOU upstream pipeline segment, which operates under an independent Gas Sale and Purchase Agreement (GSPA) and project status, but which interfaces directly with the BBOU–ELEP–AKAB pipeline system by supplying gas flow for onward transportation to the BFPCL Gas Hub / Gas Processing Plant (GPP). Consequently, the OKNU–BBOU segment is expected to undergo decommissioning and abandonment in a broadly similar manner at the end of its service life.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D1472A4" w14:textId="247ED818" w:rsidR="008B0E3E" w:rsidRPr="001E71A0" w:rsidRDefault="008B0E3E"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8B0E3E">
              <w:rPr>
                <w:rFonts w:ascii="Futura Std Book" w:eastAsia="Calibri" w:hAnsi="Futura Std Book" w:cs="Kalinga"/>
                <w:bCs/>
                <w:color w:val="auto"/>
                <w:sz w:val="22"/>
                <w:szCs w:val="22"/>
                <w:lang w:eastAsia="en-CA"/>
              </w:rPr>
              <w:t>While this philosophy document provides a definitive framework for the anticipated D&amp;A approach, the eventual execution strategy at the time of decommissioning shall remain adaptive to evolving regulatory requirements, technological developments, environmental considerations, and emerging industry best practices.</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99F8180" w14:textId="77777777" w:rsidR="0052588A" w:rsidRPr="00A05064" w:rsidRDefault="0052588A" w:rsidP="00A05064">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6ED98C29" w14:textId="0A01768B" w:rsidR="0052588A" w:rsidRDefault="0052588A">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w:t>
            </w:r>
            <w:r w:rsidRPr="009036F2">
              <w:rPr>
                <w:rFonts w:ascii="Futura Std Book" w:hAnsi="Futura Std Book" w:cs="Arial"/>
                <w:bCs/>
                <w:sz w:val="14"/>
                <w:szCs w:val="14"/>
                <w:lang w:val="en-US" w:eastAsia="en-CA"/>
              </w:rPr>
              <w:t>BFPCL-</w:t>
            </w:r>
            <w:r w:rsidRPr="009036F2">
              <w:rPr>
                <w:rFonts w:ascii="Futura Std Book" w:hAnsi="Futura Std Book" w:cs="Arial"/>
                <w:bCs/>
                <w:sz w:val="14"/>
                <w:szCs w:val="14"/>
                <w:lang w:val="en-US" w:eastAsia="en-CA"/>
              </w:rPr>
              <w:t>DSV</w:t>
            </w:r>
            <w:r w:rsidRPr="009036F2">
              <w:rPr>
                <w:rFonts w:ascii="Futura Std Book" w:hAnsi="Futura Std Book" w:cs="Arial"/>
                <w:bCs/>
                <w:sz w:val="14"/>
                <w:szCs w:val="14"/>
                <w:lang w:val="en-US" w:eastAsia="en-CA"/>
              </w:rPr>
              <w:t xml:space="preserve"> </w:t>
            </w:r>
            <w:r w:rsidRPr="009036F2">
              <w:rPr>
                <w:rFonts w:ascii="Futura Std Book" w:hAnsi="Futura Std Book" w:cs="Arial"/>
                <w:bCs/>
                <w:sz w:val="14"/>
                <w:szCs w:val="14"/>
                <w:lang w:val="en-US" w:eastAsia="en-CA"/>
              </w:rPr>
              <w:t>0KNU-</w:t>
            </w:r>
            <w:r w:rsidRPr="009036F2">
              <w:rPr>
                <w:rFonts w:ascii="Futura Std Book" w:hAnsi="Futura Std Book" w:cs="Arial"/>
                <w:bCs/>
                <w:sz w:val="14"/>
                <w:szCs w:val="14"/>
                <w:lang w:val="en-US" w:eastAsia="en-CA"/>
              </w:rPr>
              <w:t xml:space="preserve">BBOU-ELEP-AKAB </w:t>
            </w:r>
            <w:r w:rsidRPr="009036F2">
              <w:rPr>
                <w:rFonts w:ascii="Futura Std Book" w:hAnsi="Futura Std Book" w:cs="Arial"/>
                <w:bCs/>
                <w:sz w:val="14"/>
                <w:szCs w:val="14"/>
                <w:lang w:val="en-US" w:eastAsia="en-CA"/>
              </w:rPr>
              <w:t>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w:t>
            </w:r>
            <w:r w:rsidRPr="0075746C">
              <w:rPr>
                <w:rFonts w:ascii="Futura Std Book" w:hAnsi="Futura Std Book" w:cs="Arial"/>
                <w:bCs/>
                <w:sz w:val="18"/>
                <w:szCs w:val="18"/>
                <w:lang w:val="en-US" w:eastAsia="en-CA"/>
              </w:rPr>
              <w:t>-ELEP-AKAB</w:t>
            </w:r>
            <w:r w:rsidRPr="0075746C">
              <w:rPr>
                <w:rFonts w:ascii="Futura Std Book" w:hAnsi="Futura Std Book" w:cs="Arial"/>
                <w:bCs/>
                <w:sz w:val="18"/>
                <w:szCs w:val="18"/>
                <w:lang w:val="en-US" w:eastAsia="en-CA"/>
              </w:rPr>
              <w:t xml:space="preserve">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34616A" w:rsidRDefault="00D6382D" w:rsidP="00D6382D">
      <w:pPr>
        <w:spacing w:before="0" w:after="160" w:line="278" w:lineRule="auto"/>
        <w:ind w:left="851"/>
        <w:rPr>
          <w:color w:val="000000" w:themeColor="text1"/>
        </w:rPr>
      </w:pPr>
      <w:r w:rsidRPr="0034616A">
        <w:rPr>
          <w:color w:val="000000" w:themeColor="text1"/>
        </w:rPr>
        <w:t>The approach is aligned with FEED philosophy, regulatory expectations, and Niger Delta execution realities.</w:t>
      </w:r>
    </w:p>
    <w:p w14:paraId="473C0059" w14:textId="77777777" w:rsidR="000C5665" w:rsidRPr="0034616A" w:rsidRDefault="000C5665" w:rsidP="000C5665">
      <w:pPr>
        <w:pStyle w:val="Heading2"/>
        <w:spacing w:before="360" w:line="276" w:lineRule="auto"/>
        <w:ind w:left="851" w:hanging="851"/>
        <w:rPr>
          <w:color w:val="000000" w:themeColor="text1"/>
          <w:sz w:val="22"/>
          <w:szCs w:val="22"/>
        </w:rPr>
      </w:pPr>
      <w:bookmarkStart w:id="29" w:name="_Toc228831481"/>
      <w:r w:rsidRPr="0034616A">
        <w:rPr>
          <w:color w:val="000000" w:themeColor="text1"/>
          <w:sz w:val="22"/>
          <w:szCs w:val="22"/>
        </w:rPr>
        <w:t>Schedule</w:t>
      </w:r>
      <w:bookmarkEnd w:id="29"/>
    </w:p>
    <w:p w14:paraId="63E6253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Duration: 12–18 months</w:t>
      </w:r>
    </w:p>
    <w:p w14:paraId="0F2F2C8B"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Planning &amp; Approvals: 4–6 months </w:t>
      </w:r>
    </w:p>
    <w:p w14:paraId="1FCC7763"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Engineering: 3–4 months </w:t>
      </w:r>
    </w:p>
    <w:p w14:paraId="020CCEDC"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Isolation: 2–3 months </w:t>
      </w:r>
    </w:p>
    <w:p w14:paraId="406882BF"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Execution: 6–10 months </w:t>
      </w:r>
    </w:p>
    <w:p w14:paraId="046CB568"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Restoration: 3–6 months </w:t>
      </w:r>
    </w:p>
    <w:p w14:paraId="5977FCFE" w14:textId="77777777" w:rsidR="000C5665" w:rsidRPr="0034616A" w:rsidRDefault="000C5665" w:rsidP="000C5665">
      <w:pPr>
        <w:spacing w:before="120" w:after="120" w:line="276" w:lineRule="auto"/>
        <w:jc w:val="left"/>
        <w:rPr>
          <w:rFonts w:ascii="Futura Std Book" w:hAnsi="Futura Std Book"/>
          <w:color w:val="000000" w:themeColor="text1"/>
          <w:sz w:val="22"/>
          <w:szCs w:val="22"/>
        </w:rPr>
      </w:pPr>
    </w:p>
    <w:p w14:paraId="6B318E89" w14:textId="77777777" w:rsidR="000C5665" w:rsidRPr="0034616A" w:rsidRDefault="000C5665" w:rsidP="000C5665">
      <w:pPr>
        <w:pStyle w:val="Heading2"/>
        <w:spacing w:before="360" w:line="276" w:lineRule="auto"/>
        <w:ind w:left="851" w:hanging="851"/>
        <w:rPr>
          <w:color w:val="000000" w:themeColor="text1"/>
          <w:sz w:val="22"/>
          <w:szCs w:val="22"/>
        </w:rPr>
      </w:pPr>
      <w:bookmarkStart w:id="30" w:name="_Toc228831482"/>
      <w:r w:rsidRPr="0034616A">
        <w:rPr>
          <w:color w:val="000000" w:themeColor="text1"/>
          <w:sz w:val="22"/>
          <w:szCs w:val="22"/>
        </w:rPr>
        <w:t>Cost Estimate (USD)</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34616A" w14:paraId="7B805444" w14:textId="77777777" w:rsidTr="00CD3B3D">
        <w:trPr>
          <w:tblHeader/>
          <w:tblCellSpacing w:w="15" w:type="dxa"/>
        </w:trPr>
        <w:tc>
          <w:tcPr>
            <w:tcW w:w="0" w:type="auto"/>
            <w:vAlign w:val="center"/>
            <w:hideMark/>
          </w:tcPr>
          <w:p w14:paraId="67361E0B"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Component</w:t>
            </w:r>
          </w:p>
        </w:tc>
        <w:tc>
          <w:tcPr>
            <w:tcW w:w="0" w:type="auto"/>
            <w:vAlign w:val="center"/>
            <w:hideMark/>
          </w:tcPr>
          <w:p w14:paraId="222B8B00" w14:textId="77777777" w:rsidR="000C5665" w:rsidRPr="0034616A" w:rsidRDefault="000C5665" w:rsidP="00CD3B3D">
            <w:pPr>
              <w:spacing w:after="160" w:line="278" w:lineRule="auto"/>
              <w:jc w:val="left"/>
              <w:rPr>
                <w:rFonts w:ascii="Futura Std Book" w:hAnsi="Futura Std Book"/>
                <w:b/>
                <w:bCs/>
                <w:color w:val="000000" w:themeColor="text1"/>
                <w:sz w:val="22"/>
                <w:szCs w:val="22"/>
              </w:rPr>
            </w:pPr>
            <w:r w:rsidRPr="0034616A">
              <w:rPr>
                <w:rFonts w:ascii="Futura Std Book" w:hAnsi="Futura Std Book"/>
                <w:b/>
                <w:bCs/>
                <w:color w:val="000000" w:themeColor="text1"/>
                <w:sz w:val="22"/>
                <w:szCs w:val="22"/>
              </w:rPr>
              <w:t>Estimated Cost (USD Million)</w:t>
            </w:r>
          </w:p>
        </w:tc>
      </w:tr>
      <w:tr w:rsidR="000C5665" w:rsidRPr="0034616A" w14:paraId="091FB34E" w14:textId="77777777" w:rsidTr="00CD3B3D">
        <w:trPr>
          <w:tblCellSpacing w:w="15" w:type="dxa"/>
        </w:trPr>
        <w:tc>
          <w:tcPr>
            <w:tcW w:w="0" w:type="auto"/>
            <w:vAlign w:val="center"/>
            <w:hideMark/>
          </w:tcPr>
          <w:p w14:paraId="052DA9A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Engineering &amp; Approvals</w:t>
            </w:r>
          </w:p>
        </w:tc>
        <w:tc>
          <w:tcPr>
            <w:tcW w:w="0" w:type="auto"/>
            <w:vAlign w:val="center"/>
            <w:hideMark/>
          </w:tcPr>
          <w:p w14:paraId="43D2CD6D"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4 – 7</w:t>
            </w:r>
          </w:p>
        </w:tc>
      </w:tr>
      <w:tr w:rsidR="000C5665" w:rsidRPr="0034616A" w14:paraId="31EC7331" w14:textId="77777777" w:rsidTr="00CD3B3D">
        <w:trPr>
          <w:tblCellSpacing w:w="15" w:type="dxa"/>
        </w:trPr>
        <w:tc>
          <w:tcPr>
            <w:tcW w:w="0" w:type="auto"/>
            <w:vAlign w:val="center"/>
            <w:hideMark/>
          </w:tcPr>
          <w:p w14:paraId="202E6F9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w:t>
            </w:r>
            <w:proofErr w:type="spellStart"/>
            <w:r w:rsidRPr="0034616A">
              <w:rPr>
                <w:rFonts w:ascii="Futura Std Book" w:hAnsi="Futura Std Book"/>
                <w:color w:val="000000" w:themeColor="text1"/>
                <w:sz w:val="22"/>
                <w:szCs w:val="22"/>
              </w:rPr>
              <w:t>Inerting</w:t>
            </w:r>
            <w:proofErr w:type="spellEnd"/>
          </w:p>
        </w:tc>
        <w:tc>
          <w:tcPr>
            <w:tcW w:w="0" w:type="auto"/>
            <w:vAlign w:val="center"/>
            <w:hideMark/>
          </w:tcPr>
          <w:p w14:paraId="307C76F5"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5 – 9</w:t>
            </w:r>
          </w:p>
        </w:tc>
      </w:tr>
      <w:tr w:rsidR="000C5665" w:rsidRPr="0034616A" w14:paraId="41B65194" w14:textId="77777777" w:rsidTr="00CD3B3D">
        <w:trPr>
          <w:tblCellSpacing w:w="15" w:type="dxa"/>
        </w:trPr>
        <w:tc>
          <w:tcPr>
            <w:tcW w:w="0" w:type="auto"/>
            <w:vAlign w:val="center"/>
            <w:hideMark/>
          </w:tcPr>
          <w:p w14:paraId="570BDEA3"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Removal Activities</w:t>
            </w:r>
          </w:p>
        </w:tc>
        <w:tc>
          <w:tcPr>
            <w:tcW w:w="0" w:type="auto"/>
            <w:vAlign w:val="center"/>
            <w:hideMark/>
          </w:tcPr>
          <w:p w14:paraId="7D690A1F"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25 – 40</w:t>
            </w:r>
          </w:p>
        </w:tc>
      </w:tr>
      <w:tr w:rsidR="000C5665" w:rsidRPr="0034616A" w14:paraId="1B71B815" w14:textId="77777777" w:rsidTr="00CD3B3D">
        <w:trPr>
          <w:tblCellSpacing w:w="15" w:type="dxa"/>
        </w:trPr>
        <w:tc>
          <w:tcPr>
            <w:tcW w:w="0" w:type="auto"/>
            <w:vAlign w:val="center"/>
            <w:hideMark/>
          </w:tcPr>
          <w:p w14:paraId="0A648099"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Abandonment Activities</w:t>
            </w:r>
          </w:p>
        </w:tc>
        <w:tc>
          <w:tcPr>
            <w:tcW w:w="0" w:type="auto"/>
            <w:vAlign w:val="center"/>
            <w:hideMark/>
          </w:tcPr>
          <w:p w14:paraId="4CA61B4A"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8 – 16</w:t>
            </w:r>
          </w:p>
        </w:tc>
      </w:tr>
      <w:tr w:rsidR="000C5665" w:rsidRPr="0034616A" w14:paraId="1E418D9C" w14:textId="77777777" w:rsidTr="00CD3B3D">
        <w:trPr>
          <w:tblCellSpacing w:w="15" w:type="dxa"/>
        </w:trPr>
        <w:tc>
          <w:tcPr>
            <w:tcW w:w="0" w:type="auto"/>
            <w:vAlign w:val="center"/>
            <w:hideMark/>
          </w:tcPr>
          <w:p w14:paraId="74AFBB11"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Restoration</w:t>
            </w:r>
          </w:p>
        </w:tc>
        <w:tc>
          <w:tcPr>
            <w:tcW w:w="0" w:type="auto"/>
            <w:vAlign w:val="center"/>
            <w:hideMark/>
          </w:tcPr>
          <w:p w14:paraId="14A87948"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7 – 12</w:t>
            </w:r>
          </w:p>
        </w:tc>
      </w:tr>
      <w:tr w:rsidR="000C5665" w:rsidRPr="0034616A" w14:paraId="45D9D1C3" w14:textId="77777777" w:rsidTr="00CD3B3D">
        <w:trPr>
          <w:tblCellSpacing w:w="15" w:type="dxa"/>
        </w:trPr>
        <w:tc>
          <w:tcPr>
            <w:tcW w:w="0" w:type="auto"/>
            <w:vAlign w:val="center"/>
            <w:hideMark/>
          </w:tcPr>
          <w:p w14:paraId="53E253F7"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Estimated Cost</w:t>
            </w:r>
          </w:p>
        </w:tc>
        <w:tc>
          <w:tcPr>
            <w:tcW w:w="0" w:type="auto"/>
            <w:vAlign w:val="center"/>
            <w:hideMark/>
          </w:tcPr>
          <w:p w14:paraId="2CBC10B6"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49 – 84 </w:t>
            </w:r>
            <w:proofErr w:type="gramStart"/>
            <w:r w:rsidRPr="0034616A">
              <w:rPr>
                <w:rFonts w:ascii="Futura Std Book" w:hAnsi="Futura Std Book"/>
                <w:color w:val="000000" w:themeColor="text1"/>
                <w:sz w:val="22"/>
                <w:szCs w:val="22"/>
              </w:rPr>
              <w:t>Million</w:t>
            </w:r>
            <w:proofErr w:type="gramEnd"/>
            <w:r w:rsidRPr="0034616A">
              <w:rPr>
                <w:rFonts w:ascii="Futura Std Book" w:hAnsi="Futura Std Book"/>
                <w:color w:val="000000" w:themeColor="text1"/>
                <w:sz w:val="22"/>
                <w:szCs w:val="22"/>
              </w:rPr>
              <w:t xml:space="preserve"> USD</w:t>
            </w:r>
          </w:p>
        </w:tc>
      </w:tr>
    </w:tbl>
    <w:p w14:paraId="5050EFC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Accuracy: ±30% (</w:t>
      </w:r>
      <w:proofErr w:type="gramStart"/>
      <w:r w:rsidRPr="0034616A">
        <w:rPr>
          <w:rFonts w:ascii="Futura Std Book" w:hAnsi="Futura Std Book"/>
          <w:color w:val="000000" w:themeColor="text1"/>
          <w:sz w:val="22"/>
          <w:szCs w:val="22"/>
        </w:rPr>
        <w:t>Pre-FEED</w:t>
      </w:r>
      <w:proofErr w:type="gramEnd"/>
      <w:r w:rsidRPr="0034616A">
        <w:rPr>
          <w:rFonts w:ascii="Futura Std Book" w:hAnsi="Futura Std Book"/>
          <w:color w:val="000000" w:themeColor="text1"/>
          <w:sz w:val="22"/>
          <w:szCs w:val="22"/>
        </w:rPr>
        <w:t xml:space="preserve"> level)</w:t>
      </w:r>
    </w:p>
    <w:p w14:paraId="7D8CB79B" w14:textId="77777777" w:rsidR="000C5665" w:rsidRPr="0034616A" w:rsidRDefault="000C5665" w:rsidP="00D6382D">
      <w:pPr>
        <w:spacing w:before="0" w:after="160" w:line="278" w:lineRule="auto"/>
        <w:ind w:left="851"/>
        <w:rPr>
          <w:color w:val="000000" w:themeColor="text1"/>
        </w:rPr>
      </w:pPr>
    </w:p>
    <w:p w14:paraId="0D517A51" w14:textId="77777777" w:rsidR="00D6382D" w:rsidRPr="0034616A" w:rsidRDefault="00D6382D" w:rsidP="00D6382D">
      <w:pPr>
        <w:spacing w:before="0" w:after="160" w:line="278" w:lineRule="auto"/>
        <w:ind w:left="851"/>
        <w:rPr>
          <w:color w:val="000000" w:themeColor="text1"/>
        </w:rPr>
      </w:pPr>
    </w:p>
    <w:p w14:paraId="6F7694A4" w14:textId="77777777" w:rsidR="009451F2" w:rsidRPr="0034616A" w:rsidRDefault="009451F2" w:rsidP="00D6382D">
      <w:pPr>
        <w:spacing w:before="0" w:after="160" w:line="278" w:lineRule="auto"/>
        <w:ind w:left="851"/>
        <w:rPr>
          <w:color w:val="000000" w:themeColor="text1"/>
        </w:rPr>
      </w:pPr>
    </w:p>
    <w:p w14:paraId="034CD016" w14:textId="77777777" w:rsidR="009451F2" w:rsidRPr="0034616A" w:rsidRDefault="009451F2" w:rsidP="00D6382D">
      <w:pPr>
        <w:spacing w:before="0" w:after="160" w:line="278" w:lineRule="auto"/>
        <w:ind w:left="851"/>
        <w:rPr>
          <w:color w:val="000000" w:themeColor="text1"/>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1"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1"/>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2" w:name="_Toc228279616"/>
      <w:bookmarkStart w:id="33" w:name="_Toc228279926"/>
      <w:bookmarkStart w:id="34" w:name="_Toc228387967"/>
      <w:bookmarkStart w:id="35" w:name="_Toc228779412"/>
      <w:bookmarkStart w:id="36" w:name="_Toc228781909"/>
      <w:bookmarkStart w:id="37" w:name="_Toc228790097"/>
      <w:bookmarkStart w:id="38" w:name="_Toc228279617"/>
      <w:bookmarkStart w:id="39" w:name="_Toc228279927"/>
      <w:bookmarkStart w:id="40" w:name="_Toc228387968"/>
      <w:bookmarkStart w:id="41" w:name="_Toc228779413"/>
      <w:bookmarkStart w:id="42" w:name="_Toc228781910"/>
      <w:bookmarkStart w:id="43" w:name="_Toc228790098"/>
      <w:bookmarkStart w:id="44" w:name="_Toc228807877"/>
      <w:bookmarkStart w:id="45" w:name="_Toc228808380"/>
      <w:bookmarkStart w:id="46" w:name="_Toc228808536"/>
      <w:bookmarkStart w:id="47" w:name="_Toc228819687"/>
      <w:bookmarkStart w:id="48" w:name="_Toc228828134"/>
      <w:bookmarkStart w:id="49" w:name="_Toc228830707"/>
      <w:bookmarkStart w:id="50" w:name="_Toc22883148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8831485"/>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8831486"/>
      <w:r>
        <w:lastRenderedPageBreak/>
        <w:t>Gas Processing Plant (GPP) – 500 MMscfd</w:t>
      </w:r>
      <w:bookmarkEnd w:id="52"/>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8831487"/>
      <w:r w:rsidRPr="00D944C1">
        <w:t>Methanol Production Plant</w:t>
      </w:r>
      <w:bookmarkEnd w:id="53"/>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8831488"/>
      <w:r w:rsidRPr="00D944C1">
        <w:t>Floating LNG (FLNG) Facility</w:t>
      </w:r>
      <w:r w:rsidR="00C36341">
        <w:t>/</w:t>
      </w:r>
      <w:r w:rsidR="007646EA">
        <w:t>Fertilizer (Urea)</w:t>
      </w:r>
      <w:bookmarkEnd w:id="54"/>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8831489"/>
      <w:r w:rsidRPr="00D944C1">
        <w:t>Product Export System</w:t>
      </w:r>
      <w:bookmarkEnd w:id="55"/>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8831490"/>
      <w:r w:rsidRPr="00D944C1">
        <w:t>Produced Water Management</w:t>
      </w:r>
      <w:bookmarkEnd w:id="56"/>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8831491"/>
      <w:r w:rsidRPr="00D944C1">
        <w:t>Utilities and Offsite Infrastructure</w:t>
      </w:r>
      <w:bookmarkEnd w:id="57"/>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8831492"/>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8831493"/>
      <w:r>
        <w:rPr>
          <w:rStyle w:val="Hyperlink"/>
          <w:color w:val="000080"/>
          <w:u w:val="none"/>
        </w:rPr>
        <w:lastRenderedPageBreak/>
        <w:t>Battery Limit, and Scope of Work</w:t>
      </w:r>
      <w:bookmarkEnd w:id="59"/>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End w:id="60"/>
      <w:bookmarkEnd w:id="61"/>
      <w:bookmarkEnd w:id="62"/>
      <w:bookmarkEnd w:id="63"/>
      <w:bookmarkEnd w:id="64"/>
      <w:bookmarkEnd w:id="65"/>
      <w:bookmarkEnd w:id="66"/>
    </w:p>
    <w:p w14:paraId="512D6ED5" w14:textId="5E6FF847" w:rsidR="0066567D" w:rsidRPr="00CA20A4" w:rsidRDefault="0066567D" w:rsidP="00E57AD3">
      <w:pPr>
        <w:pStyle w:val="Heading2"/>
        <w:spacing w:before="360"/>
        <w:ind w:left="851" w:hanging="851"/>
        <w:rPr>
          <w:rStyle w:val="Hyperlink"/>
          <w:color w:val="000080"/>
          <w:u w:val="none"/>
        </w:rPr>
      </w:pPr>
      <w:bookmarkStart w:id="67" w:name="_Toc228831495"/>
      <w:r w:rsidRPr="00CA20A4">
        <w:rPr>
          <w:rStyle w:val="Hyperlink"/>
          <w:color w:val="000080"/>
          <w:u w:val="none"/>
        </w:rPr>
        <w:t>Battery Limit</w:t>
      </w:r>
      <w:bookmarkEnd w:id="6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8" w:name="_Toc228831496"/>
      <w:r>
        <w:t>OKNU</w:t>
      </w:r>
      <w:r w:rsidR="0066567D">
        <w:t xml:space="preserve"> Platform</w:t>
      </w:r>
      <w:bookmarkEnd w:id="68"/>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9" w:name="_Toc228831497"/>
      <w:r>
        <w:t>BBOU Platform</w:t>
      </w:r>
      <w:bookmarkEnd w:id="69"/>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70" w:name="_Toc228831498"/>
      <w:r>
        <w:t>ELEP Platform</w:t>
      </w:r>
      <w:bookmarkEnd w:id="70"/>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1" w:name="_Toc228831499"/>
      <w:r>
        <w:t>Akabel Facility</w:t>
      </w:r>
      <w:bookmarkEnd w:id="71"/>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2" w:name="_Toc228831500"/>
      <w:r>
        <w:t>Data Room Index Structure</w:t>
      </w:r>
      <w:bookmarkEnd w:id="72"/>
    </w:p>
    <w:p w14:paraId="08E8315C" w14:textId="79370C3F" w:rsidR="0066567D" w:rsidRPr="007A7379" w:rsidRDefault="0066567D" w:rsidP="00EA2D74">
      <w:pPr>
        <w:pStyle w:val="Heading3"/>
        <w:ind w:left="851" w:hanging="851"/>
        <w:rPr>
          <w:bCs w:val="0"/>
        </w:rPr>
      </w:pPr>
      <w:bookmarkStart w:id="73" w:name="_Toc228831501"/>
      <w:r w:rsidRPr="007A7379">
        <w:rPr>
          <w:bCs w:val="0"/>
        </w:rPr>
        <w:t>Project Overview</w:t>
      </w:r>
      <w:bookmarkEnd w:id="73"/>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4" w:name="_Toc228831502"/>
      <w:r w:rsidRPr="007A7379">
        <w:rPr>
          <w:bCs w:val="0"/>
        </w:rPr>
        <w:t>Route &amp; Survey</w:t>
      </w:r>
      <w:bookmarkEnd w:id="74"/>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5" w:name="_Toc228831503"/>
      <w:r w:rsidRPr="007A7379">
        <w:rPr>
          <w:bCs w:val="0"/>
        </w:rPr>
        <w:t>Pipeline Engineering</w:t>
      </w:r>
      <w:bookmarkEnd w:id="75"/>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6" w:name="_Toc228831504"/>
      <w:r w:rsidRPr="000A5E1F">
        <w:rPr>
          <w:bCs w:val="0"/>
        </w:rPr>
        <w:t>Facilities</w:t>
      </w:r>
      <w:bookmarkEnd w:id="76"/>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7" w:name="_Toc228831505"/>
      <w:r w:rsidRPr="000A5E1F">
        <w:rPr>
          <w:bCs w:val="0"/>
        </w:rPr>
        <w:t>Crossings</w:t>
      </w:r>
      <w:bookmarkEnd w:id="77"/>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8" w:name="_Toc228831506"/>
      <w:r w:rsidRPr="007A7379">
        <w:rPr>
          <w:bCs w:val="0"/>
        </w:rPr>
        <w:t>Mechanical &amp; Materials</w:t>
      </w:r>
      <w:bookmarkEnd w:id="78"/>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9" w:name="_Toc228831507"/>
      <w:r w:rsidRPr="007A7379">
        <w:rPr>
          <w:bCs w:val="0"/>
        </w:rPr>
        <w:t>Process &amp; Instrumentation</w:t>
      </w:r>
      <w:bookmarkEnd w:id="79"/>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80" w:name="_Toc228831508"/>
      <w:r w:rsidRPr="000A5E1F">
        <w:rPr>
          <w:bCs w:val="0"/>
        </w:rPr>
        <w:t>Electrical &amp; CP</w:t>
      </w:r>
      <w:bookmarkEnd w:id="80"/>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1" w:name="_Toc228831509"/>
      <w:r w:rsidRPr="000A5E1F">
        <w:rPr>
          <w:bCs w:val="0"/>
        </w:rPr>
        <w:t>Civil &amp; Structural</w:t>
      </w:r>
      <w:bookmarkEnd w:id="81"/>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2" w:name="_Toc228831510"/>
      <w:r w:rsidRPr="000A5E1F">
        <w:rPr>
          <w:bCs w:val="0"/>
        </w:rPr>
        <w:t>Testing &amp; Commissioning</w:t>
      </w:r>
      <w:bookmarkEnd w:id="82"/>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3" w:name="_Toc228831511"/>
      <w:r w:rsidRPr="000A5E1F">
        <w:rPr>
          <w:bCs w:val="0"/>
        </w:rPr>
        <w:t>Environmental</w:t>
      </w:r>
      <w:bookmarkEnd w:id="83"/>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4" w:name="_Toc228831512"/>
      <w:r w:rsidRPr="000A5E1F">
        <w:rPr>
          <w:bCs w:val="0"/>
        </w:rPr>
        <w:t>Modifications</w:t>
      </w:r>
      <w:bookmarkEnd w:id="84"/>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5" w:name="_Toc228831513"/>
      <w:r w:rsidRPr="000A5E1F">
        <w:rPr>
          <w:bCs w:val="0"/>
        </w:rPr>
        <w:t>Decommissioning (To Be Developed)</w:t>
      </w:r>
      <w:bookmarkEnd w:id="85"/>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6" w:name="_Toc228831514"/>
      <w:r>
        <w:t>Layout &amp; Configuration</w:t>
      </w:r>
      <w:bookmarkEnd w:id="86"/>
    </w:p>
    <w:p w14:paraId="147A012A" w14:textId="689C0393" w:rsidR="0066567D" w:rsidRPr="007221F4" w:rsidRDefault="0066567D" w:rsidP="000767A0">
      <w:pPr>
        <w:pStyle w:val="Heading3"/>
        <w:ind w:left="851" w:hanging="851"/>
        <w:rPr>
          <w:bCs w:val="0"/>
        </w:rPr>
      </w:pPr>
      <w:bookmarkStart w:id="87" w:name="_Toc228831515"/>
      <w:r w:rsidRPr="007221F4">
        <w:rPr>
          <w:bCs w:val="0"/>
        </w:rPr>
        <w:t>Route &amp; Alignment</w:t>
      </w:r>
      <w:bookmarkEnd w:id="87"/>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8" w:name="_Toc228831516"/>
      <w:r w:rsidRPr="007221F4">
        <w:rPr>
          <w:bCs w:val="0"/>
        </w:rPr>
        <w:t>Crossings &amp; Special Sections</w:t>
      </w:r>
      <w:bookmarkEnd w:id="88"/>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9" w:name="_Toc228831517"/>
      <w:r w:rsidRPr="007221F4">
        <w:rPr>
          <w:bCs w:val="0"/>
        </w:rPr>
        <w:t>Mechanical &amp; Materials</w:t>
      </w:r>
      <w:bookmarkEnd w:id="89"/>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90" w:name="_Toc228831518"/>
      <w:r w:rsidRPr="007221F4">
        <w:rPr>
          <w:bCs w:val="0"/>
        </w:rPr>
        <w:t>Valves &amp; Facilities</w:t>
      </w:r>
      <w:bookmarkEnd w:id="90"/>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1" w:name="_Toc228831519"/>
      <w:r w:rsidRPr="007221F4">
        <w:rPr>
          <w:bCs w:val="0"/>
        </w:rPr>
        <w:lastRenderedPageBreak/>
        <w:t>Process &amp; Control</w:t>
      </w:r>
      <w:bookmarkEnd w:id="91"/>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2" w:name="_Toc228831520"/>
      <w:r w:rsidRPr="007221F4">
        <w:rPr>
          <w:bCs w:val="0"/>
        </w:rPr>
        <w:t>Electrical &amp; CP</w:t>
      </w:r>
      <w:bookmarkEnd w:id="92"/>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3" w:name="_Toc228831521"/>
      <w:r w:rsidRPr="000A5E1F">
        <w:rPr>
          <w:bCs w:val="0"/>
        </w:rPr>
        <w:t>Civil &amp; Structural</w:t>
      </w:r>
      <w:bookmarkEnd w:id="93"/>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4" w:name="_Toc228831522"/>
      <w:r w:rsidRPr="00A26052">
        <w:rPr>
          <w:bCs w:val="0"/>
        </w:rPr>
        <w:t>Testing &amp; Commissioning</w:t>
      </w:r>
      <w:bookmarkEnd w:id="94"/>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5" w:name="_Toc228831523"/>
      <w:r w:rsidRPr="00A26052">
        <w:rPr>
          <w:bCs w:val="0"/>
        </w:rPr>
        <w:t>Environmental</w:t>
      </w:r>
      <w:bookmarkEnd w:id="95"/>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6" w:name="_Toc228831524"/>
      <w:r w:rsidRPr="00A26052">
        <w:rPr>
          <w:bCs w:val="0"/>
        </w:rPr>
        <w:t>Modifications &amp; Deviations</w:t>
      </w:r>
      <w:bookmarkEnd w:id="96"/>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7" w:name="_Toc228831525"/>
      <w:r w:rsidRPr="000A5E1F">
        <w:t>Submission Requirements</w:t>
      </w:r>
      <w:bookmarkEnd w:id="97"/>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8"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8"/>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9" w:name="_Toc228831527"/>
      <w:r w:rsidRPr="000A5E1F">
        <w:lastRenderedPageBreak/>
        <w:t xml:space="preserve">KP 0 – KP 10 (OKNU </w:t>
      </w:r>
      <w:r w:rsidRPr="000A5E1F">
        <w:rPr>
          <w:rFonts w:ascii="Arial" w:hAnsi="Arial" w:cs="Arial"/>
        </w:rPr>
        <w:t>→</w:t>
      </w:r>
      <w:r w:rsidRPr="000A5E1F">
        <w:t xml:space="preserve"> River Niger Crossing)</w:t>
      </w:r>
      <w:bookmarkEnd w:id="99"/>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100" w:name="_Toc228831528"/>
      <w:r w:rsidRPr="000A5E1F">
        <w:rPr>
          <w:bCs w:val="0"/>
        </w:rPr>
        <w:t>KP 10 – River Niger Crossing</w:t>
      </w:r>
      <w:bookmarkEnd w:id="100"/>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1" w:name="_Toc228831529"/>
      <w:r w:rsidRPr="000A5E1F">
        <w:rPr>
          <w:bCs w:val="0"/>
        </w:rPr>
        <w:t>KP 10 – KP 38 (Swamp Section)</w:t>
      </w:r>
      <w:bookmarkEnd w:id="101"/>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2" w:name="_Toc228831530"/>
      <w:r w:rsidRPr="000A5E1F">
        <w:rPr>
          <w:bCs w:val="0"/>
        </w:rPr>
        <w:t>KP 38 – Midline Manifold (SEIB Tie-in)</w:t>
      </w:r>
      <w:bookmarkEnd w:id="102"/>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3" w:name="_Toc228831531"/>
      <w:r w:rsidRPr="000A5E1F">
        <w:rPr>
          <w:bCs w:val="0"/>
        </w:rPr>
        <w:t>KP 38 – KP 66</w:t>
      </w:r>
      <w:bookmarkEnd w:id="103"/>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4" w:name="_Toc228831532"/>
      <w:r w:rsidRPr="000A5E1F">
        <w:rPr>
          <w:bCs w:val="0"/>
        </w:rPr>
        <w:t>KP 66 – Midline Manifold (NUNR/DBUC Tie-in)</w:t>
      </w:r>
      <w:bookmarkEnd w:id="104"/>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5" w:name="_Toc228831533"/>
      <w:r w:rsidRPr="0034011A">
        <w:rPr>
          <w:bCs w:val="0"/>
        </w:rPr>
        <w:t>KP 66 – KP 85 (BBOU)</w:t>
      </w:r>
      <w:bookmarkEnd w:id="105"/>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6" w:name="_Toc228831534"/>
      <w:r w:rsidRPr="000A5E1F">
        <w:rPr>
          <w:bCs w:val="0"/>
        </w:rPr>
        <w:t>KP 85 – BBOU Manifold</w:t>
      </w:r>
      <w:bookmarkEnd w:id="106"/>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7"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7"/>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8"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8"/>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9" w:name="_Toc228831537"/>
      <w:r w:rsidRPr="000A5E1F">
        <w:rPr>
          <w:bCs w:val="0"/>
        </w:rPr>
        <w:t>KP 125 – AKAB Gas Hub</w:t>
      </w:r>
      <w:bookmarkEnd w:id="109"/>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10"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10"/>
    </w:p>
    <w:p w14:paraId="554F17CD" w14:textId="77777777" w:rsidR="002C40F7" w:rsidRPr="005B6684" w:rsidRDefault="002C40F7" w:rsidP="002C40F7">
      <w:pPr>
        <w:pStyle w:val="Heading2"/>
        <w:spacing w:before="360" w:line="276" w:lineRule="auto"/>
        <w:ind w:left="851" w:hanging="851"/>
        <w:rPr>
          <w:color w:val="000000" w:themeColor="text1"/>
        </w:rPr>
      </w:pPr>
      <w:bookmarkStart w:id="111" w:name="_Toc228831539"/>
      <w:r w:rsidRPr="005B6684">
        <w:rPr>
          <w:color w:val="000000" w:themeColor="text1"/>
        </w:rPr>
        <w:t>Governance</w:t>
      </w:r>
      <w:bookmarkEnd w:id="111"/>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2" w:name="_Toc228831540"/>
      <w:r w:rsidRPr="005B6684">
        <w:rPr>
          <w:color w:val="000000" w:themeColor="text1"/>
        </w:rPr>
        <w:t>Primary Regulators</w:t>
      </w:r>
      <w:bookmarkEnd w:id="112"/>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3" w:name="_Toc228831541"/>
      <w:r w:rsidRPr="005B6684">
        <w:rPr>
          <w:color w:val="000000" w:themeColor="text1"/>
        </w:rPr>
        <w:t>Core Legal Frameworks</w:t>
      </w:r>
      <w:bookmarkEnd w:id="113"/>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4" w:name="_Toc228831542"/>
      <w:r w:rsidRPr="005B6684">
        <w:rPr>
          <w:color w:val="000000" w:themeColor="text1"/>
        </w:rPr>
        <w:t>Technical &amp; Operational Requirements</w:t>
      </w:r>
      <w:bookmarkEnd w:id="114"/>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5" w:name="_Toc228831543"/>
      <w:r w:rsidRPr="005B6684">
        <w:rPr>
          <w:color w:val="000000" w:themeColor="text1"/>
        </w:rPr>
        <w:t>Key Challenges in the Nigerian Context</w:t>
      </w:r>
      <w:bookmarkEnd w:id="115"/>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6" w:name="_Toc228831544"/>
      <w:r w:rsidRPr="005B6684">
        <w:rPr>
          <w:color w:val="000000" w:themeColor="text1"/>
        </w:rPr>
        <w:t>Ancillary Systems</w:t>
      </w:r>
      <w:bookmarkEnd w:id="116"/>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5"/>
      <w:r w:rsidRPr="005B6684">
        <w:rPr>
          <w:color w:val="000000" w:themeColor="text1"/>
          <w:sz w:val="22"/>
          <w:szCs w:val="22"/>
        </w:rPr>
        <w:t>Decommissioning Philosophy</w:t>
      </w:r>
      <w:bookmarkEnd w:id="117"/>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8" w:name="_Toc228831546"/>
      <w:r w:rsidRPr="005B6684">
        <w:rPr>
          <w:color w:val="000000" w:themeColor="text1"/>
          <w:sz w:val="22"/>
          <w:szCs w:val="22"/>
        </w:rPr>
        <w:t>Key Decommissioning Processes</w:t>
      </w:r>
      <w:bookmarkEnd w:id="118"/>
    </w:p>
    <w:p w14:paraId="4EA090E3" w14:textId="77777777" w:rsidR="002C40F7" w:rsidRPr="005B6684" w:rsidRDefault="002C40F7" w:rsidP="002C40F7">
      <w:pPr>
        <w:pStyle w:val="Heading3"/>
        <w:ind w:left="794" w:hanging="794"/>
        <w:rPr>
          <w:color w:val="000000" w:themeColor="text1"/>
        </w:rPr>
      </w:pPr>
      <w:bookmarkStart w:id="119" w:name="_Toc228831547"/>
      <w:r w:rsidRPr="005B6684">
        <w:rPr>
          <w:color w:val="000000" w:themeColor="text1"/>
        </w:rPr>
        <w:t>Planning &amp; Approvals</w:t>
      </w:r>
      <w:bookmarkEnd w:id="119"/>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20" w:name="_Toc228831548"/>
      <w:r w:rsidRPr="005B6684">
        <w:rPr>
          <w:color w:val="000000" w:themeColor="text1"/>
        </w:rPr>
        <w:t>Shutdown &amp; Isolation</w:t>
      </w:r>
      <w:bookmarkEnd w:id="120"/>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1" w:name="_Toc228831549"/>
      <w:r w:rsidRPr="005B6684">
        <w:rPr>
          <w:color w:val="000000" w:themeColor="text1"/>
        </w:rPr>
        <w:t>Cleaning &amp; Hydrocarbon Removal</w:t>
      </w:r>
      <w:bookmarkEnd w:id="121"/>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2" w:name="_Toc228831550"/>
      <w:r w:rsidRPr="005B6684">
        <w:rPr>
          <w:color w:val="000000" w:themeColor="text1"/>
        </w:rPr>
        <w:t>Flushing, Drying &amp; Inerting</w:t>
      </w:r>
      <w:bookmarkEnd w:id="122"/>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3" w:name="_Toc228831551"/>
      <w:r w:rsidRPr="005B6684">
        <w:rPr>
          <w:color w:val="000000" w:themeColor="text1"/>
        </w:rPr>
        <w:t>Metering Close-Out (Critical Step)</w:t>
      </w:r>
      <w:bookmarkEnd w:id="123"/>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4" w:name="_Toc228831552"/>
      <w:r w:rsidRPr="005B6684">
        <w:rPr>
          <w:color w:val="000000" w:themeColor="text1"/>
        </w:rPr>
        <w:t>Disconnection &amp; Segmentation</w:t>
      </w:r>
      <w:bookmarkEnd w:id="124"/>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5" w:name="_Toc228831553"/>
      <w:r w:rsidRPr="005B6684">
        <w:rPr>
          <w:color w:val="000000" w:themeColor="text1"/>
        </w:rPr>
        <w:t>Execution (Removal / Abandonment)</w:t>
      </w:r>
      <w:bookmarkEnd w:id="125"/>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6" w:name="_Toc228831554"/>
      <w:r w:rsidRPr="005B6684">
        <w:rPr>
          <w:color w:val="000000" w:themeColor="text1"/>
        </w:rPr>
        <w:t>Waste Management</w:t>
      </w:r>
      <w:bookmarkEnd w:id="126"/>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7" w:name="_Toc228831555"/>
      <w:r w:rsidRPr="005B6684">
        <w:rPr>
          <w:color w:val="000000" w:themeColor="text1"/>
        </w:rPr>
        <w:t>Site Restoration</w:t>
      </w:r>
      <w:bookmarkEnd w:id="127"/>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6"/>
      <w:r w:rsidRPr="005B6684">
        <w:rPr>
          <w:color w:val="000000" w:themeColor="text1"/>
          <w:sz w:val="22"/>
          <w:szCs w:val="22"/>
        </w:rPr>
        <w:t>Abandonment Activities</w:t>
      </w:r>
      <w:bookmarkEnd w:id="128"/>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7"/>
      <w:r w:rsidRPr="005B6684">
        <w:rPr>
          <w:color w:val="000000" w:themeColor="text1"/>
          <w:sz w:val="22"/>
          <w:szCs w:val="22"/>
        </w:rPr>
        <w:t>KP-Based Execution Strategy</w:t>
      </w:r>
      <w:bookmarkEnd w:id="129"/>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8"/>
      <w:r w:rsidRPr="005B6684">
        <w:rPr>
          <w:color w:val="000000" w:themeColor="text1"/>
          <w:sz w:val="22"/>
          <w:szCs w:val="22"/>
        </w:rPr>
        <w:t>Risk Management</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1" w:name="_Toc228831559"/>
      <w:r w:rsidRPr="005B6684">
        <w:rPr>
          <w:color w:val="000000" w:themeColor="text1"/>
          <w:sz w:val="22"/>
          <w:szCs w:val="22"/>
        </w:rPr>
        <w:t>Conclusion</w:t>
      </w:r>
      <w:bookmarkEnd w:id="131"/>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2" w:name="_Toc228831560"/>
      <w:r>
        <w:rPr>
          <w:rStyle w:val="Hyperlink"/>
          <w:color w:val="000080"/>
          <w:u w:val="none"/>
        </w:rPr>
        <w:lastRenderedPageBreak/>
        <w:t>Key Decommissioning Processes &amp; Abandonment Activities</w:t>
      </w:r>
      <w:bookmarkEnd w:id="132"/>
    </w:p>
    <w:p w14:paraId="2D9D657D" w14:textId="34F90ECA" w:rsidR="00D878B7" w:rsidRDefault="00D878B7" w:rsidP="00E73C1F">
      <w:pPr>
        <w:pStyle w:val="Heading2"/>
        <w:ind w:left="851" w:hanging="851"/>
      </w:pPr>
      <w:bookmarkStart w:id="133" w:name="_Toc228831561"/>
      <w:r>
        <w:t>Decommissioning Processes (End-to-End Execution)</w:t>
      </w:r>
      <w:bookmarkEnd w:id="133"/>
    </w:p>
    <w:p w14:paraId="0A4B3AF0" w14:textId="77777777" w:rsidR="00D878B7" w:rsidRDefault="00D878B7" w:rsidP="00E73C1F">
      <w:pPr>
        <w:pStyle w:val="Heading3"/>
        <w:ind w:left="794" w:hanging="794"/>
      </w:pPr>
      <w:r>
        <w:t xml:space="preserve"> </w:t>
      </w:r>
      <w:bookmarkStart w:id="134" w:name="_Toc228831562"/>
      <w:r>
        <w:t>Pre-Decommissioning Planning</w:t>
      </w:r>
      <w:bookmarkEnd w:id="134"/>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5" w:name="_Toc228831563"/>
      <w:r>
        <w:t>System Shutdown &amp; Isolation</w:t>
      </w:r>
      <w:bookmarkEnd w:id="135"/>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6" w:name="_Toc228831564"/>
      <w:r>
        <w:t>Pipeline Cleaning &amp; Hydrocarbon Removal</w:t>
      </w:r>
      <w:bookmarkEnd w:id="136"/>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7" w:name="_Toc228831565"/>
      <w:r>
        <w:t>Flushing, Drying &amp; Inerting</w:t>
      </w:r>
      <w:bookmarkEnd w:id="137"/>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8" w:name="_Toc228831566"/>
      <w:r>
        <w:t>Disconnection &amp; Mechanical Works</w:t>
      </w:r>
      <w:bookmarkEnd w:id="138"/>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9" w:name="_Toc228831567"/>
      <w:r>
        <w:t>Pipeline Removal (Where Applicable)</w:t>
      </w:r>
      <w:bookmarkEnd w:id="139"/>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40" w:name="_Toc228831568"/>
      <w:r>
        <w:t>Waste Management</w:t>
      </w:r>
      <w:bookmarkEnd w:id="140"/>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1" w:name="_Toc228831569"/>
      <w:r>
        <w:t>Site Restoration</w:t>
      </w:r>
      <w:bookmarkEnd w:id="141"/>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2" w:name="_Toc228831570"/>
      <w:r>
        <w:t>Abandonment Activities (Pipeline Left In Place)</w:t>
      </w:r>
      <w:bookmarkEnd w:id="142"/>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3" w:name="_Toc228831571"/>
      <w:r>
        <w:t>Cleaning to Acceptable Standard</w:t>
      </w:r>
      <w:bookmarkEnd w:id="143"/>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4" w:name="_Toc228831572"/>
      <w:r>
        <w:t>Isolation &amp; Disconnection</w:t>
      </w:r>
      <w:bookmarkEnd w:id="144"/>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5" w:name="_Toc228831573"/>
      <w:r>
        <w:t>Filling / Stabilization</w:t>
      </w:r>
      <w:bookmarkEnd w:id="145"/>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6" w:name="_Toc228831574"/>
      <w:r>
        <w:t>Cathodic Protection Decommissioning</w:t>
      </w:r>
      <w:bookmarkEnd w:id="146"/>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7" w:name="_Toc228831575"/>
      <w:r>
        <w:t>Long-Term Integrity Assurance</w:t>
      </w:r>
      <w:bookmarkEnd w:id="147"/>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8" w:name="_Toc228831576"/>
      <w:r>
        <w:t>Marking &amp; Records</w:t>
      </w:r>
      <w:bookmarkEnd w:id="148"/>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9" w:name="_Toc228831577"/>
      <w:r>
        <w:t>Special Considerations for OKNU–BBOU–ELEP–AKAB</w:t>
      </w:r>
      <w:bookmarkEnd w:id="149"/>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50" w:name="_Toc227320001"/>
      <w:bookmarkStart w:id="151" w:name="_Toc228831578"/>
      <w:r>
        <w:rPr>
          <w:rStyle w:val="Hyperlink"/>
          <w:color w:val="000080"/>
          <w:u w:val="none"/>
        </w:rPr>
        <w:lastRenderedPageBreak/>
        <w:t xml:space="preserve">Facilities </w:t>
      </w:r>
      <w:r w:rsidR="00F6152F" w:rsidRPr="000D0F97">
        <w:rPr>
          <w:rStyle w:val="Hyperlink"/>
          <w:color w:val="000080"/>
          <w:u w:val="none"/>
        </w:rPr>
        <w:t>Engineering</w:t>
      </w:r>
      <w:bookmarkEnd w:id="150"/>
      <w:r w:rsidR="00DF5C79">
        <w:rPr>
          <w:rStyle w:val="Hyperlink"/>
          <w:color w:val="000080"/>
          <w:u w:val="none"/>
        </w:rPr>
        <w:t xml:space="preserve"> Design Features</w:t>
      </w:r>
      <w:bookmarkEnd w:id="151"/>
    </w:p>
    <w:p w14:paraId="3F14BBFA" w14:textId="5F0C1B8D" w:rsidR="00F6152F" w:rsidRDefault="00F6152F" w:rsidP="0072361F">
      <w:pPr>
        <w:pStyle w:val="Heading2"/>
        <w:spacing w:before="360"/>
        <w:ind w:left="851" w:hanging="851"/>
        <w:jc w:val="left"/>
      </w:pPr>
      <w:bookmarkStart w:id="152" w:name="_Toc227319480"/>
      <w:bookmarkStart w:id="153" w:name="_Toc227319580"/>
      <w:bookmarkStart w:id="154" w:name="_Toc227319641"/>
      <w:bookmarkStart w:id="155" w:name="_Toc227320002"/>
      <w:bookmarkStart w:id="156" w:name="_Toc228279635"/>
      <w:bookmarkStart w:id="157" w:name="_Toc228279945"/>
      <w:bookmarkStart w:id="158" w:name="_Toc228388004"/>
      <w:bookmarkStart w:id="159" w:name="_Toc228779449"/>
      <w:bookmarkStart w:id="160" w:name="_Toc228781946"/>
      <w:bookmarkStart w:id="161" w:name="_Toc228790156"/>
      <w:bookmarkStart w:id="162" w:name="_Toc228388005"/>
      <w:bookmarkStart w:id="163" w:name="_Toc228779450"/>
      <w:bookmarkStart w:id="164" w:name="_Toc228781947"/>
      <w:bookmarkStart w:id="165" w:name="_Toc228790157"/>
      <w:bookmarkStart w:id="166" w:name="_Toc228388006"/>
      <w:bookmarkStart w:id="167" w:name="_Toc228779451"/>
      <w:bookmarkStart w:id="168" w:name="_Toc228781948"/>
      <w:bookmarkStart w:id="169" w:name="_Toc228790158"/>
      <w:bookmarkStart w:id="170" w:name="_Toc227320003"/>
      <w:bookmarkStart w:id="171" w:name="_Toc2288315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72361F">
        <w:t>Pipeline</w:t>
      </w:r>
      <w:r>
        <w:t xml:space="preserve"> Routing Philosophy</w:t>
      </w:r>
      <w:bookmarkEnd w:id="170"/>
      <w:bookmarkEnd w:id="171"/>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2" w:name="_Toc228831580"/>
      <w:r>
        <w:t>Liquid Management Strategy</w:t>
      </w:r>
      <w:bookmarkEnd w:id="172"/>
    </w:p>
    <w:p w14:paraId="2795F770" w14:textId="0FD1C6B9" w:rsidR="00F6152F" w:rsidRDefault="00F6152F" w:rsidP="0072361F">
      <w:pPr>
        <w:pStyle w:val="Heading3"/>
        <w:ind w:left="794" w:hanging="794"/>
      </w:pPr>
      <w:bookmarkStart w:id="173" w:name="_Toc228279638"/>
      <w:bookmarkStart w:id="174" w:name="_Toc228279948"/>
      <w:bookmarkStart w:id="175" w:name="_Toc228388009"/>
      <w:bookmarkStart w:id="176" w:name="_Toc228779454"/>
      <w:bookmarkStart w:id="177" w:name="_Toc228781951"/>
      <w:bookmarkStart w:id="178" w:name="_Toc228790161"/>
      <w:bookmarkStart w:id="179" w:name="_Toc228279639"/>
      <w:bookmarkStart w:id="180" w:name="_Toc228279949"/>
      <w:bookmarkStart w:id="181" w:name="_Toc228388010"/>
      <w:bookmarkStart w:id="182" w:name="_Toc228779455"/>
      <w:bookmarkStart w:id="183" w:name="_Toc228781952"/>
      <w:bookmarkStart w:id="184" w:name="_Toc228790162"/>
      <w:bookmarkStart w:id="185" w:name="_Toc228279640"/>
      <w:bookmarkStart w:id="186" w:name="_Toc228279950"/>
      <w:bookmarkStart w:id="187" w:name="_Toc228388011"/>
      <w:bookmarkStart w:id="188" w:name="_Toc228779456"/>
      <w:bookmarkStart w:id="189" w:name="_Toc228781953"/>
      <w:bookmarkStart w:id="190" w:name="_Toc228790163"/>
      <w:bookmarkStart w:id="191" w:name="_Toc228279641"/>
      <w:bookmarkStart w:id="192" w:name="_Toc228279951"/>
      <w:bookmarkStart w:id="193" w:name="_Toc228388012"/>
      <w:bookmarkStart w:id="194" w:name="_Toc228779457"/>
      <w:bookmarkStart w:id="195" w:name="_Toc228781954"/>
      <w:bookmarkStart w:id="196" w:name="_Toc228790164"/>
      <w:bookmarkStart w:id="197" w:name="_Toc228279642"/>
      <w:bookmarkStart w:id="198" w:name="_Toc228279952"/>
      <w:bookmarkStart w:id="199" w:name="_Toc228388013"/>
      <w:bookmarkStart w:id="200" w:name="_Toc228779458"/>
      <w:bookmarkStart w:id="201" w:name="_Toc228781955"/>
      <w:bookmarkStart w:id="202" w:name="_Toc228790165"/>
      <w:bookmarkStart w:id="203" w:name="_Toc228279643"/>
      <w:bookmarkStart w:id="204" w:name="_Toc228279953"/>
      <w:bookmarkStart w:id="205" w:name="_Toc228388014"/>
      <w:bookmarkStart w:id="206" w:name="_Toc228779459"/>
      <w:bookmarkStart w:id="207" w:name="_Toc228781956"/>
      <w:bookmarkStart w:id="208" w:name="_Toc228790166"/>
      <w:bookmarkStart w:id="209" w:name="_Toc228388015"/>
      <w:bookmarkStart w:id="210" w:name="_Toc228779460"/>
      <w:bookmarkStart w:id="211" w:name="_Toc228781957"/>
      <w:bookmarkStart w:id="212" w:name="_Toc228790167"/>
      <w:bookmarkStart w:id="213" w:name="_Toc228388016"/>
      <w:bookmarkStart w:id="214" w:name="_Toc228779461"/>
      <w:bookmarkStart w:id="215" w:name="_Toc228781958"/>
      <w:bookmarkStart w:id="216" w:name="_Toc228790168"/>
      <w:bookmarkStart w:id="217" w:name="_Toc228388017"/>
      <w:bookmarkStart w:id="218" w:name="_Toc228779462"/>
      <w:bookmarkStart w:id="219" w:name="_Toc228781959"/>
      <w:bookmarkStart w:id="220" w:name="_Toc228790169"/>
      <w:bookmarkStart w:id="221" w:name="_Toc228388018"/>
      <w:bookmarkStart w:id="222" w:name="_Toc228779463"/>
      <w:bookmarkStart w:id="223" w:name="_Toc228781960"/>
      <w:bookmarkStart w:id="224" w:name="_Toc228790170"/>
      <w:bookmarkStart w:id="225" w:name="_Toc228388019"/>
      <w:bookmarkStart w:id="226" w:name="_Toc228779464"/>
      <w:bookmarkStart w:id="227" w:name="_Toc228781961"/>
      <w:bookmarkStart w:id="228" w:name="_Toc228790171"/>
      <w:bookmarkStart w:id="229" w:name="_Toc228388020"/>
      <w:bookmarkStart w:id="230" w:name="_Toc228779465"/>
      <w:bookmarkStart w:id="231" w:name="_Toc228781962"/>
      <w:bookmarkStart w:id="232" w:name="_Toc228790172"/>
      <w:bookmarkStart w:id="233" w:name="_Toc22883158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72361F">
        <w:t>Upstream</w:t>
      </w:r>
      <w:r>
        <w:t xml:space="preserve"> Liquid Removal</w:t>
      </w:r>
      <w:bookmarkEnd w:id="233"/>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4" w:name="_Toc228831582"/>
      <w:r w:rsidRPr="00605E78">
        <w:t>Diameter</w:t>
      </w:r>
      <w:r>
        <w:t xml:space="preserve"> Optimization</w:t>
      </w:r>
      <w:bookmarkEnd w:id="234"/>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5" w:name="_Toc228831583"/>
      <w:r>
        <w:lastRenderedPageBreak/>
        <w:t>Receiving Facility Protection</w:t>
      </w:r>
      <w:bookmarkEnd w:id="235"/>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6" w:name="_Toc228831584"/>
      <w:r>
        <w:t>Liquid Handling and Disposal</w:t>
      </w:r>
      <w:bookmarkEnd w:id="236"/>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7" w:name="_Toc228831585"/>
      <w:r w:rsidRPr="00DD5415">
        <w:t>Pipeline Capacity and System Integration</w:t>
      </w:r>
      <w:bookmarkEnd w:id="237"/>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8" w:name="_Toc228831586"/>
      <w:r w:rsidRPr="00DD5415">
        <w:t>System Integration</w:t>
      </w:r>
      <w:bookmarkEnd w:id="238"/>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9" w:name="_Toc228831587"/>
      <w:r w:rsidRPr="00211C1B">
        <w:t>Pipeline Routing and Terrain</w:t>
      </w:r>
      <w:bookmarkEnd w:id="239"/>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40" w:name="_Toc228831588"/>
      <w:r w:rsidRPr="00211C1B">
        <w:t>Pipeline Size Decision</w:t>
      </w:r>
      <w:bookmarkEnd w:id="240"/>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1" w:name="_Toc228831589"/>
      <w:r w:rsidRPr="0018477D">
        <w:t>Metering System</w:t>
      </w:r>
      <w:bookmarkEnd w:id="241"/>
    </w:p>
    <w:p w14:paraId="1671FDA9" w14:textId="77777777" w:rsidR="00D36A08" w:rsidRDefault="00D36A08" w:rsidP="00286DB7">
      <w:pPr>
        <w:pStyle w:val="Heading3"/>
        <w:ind w:left="794" w:hanging="794"/>
      </w:pPr>
      <w:bookmarkStart w:id="242" w:name="_Toc228831590"/>
      <w:r w:rsidRPr="00B01434">
        <w:t>Wet Gas Metering (For Hydrocarbon Accounting)</w:t>
      </w:r>
      <w:bookmarkEnd w:id="242"/>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3" w:name="_Toc228831591"/>
      <w:r w:rsidRPr="005B6684">
        <w:rPr>
          <w:color w:val="000000" w:themeColor="text1"/>
        </w:rPr>
        <w:t>The Fiscal Metering system</w:t>
      </w:r>
      <w:bookmarkEnd w:id="243"/>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4" w:name="_Toc228831592"/>
      <w:r w:rsidRPr="005B6684">
        <w:rPr>
          <w:color w:val="000000" w:themeColor="text1"/>
        </w:rPr>
        <w:t>Other Metering Systems</w:t>
      </w:r>
      <w:bookmarkEnd w:id="244"/>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5" w:name="_Toc228831593"/>
      <w:r w:rsidRPr="005B6684">
        <w:rPr>
          <w:color w:val="000000" w:themeColor="text1"/>
        </w:rPr>
        <w:t>Governance &amp; Integration</w:t>
      </w:r>
      <w:bookmarkEnd w:id="245"/>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1D1B" w14:textId="77777777" w:rsidR="00CC716B" w:rsidRDefault="00CC716B">
      <w:pPr>
        <w:spacing w:before="0" w:after="0" w:line="240" w:lineRule="auto"/>
      </w:pPr>
      <w:r>
        <w:separator/>
      </w:r>
    </w:p>
  </w:endnote>
  <w:endnote w:type="continuationSeparator" w:id="0">
    <w:p w14:paraId="7CE149A8" w14:textId="77777777" w:rsidR="00CC716B" w:rsidRDefault="00CC71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963F" w14:textId="77777777" w:rsidR="00CC716B" w:rsidRDefault="00CC716B">
      <w:pPr>
        <w:spacing w:before="0" w:after="0" w:line="240" w:lineRule="auto"/>
      </w:pPr>
      <w:r>
        <w:separator/>
      </w:r>
    </w:p>
  </w:footnote>
  <w:footnote w:type="continuationSeparator" w:id="0">
    <w:p w14:paraId="20040779" w14:textId="77777777" w:rsidR="00CC716B" w:rsidRDefault="00CC71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53809"/>
    <w:rsid w:val="00061326"/>
    <w:rsid w:val="00061C63"/>
    <w:rsid w:val="00061F10"/>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91E"/>
    <w:rsid w:val="00270869"/>
    <w:rsid w:val="00271C37"/>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C238D"/>
    <w:rsid w:val="003D1834"/>
    <w:rsid w:val="003D371E"/>
    <w:rsid w:val="003E47D2"/>
    <w:rsid w:val="004207FC"/>
    <w:rsid w:val="00426AAA"/>
    <w:rsid w:val="004475CF"/>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525F"/>
    <w:rsid w:val="007C53F7"/>
    <w:rsid w:val="007D2AA3"/>
    <w:rsid w:val="007D69FB"/>
    <w:rsid w:val="007E2557"/>
    <w:rsid w:val="008010C9"/>
    <w:rsid w:val="008607EE"/>
    <w:rsid w:val="00887C01"/>
    <w:rsid w:val="008B0E3E"/>
    <w:rsid w:val="008D4DF0"/>
    <w:rsid w:val="008D7B15"/>
    <w:rsid w:val="008E0609"/>
    <w:rsid w:val="008F2998"/>
    <w:rsid w:val="009015BE"/>
    <w:rsid w:val="009036F2"/>
    <w:rsid w:val="00932D89"/>
    <w:rsid w:val="00934361"/>
    <w:rsid w:val="009451F2"/>
    <w:rsid w:val="009601D4"/>
    <w:rsid w:val="00960BC8"/>
    <w:rsid w:val="00962A5E"/>
    <w:rsid w:val="0097772C"/>
    <w:rsid w:val="0099366D"/>
    <w:rsid w:val="009A480F"/>
    <w:rsid w:val="009B69A0"/>
    <w:rsid w:val="009C1335"/>
    <w:rsid w:val="009D21A6"/>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70391"/>
    <w:rsid w:val="00C70E13"/>
    <w:rsid w:val="00C71930"/>
    <w:rsid w:val="00C72525"/>
    <w:rsid w:val="00C7315C"/>
    <w:rsid w:val="00C77C1B"/>
    <w:rsid w:val="00C83566"/>
    <w:rsid w:val="00C83960"/>
    <w:rsid w:val="00C941DE"/>
    <w:rsid w:val="00C94D04"/>
    <w:rsid w:val="00CA20A4"/>
    <w:rsid w:val="00CB43B1"/>
    <w:rsid w:val="00CC716B"/>
    <w:rsid w:val="00CD5A96"/>
    <w:rsid w:val="00CE27B8"/>
    <w:rsid w:val="00CE3E15"/>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68</TotalTime>
  <Pages>43</Pages>
  <Words>8411</Words>
  <Characters>47944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56243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3</cp:revision>
  <cp:lastPrinted>2026-05-04T16:38:00Z</cp:lastPrinted>
  <dcterms:created xsi:type="dcterms:W3CDTF">2026-05-10T15:11:00Z</dcterms:created>
  <dcterms:modified xsi:type="dcterms:W3CDTF">2026-05-10T16:15:00Z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