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3316C24D" w:rsidR="00DF1E92" w:rsidRDefault="00000000">
            <w:pPr>
              <w:pStyle w:val="DocNumber"/>
              <w:rPr>
                <w:color w:val="auto"/>
              </w:rPr>
            </w:pPr>
            <w:r>
              <w:t>EA-BFPCL-GGPL-FEED-</w:t>
            </w:r>
            <w:r w:rsidR="00242E9A">
              <w:t>GEN-</w:t>
            </w:r>
            <w:r w:rsidR="00CE27B8">
              <w:t>PHY-</w:t>
            </w:r>
            <w:r>
              <w:t>00</w:t>
            </w:r>
            <w:r w:rsidR="00A862EC">
              <w:t>7</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C4D0B3D"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w:t>
            </w:r>
            <w:r w:rsidR="004F4721">
              <w:rPr>
                <w:rFonts w:ascii="Futura Std Book" w:hAnsi="Futura Std Book"/>
                <w:b/>
                <w:color w:val="auto"/>
                <w:sz w:val="22"/>
                <w:szCs w:val="22"/>
              </w:rPr>
              <w:t>9</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0C7ACA8D" w:rsidR="00F71F1B" w:rsidRDefault="00C36874" w:rsidP="002A1D7A">
            <w:pPr>
              <w:pStyle w:val="EPTableContent"/>
              <w:spacing w:before="120" w:beforeAutospacing="0" w:after="120" w:afterAutospacing="0" w:line="240" w:lineRule="auto"/>
              <w:jc w:val="center"/>
              <w:rPr>
                <w:sz w:val="14"/>
                <w:szCs w:val="14"/>
              </w:rPr>
            </w:pPr>
            <w:r>
              <w:rPr>
                <w:sz w:val="14"/>
                <w:szCs w:val="14"/>
              </w:rPr>
              <w:t>09</w:t>
            </w:r>
            <w:r w:rsidR="00A862EC">
              <w:rPr>
                <w:sz w:val="14"/>
                <w:szCs w:val="14"/>
              </w:rPr>
              <w:t xml:space="preserve"> May</w:t>
            </w:r>
            <w:r w:rsidR="00F71F1B">
              <w:rPr>
                <w:sz w:val="14"/>
                <w:szCs w:val="14"/>
              </w:rPr>
              <w:t xml:space="preserve">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24CD8A34"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GGPL-FEED-GEN-PHY-00</w:t>
            </w:r>
            <w:r w:rsidR="00C36874">
              <w:rPr>
                <w:rFonts w:ascii="Futura Std Book" w:hAnsi="Futura Std Book"/>
                <w:sz w:val="20"/>
              </w:rPr>
              <w:t>7</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31B0B55C" w14:textId="77777777" w:rsidR="00113BC4" w:rsidRDefault="00113BC4" w:rsidP="00113BC4">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Pr>
                <w:rFonts w:ascii="Futura Std Book" w:eastAsia="Calibri" w:hAnsi="Futura Std Book" w:cs="Kalinga"/>
                <w:bCs/>
                <w:color w:val="3333FF"/>
                <w:sz w:val="22"/>
                <w:szCs w:val="22"/>
                <w:lang w:eastAsia="en-CA"/>
              </w:rPr>
              <w:t>Refine the below for me:</w:t>
            </w:r>
          </w:p>
          <w:p w14:paraId="6F584920" w14:textId="77777777" w:rsidR="009015BE"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34616A">
              <w:rPr>
                <w:rFonts w:ascii="Futura Std Book" w:eastAsia="Calibri" w:hAnsi="Futura Std Book" w:cs="Kalinga"/>
                <w:bCs/>
                <w:color w:val="000000" w:themeColor="text1"/>
                <w:sz w:val="22"/>
                <w:szCs w:val="22"/>
                <w:lang w:eastAsia="en-CA"/>
              </w:rPr>
              <w:t xml:space="preserve">The administration of this document is limited to defining the philosophy and </w:t>
            </w:r>
            <w:r w:rsidR="00FA6934">
              <w:rPr>
                <w:rFonts w:ascii="Futura Std Book" w:eastAsia="Calibri" w:hAnsi="Futura Std Book" w:cs="Kalinga"/>
                <w:bCs/>
                <w:color w:val="000000" w:themeColor="text1"/>
                <w:sz w:val="22"/>
                <w:szCs w:val="22"/>
                <w:lang w:eastAsia="en-CA"/>
              </w:rPr>
              <w:t>DSVS</w:t>
            </w:r>
            <w:r w:rsidRPr="0034616A">
              <w:rPr>
                <w:rFonts w:ascii="Futura Std Book" w:eastAsia="Calibri" w:hAnsi="Futura Std Book" w:cs="Kalinga"/>
                <w:bCs/>
                <w:color w:val="000000" w:themeColor="text1"/>
                <w:sz w:val="22"/>
                <w:szCs w:val="22"/>
                <w:lang w:eastAsia="en-CA"/>
              </w:rPr>
              <w:t xml:space="preserve">’s commitment to the Decommissioning and Abandonment (D&amp;A) of the </w:t>
            </w:r>
            <w:r w:rsidR="00FA6934">
              <w:rPr>
                <w:rFonts w:ascii="Futura Std Book" w:eastAsia="Calibri" w:hAnsi="Futura Std Book" w:cs="Kalinga"/>
                <w:bCs/>
                <w:color w:val="000000" w:themeColor="text1"/>
                <w:sz w:val="22"/>
                <w:szCs w:val="22"/>
                <w:lang w:eastAsia="en-CA"/>
              </w:rPr>
              <w:t xml:space="preserve">OKNU-BBOU </w:t>
            </w:r>
            <w:r w:rsidR="00FC323A">
              <w:rPr>
                <w:rFonts w:ascii="Futura Std Book" w:eastAsia="Calibri" w:hAnsi="Futura Std Book" w:cs="Kalinga"/>
                <w:bCs/>
                <w:color w:val="000000" w:themeColor="text1"/>
                <w:sz w:val="22"/>
                <w:szCs w:val="22"/>
                <w:lang w:eastAsia="en-CA"/>
              </w:rPr>
              <w:t xml:space="preserve">85 km </w:t>
            </w:r>
            <w:r w:rsidRPr="0034616A">
              <w:rPr>
                <w:rFonts w:ascii="Futura Std Book" w:eastAsia="Calibri" w:hAnsi="Futura Std Book" w:cs="Kalinga"/>
                <w:bCs/>
                <w:color w:val="000000" w:themeColor="text1"/>
                <w:sz w:val="22"/>
                <w:szCs w:val="22"/>
                <w:lang w:eastAsia="en-CA"/>
              </w:rPr>
              <w:t xml:space="preserve">Gas Gathering Pipeline System and associated infrastructure for the BFPCL </w:t>
            </w:r>
            <w:r w:rsidR="00FA6934">
              <w:rPr>
                <w:rFonts w:ascii="Futura Std Book" w:eastAsia="Calibri" w:hAnsi="Futura Std Book" w:cs="Kalinga"/>
                <w:bCs/>
                <w:color w:val="000000" w:themeColor="text1"/>
                <w:sz w:val="22"/>
                <w:szCs w:val="22"/>
                <w:lang w:eastAsia="en-CA"/>
              </w:rPr>
              <w:t xml:space="preserve">Gas Hub / </w:t>
            </w:r>
            <w:r w:rsidRPr="0034616A">
              <w:rPr>
                <w:rFonts w:ascii="Futura Std Book" w:eastAsia="Calibri" w:hAnsi="Futura Std Book" w:cs="Kalinga"/>
                <w:bCs/>
                <w:color w:val="000000" w:themeColor="text1"/>
                <w:sz w:val="22"/>
                <w:szCs w:val="22"/>
                <w:lang w:eastAsia="en-CA"/>
              </w:rPr>
              <w:t>Methanol Plant Project at the end of its service life.</w:t>
            </w:r>
          </w:p>
          <w:p w14:paraId="696A2098" w14:textId="277148DA" w:rsidR="00A10547" w:rsidRPr="0034616A" w:rsidRDefault="00A10547" w:rsidP="00A10547">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34616A">
              <w:rPr>
                <w:rFonts w:ascii="Futura Std Book" w:eastAsia="Calibri" w:hAnsi="Futura Std Book" w:cs="Kalinga"/>
                <w:bCs/>
                <w:color w:val="000000" w:themeColor="text1"/>
                <w:sz w:val="22"/>
                <w:szCs w:val="22"/>
                <w:lang w:eastAsia="en-CA"/>
              </w:rPr>
              <w:t>It establishes the overarching principles and general prescriptions governing D&amp;A activities, in alignment with applicable contemporary regulatory and industry standards, including those of the Nigerian Upstream Petroleum Regulatory Commission, Nigerian Midstream and Downstream Petroleum Regulatory Authority, Federal Ministry of Environment, and Environmental Guidelines and Standards for the Petroleum Industry in Nigeria</w:t>
            </w:r>
            <w:r>
              <w:rPr>
                <w:rFonts w:ascii="Futura Std Book" w:eastAsia="Calibri" w:hAnsi="Futura Std Book" w:cs="Kalinga"/>
                <w:bCs/>
                <w:color w:val="000000" w:themeColor="text1"/>
                <w:sz w:val="22"/>
                <w:szCs w:val="22"/>
                <w:lang w:eastAsia="en-CA"/>
              </w:rPr>
              <w:t>.</w:t>
            </w:r>
          </w:p>
          <w:p w14:paraId="2689FDF5" w14:textId="17CF1BCC" w:rsidR="00632F00" w:rsidRPr="0034616A" w:rsidRDefault="009015BE"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Pr>
                <w:rFonts w:ascii="Futura Std Book" w:eastAsia="Calibri" w:hAnsi="Futura Std Book" w:cs="Kalinga"/>
                <w:bCs/>
                <w:color w:val="000000" w:themeColor="text1"/>
                <w:sz w:val="22"/>
                <w:szCs w:val="22"/>
                <w:lang w:eastAsia="en-CA"/>
              </w:rPr>
              <w:t xml:space="preserve">There is complementary pipeline segment to this decommissioning &amp; abandonment </w:t>
            </w:r>
            <w:r w:rsidR="00B80FF5">
              <w:rPr>
                <w:rFonts w:ascii="Futura Std Book" w:eastAsia="Calibri" w:hAnsi="Futura Std Book" w:cs="Kalinga"/>
                <w:bCs/>
                <w:color w:val="000000" w:themeColor="text1"/>
                <w:sz w:val="22"/>
                <w:szCs w:val="22"/>
                <w:lang w:eastAsia="en-CA"/>
              </w:rPr>
              <w:t xml:space="preserve">exercise </w:t>
            </w:r>
            <w:r>
              <w:rPr>
                <w:rFonts w:ascii="Futura Std Book" w:eastAsia="Calibri" w:hAnsi="Futura Std Book" w:cs="Kalinga"/>
                <w:bCs/>
                <w:color w:val="000000" w:themeColor="text1"/>
                <w:sz w:val="22"/>
                <w:szCs w:val="22"/>
                <w:lang w:eastAsia="en-CA"/>
              </w:rPr>
              <w:t xml:space="preserve">- </w:t>
            </w:r>
            <w:r>
              <w:rPr>
                <w:rFonts w:ascii="Futura Std Book" w:hAnsi="Futura Std Book" w:cs="Arial"/>
                <w:bCs/>
                <w:sz w:val="22"/>
                <w:szCs w:val="22"/>
                <w:lang w:val="en-US" w:eastAsia="en-CA"/>
              </w:rPr>
              <w:t>the 40 km BBOU-ELEP-AKAB Pipeline Segment</w:t>
            </w:r>
            <w:r w:rsidR="00A10547">
              <w:rPr>
                <w:rFonts w:ascii="Futura Std Book" w:hAnsi="Futura Std Book" w:cs="Arial"/>
                <w:bCs/>
                <w:sz w:val="22"/>
                <w:szCs w:val="22"/>
                <w:lang w:val="en-US" w:eastAsia="en-CA"/>
              </w:rPr>
              <w:t>, down-stream, under separate GSPA and status</w:t>
            </w:r>
            <w:r>
              <w:rPr>
                <w:rFonts w:ascii="Futura Std Book" w:hAnsi="Futura Std Book" w:cs="Arial"/>
                <w:bCs/>
                <w:sz w:val="22"/>
                <w:szCs w:val="22"/>
                <w:lang w:val="en-US" w:eastAsia="en-CA"/>
              </w:rPr>
              <w:t xml:space="preserve"> - which has to be decommissioned and abandoned in a similar way.  The BBOU-ELEP-AKAB down-stream segment receives flow from the OKNU-BBOU for onward transportation to the gas hub / GPP</w:t>
            </w:r>
            <w:r w:rsidR="00B80FF5">
              <w:rPr>
                <w:rFonts w:ascii="Futura Std Book" w:hAnsi="Futura Std Book" w:cs="Arial"/>
                <w:bCs/>
                <w:sz w:val="22"/>
                <w:szCs w:val="22"/>
                <w:lang w:val="en-US" w:eastAsia="en-CA"/>
              </w:rPr>
              <w:t xml:space="preserve">.  There is also an aspiration to flow 1 BSCFD through the pipeline system to the 1 BSCFD gas hub proposed at Akabel as a separate project, with a configuration yet to be firmed up. </w:t>
            </w:r>
            <w:r w:rsidR="00632F00" w:rsidRPr="0034616A">
              <w:rPr>
                <w:rFonts w:ascii="Futura Std Book" w:eastAsia="Calibri" w:hAnsi="Futura Std Book" w:cs="Kalinga"/>
                <w:bCs/>
                <w:color w:val="000000" w:themeColor="text1"/>
                <w:sz w:val="22"/>
                <w:szCs w:val="22"/>
                <w:lang w:eastAsia="en-CA"/>
              </w:rPr>
              <w:t xml:space="preserve">  </w:t>
            </w:r>
          </w:p>
          <w:p w14:paraId="7D8F1A4D"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While the philosophy herein provides a definitive framework, actual implementation at the time of decommissioning shall remain adaptive and responsive to evolving regulatory requirements, technological advancements, and emerging industry best practices.</w:t>
            </w:r>
          </w:p>
          <w:p w14:paraId="5BCD5242" w14:textId="1D56E438"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w:t>
            </w:r>
            <w:r w:rsidR="004B7F6A">
              <w:rPr>
                <w:rFonts w:ascii="Futura Std Book" w:hAnsi="Futura Std Book" w:cs="Arial"/>
                <w:bCs/>
                <w:sz w:val="22"/>
                <w:szCs w:val="22"/>
                <w:lang w:val="en-US" w:eastAsia="en-CA"/>
              </w:rPr>
              <w:t xml:space="preserve"> </w:t>
            </w:r>
            <w:r>
              <w:rPr>
                <w:rFonts w:ascii="Futura Std Book" w:hAnsi="Futura Std Book" w:cs="Arial"/>
                <w:bCs/>
                <w:sz w:val="22"/>
                <w:szCs w:val="22"/>
                <w:lang w:val="en-US" w:eastAsia="en-CA"/>
              </w:rPr>
              <w:t xml:space="preserve">information </w:t>
            </w:r>
            <w:proofErr w:type="gramStart"/>
            <w:r>
              <w:rPr>
                <w:rFonts w:ascii="Futura Std Book" w:hAnsi="Futura Std Book" w:cs="Arial"/>
                <w:bCs/>
                <w:sz w:val="22"/>
                <w:szCs w:val="22"/>
                <w:lang w:val="en-US" w:eastAsia="en-CA"/>
              </w:rPr>
              <w:t>become</w:t>
            </w:r>
            <w:proofErr w:type="gramEnd"/>
            <w:r>
              <w:rPr>
                <w:rFonts w:ascii="Futura Std Book" w:hAnsi="Futura Std Book" w:cs="Arial"/>
                <w:bCs/>
                <w:sz w:val="22"/>
                <w:szCs w:val="22"/>
                <w:lang w:val="en-US" w:eastAsia="en-CA"/>
              </w:rPr>
              <w:t xml:space="preserve"> available, Epic Atlantic reserves the right to update the opinion set out in this report.</w:t>
            </w:r>
          </w:p>
          <w:p w14:paraId="617BCD47"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w:t>
            </w:r>
            <w:r w:rsidR="00AF14B6">
              <w:rPr>
                <w:rFonts w:ascii="Futura Std Book" w:hAnsi="Futura Std Book" w:cs="Arial"/>
                <w:bCs/>
                <w:sz w:val="22"/>
                <w:szCs w:val="22"/>
                <w:lang w:val="en-US" w:eastAsia="en-CA"/>
              </w:rPr>
              <w:t xml:space="preserve"> and their updates,</w:t>
            </w:r>
            <w:r>
              <w:rPr>
                <w:rFonts w:ascii="Futura Std Book" w:hAnsi="Futura Std Book" w:cs="Arial"/>
                <w:bCs/>
                <w:sz w:val="22"/>
                <w:szCs w:val="22"/>
                <w:lang w:val="en-US" w:eastAsia="en-CA"/>
              </w:rPr>
              <w:t xml:space="preserve"> which are key components of the FEED.</w:t>
            </w:r>
          </w:p>
          <w:p w14:paraId="5335B19C" w14:textId="77777777" w:rsidR="00992FEF" w:rsidRDefault="00992FEF">
            <w:pPr>
              <w:tabs>
                <w:tab w:val="left" w:pos="1418"/>
              </w:tabs>
              <w:suppressAutoHyphens/>
              <w:spacing w:before="120" w:after="120" w:line="240" w:lineRule="auto"/>
              <w:rPr>
                <w:rFonts w:ascii="Futura Std Book" w:hAnsi="Futura Std Book" w:cs="Arial"/>
                <w:bCs/>
                <w:sz w:val="22"/>
                <w:szCs w:val="22"/>
                <w:lang w:val="en-US" w:eastAsia="en-CA"/>
              </w:rPr>
            </w:pPr>
          </w:p>
          <w:p w14:paraId="71BFEE2D" w14:textId="77777777" w:rsidR="00992FEF" w:rsidRPr="00992FEF" w:rsidRDefault="00992FEF" w:rsidP="00992FEF">
            <w:pPr>
              <w:numPr>
                <w:ilvl w:val="0"/>
                <w:numId w:val="2"/>
              </w:numPr>
              <w:tabs>
                <w:tab w:val="clear" w:pos="1800"/>
                <w:tab w:val="left" w:pos="1418"/>
              </w:tabs>
              <w:suppressAutoHyphens/>
              <w:spacing w:before="120" w:after="120" w:line="240" w:lineRule="auto"/>
              <w:rPr>
                <w:rFonts w:ascii="Futura Std Book" w:hAnsi="Futura Std Book" w:cs="Arial"/>
                <w:bCs/>
                <w:sz w:val="22"/>
                <w:szCs w:val="22"/>
                <w:lang w:eastAsia="en-CA"/>
              </w:rPr>
            </w:pPr>
            <w:r w:rsidRPr="00992FEF">
              <w:rPr>
                <w:rFonts w:ascii="Futura Std Book" w:hAnsi="Futura Std Book" w:cs="Arial"/>
                <w:bCs/>
                <w:sz w:val="22"/>
                <w:szCs w:val="22"/>
                <w:lang w:eastAsia="en-CA"/>
              </w:rPr>
              <w:t>The administration of this document is limited to defining the philosophy and DSVS’s commitment to the Decommissioning and Abandonment (D&amp;A) of the 85 km OKNU–BBOU Gas Gathering Pipeline System and its associated infrastructure for the BFPCL Gas Hub / Methanol Plant Project at the end of its operational service life.</w:t>
            </w:r>
          </w:p>
          <w:p w14:paraId="6B21306D" w14:textId="77777777" w:rsidR="00992FEF" w:rsidRPr="00992FEF" w:rsidRDefault="00992FEF" w:rsidP="00992FEF">
            <w:pPr>
              <w:numPr>
                <w:ilvl w:val="0"/>
                <w:numId w:val="2"/>
              </w:numPr>
              <w:tabs>
                <w:tab w:val="clear" w:pos="1800"/>
                <w:tab w:val="left" w:pos="1418"/>
              </w:tabs>
              <w:suppressAutoHyphens/>
              <w:spacing w:before="120" w:after="120" w:line="240" w:lineRule="auto"/>
              <w:rPr>
                <w:rFonts w:ascii="Futura Std Book" w:hAnsi="Futura Std Book" w:cs="Arial"/>
                <w:bCs/>
                <w:sz w:val="22"/>
                <w:szCs w:val="22"/>
                <w:lang w:eastAsia="en-CA"/>
              </w:rPr>
            </w:pPr>
            <w:r w:rsidRPr="00992FEF">
              <w:rPr>
                <w:rFonts w:ascii="Futura Std Book" w:hAnsi="Futura Std Book" w:cs="Arial"/>
                <w:bCs/>
                <w:sz w:val="22"/>
                <w:szCs w:val="22"/>
                <w:lang w:eastAsia="en-CA"/>
              </w:rPr>
              <w:t>The document establishes the overarching principles, objectives, and general requirements governing D&amp;A activities, in alignment with applicable contemporary regulatory and industry standards, including those of the Nigerian Upstream Petroleum Regulatory Commission (NUPRC), the Nigerian Midstream and Downstream Petroleum Regulatory Authority (NMDPRA), the Federal Ministry of Environment (FMEnv), and the Environmental Guidelines and Standards for the Petroleum Industry in Nigeria (EGASPIN).</w:t>
            </w:r>
          </w:p>
          <w:p w14:paraId="734BBE01" w14:textId="77777777" w:rsidR="00992FEF" w:rsidRPr="00992FEF" w:rsidRDefault="00992FEF" w:rsidP="00992FEF">
            <w:pPr>
              <w:numPr>
                <w:ilvl w:val="0"/>
                <w:numId w:val="2"/>
              </w:numPr>
              <w:tabs>
                <w:tab w:val="clear" w:pos="1800"/>
                <w:tab w:val="left" w:pos="1418"/>
              </w:tabs>
              <w:suppressAutoHyphens/>
              <w:spacing w:before="120" w:after="120" w:line="240" w:lineRule="auto"/>
              <w:rPr>
                <w:rFonts w:ascii="Futura Std Book" w:hAnsi="Futura Std Book" w:cs="Arial"/>
                <w:bCs/>
                <w:sz w:val="22"/>
                <w:szCs w:val="22"/>
                <w:lang w:eastAsia="en-CA"/>
              </w:rPr>
            </w:pPr>
            <w:r w:rsidRPr="00992FEF">
              <w:rPr>
                <w:rFonts w:ascii="Futura Std Book" w:hAnsi="Futura Std Book" w:cs="Arial"/>
                <w:bCs/>
                <w:sz w:val="22"/>
                <w:szCs w:val="22"/>
                <w:lang w:eastAsia="en-CA"/>
              </w:rPr>
              <w:t xml:space="preserve">This D&amp;A philosophy also recognizes the existence of the complementary 40 km BBOU–ELEP–AKAB downstream pipeline segment, which operates under a separate Gas Sales and </w:t>
            </w:r>
            <w:r w:rsidRPr="00992FEF">
              <w:rPr>
                <w:rFonts w:ascii="Futura Std Book" w:hAnsi="Futura Std Book" w:cs="Arial"/>
                <w:bCs/>
                <w:sz w:val="22"/>
                <w:szCs w:val="22"/>
                <w:lang w:eastAsia="en-CA"/>
              </w:rPr>
              <w:lastRenderedPageBreak/>
              <w:t>Purchase Agreement (GSPA) and project status, but is functionally integrated with the OKNU–BBOU system for onward gas transportation to the Gas Hub / Gas Processing Plant (GPP). Accordingly, the downstream segment is expected to be decommissioned and abandoned in a broadly similar manner, subject to its specific commercial, operational, and regulatory framework. In addition, consideration is given to the future aspiration for transportation of up to 1 BSCFD of gas through the pipeline network to the proposed 1 BSCFD Gas Hub at Akabel under a separate development concept, the final configuration of which remains to be defined.</w:t>
            </w:r>
          </w:p>
          <w:p w14:paraId="3BC528AB" w14:textId="77777777" w:rsidR="00992FEF" w:rsidRPr="00992FEF" w:rsidRDefault="00992FEF" w:rsidP="00992FEF">
            <w:pPr>
              <w:numPr>
                <w:ilvl w:val="0"/>
                <w:numId w:val="2"/>
              </w:numPr>
              <w:tabs>
                <w:tab w:val="clear" w:pos="1800"/>
                <w:tab w:val="left" w:pos="1418"/>
              </w:tabs>
              <w:suppressAutoHyphens/>
              <w:spacing w:before="120" w:after="120" w:line="240" w:lineRule="auto"/>
              <w:rPr>
                <w:rFonts w:ascii="Futura Std Book" w:hAnsi="Futura Std Book" w:cs="Arial"/>
                <w:bCs/>
                <w:sz w:val="22"/>
                <w:szCs w:val="22"/>
                <w:lang w:eastAsia="en-CA"/>
              </w:rPr>
            </w:pPr>
            <w:r w:rsidRPr="00992FEF">
              <w:rPr>
                <w:rFonts w:ascii="Futura Std Book" w:hAnsi="Futura Std Book" w:cs="Arial"/>
                <w:bCs/>
                <w:sz w:val="22"/>
                <w:szCs w:val="22"/>
                <w:lang w:eastAsia="en-CA"/>
              </w:rPr>
              <w:t>While this philosophy provides the definitive framework for the anticipated D&amp;A approach, actual implementation at the time of decommissioning shall remain adaptive and responsive to prevailing regulatory requirements, technological advancements, environmental considerations, operational realities, and evolving industry best practices.</w:t>
            </w:r>
          </w:p>
          <w:p w14:paraId="15B60F27" w14:textId="77777777" w:rsidR="00992FEF" w:rsidRPr="00992FEF" w:rsidRDefault="00992FEF" w:rsidP="00992FEF">
            <w:pPr>
              <w:numPr>
                <w:ilvl w:val="0"/>
                <w:numId w:val="2"/>
              </w:numPr>
              <w:tabs>
                <w:tab w:val="clear" w:pos="1800"/>
                <w:tab w:val="left" w:pos="1418"/>
              </w:tabs>
              <w:suppressAutoHyphens/>
              <w:spacing w:before="120" w:after="120" w:line="240" w:lineRule="auto"/>
              <w:rPr>
                <w:rFonts w:ascii="Futura Std Book" w:hAnsi="Futura Std Book" w:cs="Arial"/>
                <w:bCs/>
                <w:sz w:val="22"/>
                <w:szCs w:val="22"/>
                <w:lang w:eastAsia="en-CA"/>
              </w:rPr>
            </w:pPr>
            <w:r w:rsidRPr="00992FEF">
              <w:rPr>
                <w:rFonts w:ascii="Futura Std Book" w:hAnsi="Futura Std Book" w:cs="Arial"/>
                <w:bCs/>
                <w:sz w:val="22"/>
                <w:szCs w:val="22"/>
                <w:lang w:eastAsia="en-CA"/>
              </w:rPr>
              <w:t>Exam</w:t>
            </w:r>
          </w:p>
          <w:p w14:paraId="046FF548" w14:textId="77777777" w:rsidR="00992FEF" w:rsidRPr="00992FEF" w:rsidRDefault="00992FEF" w:rsidP="00992FEF">
            <w:pPr>
              <w:numPr>
                <w:ilvl w:val="0"/>
                <w:numId w:val="2"/>
              </w:numPr>
              <w:tabs>
                <w:tab w:val="clear" w:pos="1800"/>
                <w:tab w:val="left" w:pos="1418"/>
              </w:tabs>
              <w:suppressAutoHyphens/>
              <w:spacing w:before="120" w:after="120" w:line="240" w:lineRule="auto"/>
              <w:rPr>
                <w:rFonts w:ascii="Futura Std Book" w:hAnsi="Futura Std Book" w:cs="Arial"/>
                <w:bCs/>
                <w:sz w:val="22"/>
                <w:szCs w:val="22"/>
                <w:lang w:eastAsia="en-CA"/>
              </w:rPr>
            </w:pPr>
            <w:r w:rsidRPr="00992FEF">
              <w:rPr>
                <w:rFonts w:ascii="Futura Std Book" w:hAnsi="Futura Std Book" w:cs="Arial"/>
                <w:bCs/>
                <w:sz w:val="22"/>
                <w:szCs w:val="22"/>
                <w:lang w:eastAsia="en-CA"/>
              </w:rPr>
              <w:t>For proper interpretation and application, this document should be read in conjunction with the referenced FEED documents and all subsequent revisions or updates thereto, which collectively form an integral part of the overall project basis.</w:t>
            </w:r>
          </w:p>
          <w:p w14:paraId="6ED98C29" w14:textId="0A01768B" w:rsidR="00992FEF" w:rsidRDefault="00992FEF">
            <w:pPr>
              <w:tabs>
                <w:tab w:val="left" w:pos="1418"/>
              </w:tabs>
              <w:suppressAutoHyphens/>
              <w:spacing w:before="120" w:after="120" w:line="240" w:lineRule="auto"/>
              <w:rPr>
                <w:rFonts w:ascii="Futura Std Book" w:hAnsi="Futura Std Book" w:cs="Arial"/>
                <w:bCs/>
                <w:sz w:val="22"/>
                <w:szCs w:val="22"/>
                <w:lang w:val="en-US" w:eastAsia="en-CA"/>
              </w:rPr>
            </w:pPr>
          </w:p>
        </w:tc>
      </w:tr>
      <w:tr w:rsidR="00DF1E92" w:rsidRPr="004B7F6A" w14:paraId="6F155671" w14:textId="77777777">
        <w:trPr>
          <w:trHeight w:val="50"/>
        </w:trPr>
        <w:tc>
          <w:tcPr>
            <w:tcW w:w="10206" w:type="dxa"/>
          </w:tcPr>
          <w:p w14:paraId="5DC87AA1" w14:textId="77777777" w:rsidR="00DF1E92" w:rsidRPr="004B7F6A" w:rsidRDefault="00000000">
            <w:pPr>
              <w:tabs>
                <w:tab w:val="left" w:pos="1134"/>
              </w:tabs>
              <w:spacing w:line="240" w:lineRule="auto"/>
              <w:rPr>
                <w:rFonts w:ascii="Futura Std Book" w:hAnsi="Futura Std Book" w:cs="Arial"/>
                <w:bCs/>
                <w:caps/>
                <w:sz w:val="18"/>
                <w:szCs w:val="18"/>
                <w:lang w:val="en-US" w:eastAsia="en-CA"/>
              </w:rPr>
            </w:pPr>
            <w:r w:rsidRPr="004B7F6A">
              <w:rPr>
                <w:rFonts w:ascii="Futura Std Book" w:hAnsi="Futura Std Book" w:cs="Arial"/>
                <w:bCs/>
                <w:caps/>
                <w:sz w:val="18"/>
                <w:szCs w:val="18"/>
                <w:lang w:val="en-US" w:eastAsia="en-CA"/>
              </w:rPr>
              <w:lastRenderedPageBreak/>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Document No.</w:t>
            </w:r>
          </w:p>
        </w:tc>
        <w:tc>
          <w:tcPr>
            <w:tcW w:w="6242" w:type="dxa"/>
          </w:tcPr>
          <w:p w14:paraId="3E72E758"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Description</w:t>
            </w:r>
          </w:p>
        </w:tc>
      </w:tr>
      <w:tr w:rsidR="00DF1E92" w14:paraId="7F6AFACB" w14:textId="77777777">
        <w:tc>
          <w:tcPr>
            <w:tcW w:w="3964" w:type="dxa"/>
          </w:tcPr>
          <w:p w14:paraId="04E7CFD3" w14:textId="34835E49"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4C1C941D" w14:textId="273B6D53"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r w:rsidR="00E17747">
              <w:rPr>
                <w:rFonts w:ascii="Futura Std Book" w:hAnsi="Futura Std Book" w:cs="Arial"/>
                <w:bCs/>
                <w:sz w:val="18"/>
                <w:szCs w:val="18"/>
                <w:lang w:val="en-US" w:eastAsia="en-CA"/>
              </w:rPr>
              <w:t>Update</w:t>
            </w:r>
          </w:p>
        </w:tc>
      </w:tr>
      <w:tr w:rsidR="00DF1E92" w14:paraId="3778674F" w14:textId="77777777">
        <w:tc>
          <w:tcPr>
            <w:tcW w:w="3964" w:type="dxa"/>
          </w:tcPr>
          <w:p w14:paraId="46242AEB" w14:textId="7C32EAA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748F45DF" w14:textId="46D990ED"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r w:rsidR="00E17747">
              <w:rPr>
                <w:rFonts w:ascii="Futura Std Book" w:hAnsi="Futura Std Book" w:cs="Arial"/>
                <w:bCs/>
                <w:sz w:val="18"/>
                <w:szCs w:val="18"/>
                <w:lang w:val="en-US" w:eastAsia="en-CA"/>
              </w:rPr>
              <w:t xml:space="preserve"> Update</w:t>
            </w:r>
          </w:p>
        </w:tc>
      </w:tr>
      <w:tr w:rsidR="00DF1E92" w14:paraId="69BC381A" w14:textId="77777777">
        <w:tc>
          <w:tcPr>
            <w:tcW w:w="3964" w:type="dxa"/>
          </w:tcPr>
          <w:p w14:paraId="21201FBD" w14:textId="58B3944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bCs/>
                <w:sz w:val="16"/>
                <w:szCs w:val="16"/>
                <w:lang w:val="en-US" w:eastAsia="en-CA"/>
              </w:rPr>
              <w:t>TBA</w:t>
            </w:r>
          </w:p>
        </w:tc>
        <w:tc>
          <w:tcPr>
            <w:tcW w:w="6242" w:type="dxa"/>
          </w:tcPr>
          <w:p w14:paraId="686E478F" w14:textId="57DA9678"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r w:rsidR="00E17747">
              <w:rPr>
                <w:rFonts w:ascii="Futura Std Book" w:hAnsi="Futura Std Book" w:cs="Arial"/>
                <w:bCs/>
                <w:sz w:val="18"/>
                <w:szCs w:val="18"/>
                <w:lang w:val="en-US" w:eastAsia="en-CA"/>
              </w:rPr>
              <w:t xml:space="preserve"> Update</w:t>
            </w:r>
          </w:p>
        </w:tc>
      </w:tr>
      <w:tr w:rsidR="0026591E" w14:paraId="478C5AEB" w14:textId="77777777" w:rsidTr="00E70878">
        <w:tc>
          <w:tcPr>
            <w:tcW w:w="3964" w:type="dxa"/>
          </w:tcPr>
          <w:p w14:paraId="524533BB" w14:textId="3F65EFC1" w:rsidR="0026591E" w:rsidRPr="0099366D" w:rsidRDefault="0099366D" w:rsidP="004B7F6A">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 xml:space="preserve">FISAS Draft Report, Nov 2020 </w:t>
            </w:r>
          </w:p>
        </w:tc>
        <w:tc>
          <w:tcPr>
            <w:tcW w:w="6242" w:type="dxa"/>
          </w:tcPr>
          <w:p w14:paraId="43DE7070" w14:textId="69DE6B2B" w:rsidR="0026591E" w:rsidRPr="0099366D" w:rsidRDefault="003248A7"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99366D">
              <w:rPr>
                <w:rFonts w:ascii="Futura Std Book" w:hAnsi="Futura Std Book" w:cs="Arial"/>
                <w:bCs/>
                <w:sz w:val="18"/>
                <w:szCs w:val="18"/>
                <w:lang w:val="en-US" w:eastAsia="en-CA"/>
              </w:rPr>
              <w:t xml:space="preserve">ESIA Assessment BBOU-ELEP-AKAB 40 km Gas Supply Project </w:t>
            </w:r>
          </w:p>
        </w:tc>
      </w:tr>
      <w:tr w:rsidR="009036F2" w:rsidRPr="009036F2" w14:paraId="0352E13B" w14:textId="77777777" w:rsidTr="00D22FE0">
        <w:tc>
          <w:tcPr>
            <w:tcW w:w="3964" w:type="dxa"/>
          </w:tcPr>
          <w:p w14:paraId="1C393B64" w14:textId="4417B6E0" w:rsidR="009036F2" w:rsidRPr="009036F2" w:rsidRDefault="009036F2" w:rsidP="00D22FE0">
            <w:pPr>
              <w:keepNext/>
              <w:tabs>
                <w:tab w:val="left" w:pos="1418"/>
              </w:tabs>
              <w:spacing w:before="40" w:after="40" w:line="240" w:lineRule="auto"/>
              <w:rPr>
                <w:rFonts w:ascii="Futura Std Book" w:hAnsi="Futura Std Book" w:cs="Arial"/>
                <w:bCs/>
                <w:sz w:val="14"/>
                <w:szCs w:val="14"/>
                <w:lang w:val="en-US" w:eastAsia="en-CA"/>
              </w:rPr>
            </w:pPr>
            <w:r w:rsidRPr="009036F2">
              <w:rPr>
                <w:rFonts w:ascii="Futura Std Book" w:hAnsi="Futura Std Book" w:cs="Arial"/>
                <w:bCs/>
                <w:sz w:val="14"/>
                <w:szCs w:val="14"/>
                <w:lang w:val="en-US" w:eastAsia="en-CA"/>
              </w:rPr>
              <w:t>EA-BFPCL-DSV 0KNU-BBOU-ELEP-AKAB GGPL-FEED-CSM-001</w:t>
            </w:r>
          </w:p>
        </w:tc>
        <w:tc>
          <w:tcPr>
            <w:tcW w:w="6242" w:type="dxa"/>
          </w:tcPr>
          <w:p w14:paraId="5AA83DAC" w14:textId="61248412" w:rsidR="009036F2" w:rsidRPr="0075746C" w:rsidRDefault="009036F2" w:rsidP="00D22FE0">
            <w:pPr>
              <w:keepNext/>
              <w:tabs>
                <w:tab w:val="left" w:pos="1418"/>
              </w:tabs>
              <w:spacing w:before="40" w:after="40" w:line="240" w:lineRule="auto"/>
              <w:rPr>
                <w:rFonts w:ascii="Futura Std Book" w:hAnsi="Futura Std Book" w:cs="Arial"/>
                <w:bCs/>
                <w:sz w:val="18"/>
                <w:szCs w:val="18"/>
                <w:highlight w:val="yellow"/>
                <w:lang w:val="en-US" w:eastAsia="en-CA"/>
              </w:rPr>
            </w:pPr>
            <w:r w:rsidRPr="0075746C">
              <w:rPr>
                <w:rFonts w:ascii="Futura Std Book" w:hAnsi="Futura Std Book" w:cs="Arial"/>
                <w:bCs/>
                <w:sz w:val="18"/>
                <w:szCs w:val="18"/>
                <w:lang w:val="en-US" w:eastAsia="en-CA"/>
              </w:rPr>
              <w:t>FEED Scope Definition of OKNU-BBOU-ELEP-AKAB Pipeline</w:t>
            </w:r>
          </w:p>
        </w:tc>
      </w:tr>
      <w:tr w:rsidR="0026591E" w14:paraId="520892B0" w14:textId="77777777" w:rsidTr="00E70878">
        <w:tc>
          <w:tcPr>
            <w:tcW w:w="3964" w:type="dxa"/>
          </w:tcPr>
          <w:p w14:paraId="4A5821DB" w14:textId="7980AB47" w:rsidR="0026591E" w:rsidRPr="00C941DE" w:rsidRDefault="0026591E"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4B7F6A">
            <w:pPr>
              <w:keepNext/>
              <w:tabs>
                <w:tab w:val="left" w:pos="1418"/>
              </w:tabs>
              <w:spacing w:before="40" w:after="40"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w:t>
            </w:r>
            <w:r w:rsidRPr="0075746C">
              <w:rPr>
                <w:rFonts w:ascii="Futura Std Book" w:hAnsi="Futura Std Book" w:cs="Arial"/>
                <w:bCs/>
                <w:sz w:val="16"/>
                <w:szCs w:val="16"/>
                <w:lang w:val="en-US" w:eastAsia="en-CA"/>
              </w:rPr>
              <w:t>OKNU-BBOU</w:t>
            </w:r>
            <w:r w:rsidRPr="00C941DE">
              <w:rPr>
                <w:rFonts w:ascii="Futura Std Book" w:hAnsi="Futura Std Book" w:cs="Arial"/>
                <w:bCs/>
                <w:sz w:val="18"/>
                <w:szCs w:val="18"/>
                <w:lang w:val="en-US" w:eastAsia="en-CA"/>
              </w:rPr>
              <w:t xml:space="preserve">, and Updates of </w:t>
            </w:r>
            <w:r w:rsidRPr="0075746C">
              <w:rPr>
                <w:rFonts w:ascii="Futura Std Book" w:hAnsi="Futura Std Book" w:cs="Arial"/>
                <w:bCs/>
                <w:sz w:val="16"/>
                <w:szCs w:val="16"/>
                <w:lang w:val="en-US" w:eastAsia="en-CA"/>
              </w:rPr>
              <w:t>BBOU-ELEP-AKAB</w:t>
            </w:r>
            <w:r w:rsidRPr="00C941DE">
              <w:rPr>
                <w:rFonts w:ascii="Futura Std Book" w:hAnsi="Futura Std Book" w:cs="Arial"/>
                <w:bCs/>
                <w:sz w:val="18"/>
                <w:szCs w:val="18"/>
                <w:lang w:val="en-US" w:eastAsia="en-CA"/>
              </w:rPr>
              <w:t xml:space="preserve"> Pipeline Route Survey</w:t>
            </w:r>
          </w:p>
        </w:tc>
      </w:tr>
      <w:tr w:rsidR="00E17747" w:rsidRPr="0099366D" w14:paraId="0466C7DD" w14:textId="77777777" w:rsidTr="00D22FE0">
        <w:tc>
          <w:tcPr>
            <w:tcW w:w="3964" w:type="dxa"/>
          </w:tcPr>
          <w:p w14:paraId="2E07949D"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TBA</w:t>
            </w:r>
          </w:p>
        </w:tc>
        <w:tc>
          <w:tcPr>
            <w:tcW w:w="6242" w:type="dxa"/>
          </w:tcPr>
          <w:p w14:paraId="73DD1B21"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5CF48762" w14:textId="77777777" w:rsidR="0075746C" w:rsidRDefault="0075746C">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C5A39">
      <w:pPr>
        <w:pStyle w:val="Heading2"/>
        <w:spacing w:before="360" w:line="276" w:lineRule="auto"/>
        <w:ind w:left="851" w:hanging="851"/>
      </w:pPr>
      <w:bookmarkStart w:id="14" w:name="_Toc228831466"/>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5" w:name="_Toc228831467"/>
      <w:r w:rsidRPr="00E73E03">
        <w:lastRenderedPageBreak/>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lastRenderedPageBreak/>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77777777"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125 km OKNU–BBOU–ELEP–AKAB 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lastRenderedPageBreak/>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10030C52"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Total Length: ~125 km </w:t>
      </w:r>
    </w:p>
    <w:p w14:paraId="5FFC5FEF"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~85 km (new line) </w:t>
      </w:r>
    </w:p>
    <w:p w14:paraId="6FF92BDD"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~8 km </w:t>
      </w:r>
    </w:p>
    <w:p w14:paraId="4514A789"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~32 km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3131B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3F2231B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Hub (KP125)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77777777"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The scope covers pipelines, facilities, instrumentation, and ancillary systems across the full 125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70338B5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pipeline (~8 km) </w:t>
      </w:r>
    </w:p>
    <w:p w14:paraId="0474E49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trunkline (~32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and ELEP manifolds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Slug catchers (inlet / midline / outlet)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EEFB7E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6B898E5B" w14:textId="341BC386"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Slug Catcher Inlet </w:t>
      </w:r>
    </w:p>
    <w:p w14:paraId="4D705AC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Inlet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4ED6B66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1E1F9F6D" w14:textId="275A8FD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AKAB Slug Catcher Inlet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7E0E66C" w14:textId="77777777" w:rsidR="00FB631B" w:rsidRPr="0034616A" w:rsidRDefault="00FB631B" w:rsidP="005853B4">
      <w:pPr>
        <w:pStyle w:val="Heading3"/>
        <w:ind w:left="794" w:hanging="794"/>
        <w:rPr>
          <w:color w:val="000000" w:themeColor="text1"/>
        </w:rPr>
      </w:pPr>
      <w:bookmarkStart w:id="28" w:name="_Toc228831480"/>
      <w:r w:rsidRPr="0034616A">
        <w:rPr>
          <w:color w:val="000000" w:themeColor="text1"/>
        </w:rPr>
        <w:t>Fiscal Meter (Final Custody Transfer)</w:t>
      </w:r>
      <w:bookmarkEnd w:id="28"/>
    </w:p>
    <w:p w14:paraId="49F47F2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43BF8E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Outlet (KP125) </w:t>
      </w:r>
    </w:p>
    <w:p w14:paraId="26D73EA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2A8C164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Revenue-grade custody transfer measurement </w:t>
      </w:r>
    </w:p>
    <w:p w14:paraId="5B3FEB8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export gas accounting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7C064A85" w14:textId="77777777" w:rsidR="00D91595" w:rsidRPr="0034616A" w:rsidRDefault="00D91595" w:rsidP="00D91595">
      <w:pPr>
        <w:spacing w:before="120" w:after="120" w:line="276" w:lineRule="auto"/>
        <w:jc w:val="left"/>
        <w:rPr>
          <w:rFonts w:ascii="Futura Std Book" w:hAnsi="Futura Std Book"/>
          <w:color w:val="000000" w:themeColor="text1"/>
          <w:sz w:val="22"/>
          <w:szCs w:val="22"/>
        </w:rPr>
      </w:pPr>
    </w:p>
    <w:p w14:paraId="19EF3079" w14:textId="77777777" w:rsidR="00D6382D" w:rsidRPr="0034616A" w:rsidRDefault="00D6382D" w:rsidP="00D6382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strategy adopts a </w:t>
      </w:r>
      <w:r w:rsidRPr="0034616A">
        <w:rPr>
          <w:rFonts w:ascii="Futura Std Book" w:hAnsi="Futura Std Book"/>
          <w:b/>
          <w:bCs/>
          <w:color w:val="000000" w:themeColor="text1"/>
          <w:sz w:val="22"/>
          <w:szCs w:val="22"/>
        </w:rPr>
        <w:t>hybrid approach (Removal + Abandonment-in-Place)</w:t>
      </w:r>
      <w:r w:rsidRPr="0034616A">
        <w:rPr>
          <w:rFonts w:ascii="Futura Std Book" w:hAnsi="Futura Std Book"/>
          <w:color w:val="000000" w:themeColor="text1"/>
          <w:sz w:val="22"/>
          <w:szCs w:val="22"/>
        </w:rPr>
        <w:t xml:space="preserve"> to:</w:t>
      </w:r>
    </w:p>
    <w:p w14:paraId="0823576B"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Eliminate residual hydrocarbon risk </w:t>
      </w:r>
    </w:p>
    <w:p w14:paraId="4EDD65F5"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Minimize environmental disturbance </w:t>
      </w:r>
    </w:p>
    <w:p w14:paraId="1E9D49CA"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Optimize lifecycle cost </w:t>
      </w:r>
    </w:p>
    <w:p w14:paraId="13247F6F"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Preserve recoverable asset value </w:t>
      </w:r>
    </w:p>
    <w:p w14:paraId="7A398FE0" w14:textId="77777777" w:rsidR="00D6382D" w:rsidRPr="0034616A" w:rsidRDefault="00D6382D" w:rsidP="00D6382D">
      <w:pPr>
        <w:spacing w:before="0" w:after="160" w:line="278" w:lineRule="auto"/>
        <w:ind w:left="851"/>
        <w:rPr>
          <w:color w:val="000000" w:themeColor="text1"/>
        </w:rPr>
      </w:pPr>
      <w:r w:rsidRPr="0034616A">
        <w:rPr>
          <w:color w:val="000000" w:themeColor="text1"/>
        </w:rPr>
        <w:t>The approach is aligned with FEED philosophy, regulatory expectations, and Niger Delta execution realities.</w:t>
      </w:r>
    </w:p>
    <w:p w14:paraId="473C0059" w14:textId="77777777" w:rsidR="000C5665" w:rsidRPr="0034616A" w:rsidRDefault="000C5665" w:rsidP="000C5665">
      <w:pPr>
        <w:pStyle w:val="Heading2"/>
        <w:spacing w:before="360" w:line="276" w:lineRule="auto"/>
        <w:ind w:left="851" w:hanging="851"/>
        <w:rPr>
          <w:color w:val="000000" w:themeColor="text1"/>
          <w:sz w:val="22"/>
          <w:szCs w:val="22"/>
        </w:rPr>
      </w:pPr>
      <w:bookmarkStart w:id="29" w:name="_Toc228831481"/>
      <w:r w:rsidRPr="0034616A">
        <w:rPr>
          <w:color w:val="000000" w:themeColor="text1"/>
          <w:sz w:val="22"/>
          <w:szCs w:val="22"/>
        </w:rPr>
        <w:t>Schedule</w:t>
      </w:r>
      <w:bookmarkEnd w:id="29"/>
    </w:p>
    <w:p w14:paraId="63E6253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Duration: 12–18 months</w:t>
      </w:r>
    </w:p>
    <w:p w14:paraId="0F2F2C8B"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Planning &amp; Approvals: 4–6 months </w:t>
      </w:r>
    </w:p>
    <w:p w14:paraId="1FCC7763"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Engineering: 3–4 months </w:t>
      </w:r>
    </w:p>
    <w:p w14:paraId="020CCEDC"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Isolation: 2–3 months </w:t>
      </w:r>
    </w:p>
    <w:p w14:paraId="406882BF"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Execution: 6–10 months </w:t>
      </w:r>
    </w:p>
    <w:p w14:paraId="046CB568"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Restoration: 3–6 months </w:t>
      </w:r>
    </w:p>
    <w:p w14:paraId="5977FCFE" w14:textId="77777777" w:rsidR="000C5665" w:rsidRPr="0034616A" w:rsidRDefault="000C5665" w:rsidP="000C5665">
      <w:pPr>
        <w:spacing w:before="120" w:after="120" w:line="276" w:lineRule="auto"/>
        <w:jc w:val="left"/>
        <w:rPr>
          <w:rFonts w:ascii="Futura Std Book" w:hAnsi="Futura Std Book"/>
          <w:color w:val="000000" w:themeColor="text1"/>
          <w:sz w:val="22"/>
          <w:szCs w:val="22"/>
        </w:rPr>
      </w:pPr>
    </w:p>
    <w:p w14:paraId="6B318E89" w14:textId="77777777" w:rsidR="000C5665" w:rsidRPr="0034616A" w:rsidRDefault="000C5665" w:rsidP="000C5665">
      <w:pPr>
        <w:pStyle w:val="Heading2"/>
        <w:spacing w:before="360" w:line="276" w:lineRule="auto"/>
        <w:ind w:left="851" w:hanging="851"/>
        <w:rPr>
          <w:color w:val="000000" w:themeColor="text1"/>
          <w:sz w:val="22"/>
          <w:szCs w:val="22"/>
        </w:rPr>
      </w:pPr>
      <w:bookmarkStart w:id="30" w:name="_Toc228831482"/>
      <w:r w:rsidRPr="0034616A">
        <w:rPr>
          <w:color w:val="000000" w:themeColor="text1"/>
          <w:sz w:val="22"/>
          <w:szCs w:val="22"/>
        </w:rPr>
        <w:t>Cost Estimate (USD)</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0C5665" w:rsidRPr="0034616A" w14:paraId="7B805444" w14:textId="77777777" w:rsidTr="00CD3B3D">
        <w:trPr>
          <w:tblHeader/>
          <w:tblCellSpacing w:w="15" w:type="dxa"/>
        </w:trPr>
        <w:tc>
          <w:tcPr>
            <w:tcW w:w="0" w:type="auto"/>
            <w:vAlign w:val="center"/>
            <w:hideMark/>
          </w:tcPr>
          <w:p w14:paraId="67361E0B"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Component</w:t>
            </w:r>
          </w:p>
        </w:tc>
        <w:tc>
          <w:tcPr>
            <w:tcW w:w="0" w:type="auto"/>
            <w:vAlign w:val="center"/>
            <w:hideMark/>
          </w:tcPr>
          <w:p w14:paraId="222B8B00" w14:textId="77777777" w:rsidR="000C5665" w:rsidRPr="0034616A" w:rsidRDefault="000C5665" w:rsidP="00CD3B3D">
            <w:pPr>
              <w:spacing w:after="160" w:line="278" w:lineRule="auto"/>
              <w:jc w:val="left"/>
              <w:rPr>
                <w:rFonts w:ascii="Futura Std Book" w:hAnsi="Futura Std Book"/>
                <w:b/>
                <w:bCs/>
                <w:color w:val="000000" w:themeColor="text1"/>
                <w:sz w:val="22"/>
                <w:szCs w:val="22"/>
              </w:rPr>
            </w:pPr>
            <w:r w:rsidRPr="0034616A">
              <w:rPr>
                <w:rFonts w:ascii="Futura Std Book" w:hAnsi="Futura Std Book"/>
                <w:b/>
                <w:bCs/>
                <w:color w:val="000000" w:themeColor="text1"/>
                <w:sz w:val="22"/>
                <w:szCs w:val="22"/>
              </w:rPr>
              <w:t>Estimated Cost (USD Million)</w:t>
            </w:r>
          </w:p>
        </w:tc>
      </w:tr>
      <w:tr w:rsidR="000C5665" w:rsidRPr="0034616A" w14:paraId="091FB34E" w14:textId="77777777" w:rsidTr="00CD3B3D">
        <w:trPr>
          <w:tblCellSpacing w:w="15" w:type="dxa"/>
        </w:trPr>
        <w:tc>
          <w:tcPr>
            <w:tcW w:w="0" w:type="auto"/>
            <w:vAlign w:val="center"/>
            <w:hideMark/>
          </w:tcPr>
          <w:p w14:paraId="052DA9A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Engineering &amp; Approvals</w:t>
            </w:r>
          </w:p>
        </w:tc>
        <w:tc>
          <w:tcPr>
            <w:tcW w:w="0" w:type="auto"/>
            <w:vAlign w:val="center"/>
            <w:hideMark/>
          </w:tcPr>
          <w:p w14:paraId="43D2CD6D"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4 – 7</w:t>
            </w:r>
          </w:p>
        </w:tc>
      </w:tr>
      <w:tr w:rsidR="000C5665" w:rsidRPr="0034616A" w14:paraId="31EC7331" w14:textId="77777777" w:rsidTr="00CD3B3D">
        <w:trPr>
          <w:tblCellSpacing w:w="15" w:type="dxa"/>
        </w:trPr>
        <w:tc>
          <w:tcPr>
            <w:tcW w:w="0" w:type="auto"/>
            <w:vAlign w:val="center"/>
            <w:hideMark/>
          </w:tcPr>
          <w:p w14:paraId="202E6F9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w:t>
            </w:r>
            <w:proofErr w:type="spellStart"/>
            <w:r w:rsidRPr="0034616A">
              <w:rPr>
                <w:rFonts w:ascii="Futura Std Book" w:hAnsi="Futura Std Book"/>
                <w:color w:val="000000" w:themeColor="text1"/>
                <w:sz w:val="22"/>
                <w:szCs w:val="22"/>
              </w:rPr>
              <w:t>Inerting</w:t>
            </w:r>
            <w:proofErr w:type="spellEnd"/>
          </w:p>
        </w:tc>
        <w:tc>
          <w:tcPr>
            <w:tcW w:w="0" w:type="auto"/>
            <w:vAlign w:val="center"/>
            <w:hideMark/>
          </w:tcPr>
          <w:p w14:paraId="307C76F5"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5 – 9</w:t>
            </w:r>
          </w:p>
        </w:tc>
      </w:tr>
      <w:tr w:rsidR="000C5665" w:rsidRPr="0034616A" w14:paraId="41B65194" w14:textId="77777777" w:rsidTr="00CD3B3D">
        <w:trPr>
          <w:tblCellSpacing w:w="15" w:type="dxa"/>
        </w:trPr>
        <w:tc>
          <w:tcPr>
            <w:tcW w:w="0" w:type="auto"/>
            <w:vAlign w:val="center"/>
            <w:hideMark/>
          </w:tcPr>
          <w:p w14:paraId="570BDEA3"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Removal Activities</w:t>
            </w:r>
          </w:p>
        </w:tc>
        <w:tc>
          <w:tcPr>
            <w:tcW w:w="0" w:type="auto"/>
            <w:vAlign w:val="center"/>
            <w:hideMark/>
          </w:tcPr>
          <w:p w14:paraId="7D690A1F"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25 – 40</w:t>
            </w:r>
          </w:p>
        </w:tc>
      </w:tr>
      <w:tr w:rsidR="000C5665" w:rsidRPr="0034616A" w14:paraId="1B71B815" w14:textId="77777777" w:rsidTr="00CD3B3D">
        <w:trPr>
          <w:tblCellSpacing w:w="15" w:type="dxa"/>
        </w:trPr>
        <w:tc>
          <w:tcPr>
            <w:tcW w:w="0" w:type="auto"/>
            <w:vAlign w:val="center"/>
            <w:hideMark/>
          </w:tcPr>
          <w:p w14:paraId="0A648099"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Abandonment Activities</w:t>
            </w:r>
          </w:p>
        </w:tc>
        <w:tc>
          <w:tcPr>
            <w:tcW w:w="0" w:type="auto"/>
            <w:vAlign w:val="center"/>
            <w:hideMark/>
          </w:tcPr>
          <w:p w14:paraId="4CA61B4A"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8 – 16</w:t>
            </w:r>
          </w:p>
        </w:tc>
      </w:tr>
      <w:tr w:rsidR="000C5665" w:rsidRPr="0034616A" w14:paraId="1E418D9C" w14:textId="77777777" w:rsidTr="00CD3B3D">
        <w:trPr>
          <w:tblCellSpacing w:w="15" w:type="dxa"/>
        </w:trPr>
        <w:tc>
          <w:tcPr>
            <w:tcW w:w="0" w:type="auto"/>
            <w:vAlign w:val="center"/>
            <w:hideMark/>
          </w:tcPr>
          <w:p w14:paraId="74AFBB11"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Restoration</w:t>
            </w:r>
          </w:p>
        </w:tc>
        <w:tc>
          <w:tcPr>
            <w:tcW w:w="0" w:type="auto"/>
            <w:vAlign w:val="center"/>
            <w:hideMark/>
          </w:tcPr>
          <w:p w14:paraId="14A87948"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7 – 12</w:t>
            </w:r>
          </w:p>
        </w:tc>
      </w:tr>
      <w:tr w:rsidR="000C5665" w:rsidRPr="0034616A" w14:paraId="45D9D1C3" w14:textId="77777777" w:rsidTr="00CD3B3D">
        <w:trPr>
          <w:tblCellSpacing w:w="15" w:type="dxa"/>
        </w:trPr>
        <w:tc>
          <w:tcPr>
            <w:tcW w:w="0" w:type="auto"/>
            <w:vAlign w:val="center"/>
            <w:hideMark/>
          </w:tcPr>
          <w:p w14:paraId="53E253F7"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Estimated Cost</w:t>
            </w:r>
          </w:p>
        </w:tc>
        <w:tc>
          <w:tcPr>
            <w:tcW w:w="0" w:type="auto"/>
            <w:vAlign w:val="center"/>
            <w:hideMark/>
          </w:tcPr>
          <w:p w14:paraId="2CBC10B6"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49 – 84 </w:t>
            </w:r>
            <w:proofErr w:type="gramStart"/>
            <w:r w:rsidRPr="0034616A">
              <w:rPr>
                <w:rFonts w:ascii="Futura Std Book" w:hAnsi="Futura Std Book"/>
                <w:color w:val="000000" w:themeColor="text1"/>
                <w:sz w:val="22"/>
                <w:szCs w:val="22"/>
              </w:rPr>
              <w:t>Million</w:t>
            </w:r>
            <w:proofErr w:type="gramEnd"/>
            <w:r w:rsidRPr="0034616A">
              <w:rPr>
                <w:rFonts w:ascii="Futura Std Book" w:hAnsi="Futura Std Book"/>
                <w:color w:val="000000" w:themeColor="text1"/>
                <w:sz w:val="22"/>
                <w:szCs w:val="22"/>
              </w:rPr>
              <w:t xml:space="preserve"> USD</w:t>
            </w:r>
          </w:p>
        </w:tc>
      </w:tr>
    </w:tbl>
    <w:p w14:paraId="5050EFC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Accuracy: ±30% (</w:t>
      </w:r>
      <w:proofErr w:type="gramStart"/>
      <w:r w:rsidRPr="0034616A">
        <w:rPr>
          <w:rFonts w:ascii="Futura Std Book" w:hAnsi="Futura Std Book"/>
          <w:color w:val="000000" w:themeColor="text1"/>
          <w:sz w:val="22"/>
          <w:szCs w:val="22"/>
        </w:rPr>
        <w:t>Pre-FEED</w:t>
      </w:r>
      <w:proofErr w:type="gramEnd"/>
      <w:r w:rsidRPr="0034616A">
        <w:rPr>
          <w:rFonts w:ascii="Futura Std Book" w:hAnsi="Futura Std Book"/>
          <w:color w:val="000000" w:themeColor="text1"/>
          <w:sz w:val="22"/>
          <w:szCs w:val="22"/>
        </w:rPr>
        <w:t xml:space="preserve"> level)</w:t>
      </w:r>
    </w:p>
    <w:p w14:paraId="7D8CB79B" w14:textId="77777777" w:rsidR="000C5665" w:rsidRPr="0034616A" w:rsidRDefault="000C5665" w:rsidP="00D6382D">
      <w:pPr>
        <w:spacing w:before="0" w:after="160" w:line="278" w:lineRule="auto"/>
        <w:ind w:left="851"/>
        <w:rPr>
          <w:color w:val="000000" w:themeColor="text1"/>
        </w:rPr>
      </w:pPr>
    </w:p>
    <w:p w14:paraId="0D517A51" w14:textId="77777777" w:rsidR="00D6382D" w:rsidRPr="0034616A" w:rsidRDefault="00D6382D" w:rsidP="00D6382D">
      <w:pPr>
        <w:spacing w:before="0" w:after="160" w:line="278" w:lineRule="auto"/>
        <w:ind w:left="851"/>
        <w:rPr>
          <w:color w:val="000000" w:themeColor="text1"/>
        </w:rPr>
      </w:pPr>
    </w:p>
    <w:p w14:paraId="6F7694A4" w14:textId="77777777" w:rsidR="009451F2" w:rsidRPr="0034616A" w:rsidRDefault="009451F2" w:rsidP="00D6382D">
      <w:pPr>
        <w:spacing w:before="0" w:after="160" w:line="278" w:lineRule="auto"/>
        <w:ind w:left="851"/>
        <w:rPr>
          <w:color w:val="000000" w:themeColor="text1"/>
        </w:rPr>
      </w:pPr>
    </w:p>
    <w:p w14:paraId="034CD016" w14:textId="77777777" w:rsidR="009451F2" w:rsidRPr="0034616A" w:rsidRDefault="009451F2" w:rsidP="00D6382D">
      <w:pPr>
        <w:spacing w:before="0" w:after="160" w:line="278" w:lineRule="auto"/>
        <w:ind w:left="851"/>
        <w:rPr>
          <w:color w:val="000000" w:themeColor="text1"/>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31"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1"/>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32" w:name="_Toc228279616"/>
      <w:bookmarkStart w:id="33" w:name="_Toc228279926"/>
      <w:bookmarkStart w:id="34" w:name="_Toc228387967"/>
      <w:bookmarkStart w:id="35" w:name="_Toc228779412"/>
      <w:bookmarkStart w:id="36" w:name="_Toc228781909"/>
      <w:bookmarkStart w:id="37" w:name="_Toc228790097"/>
      <w:bookmarkStart w:id="38" w:name="_Toc228279617"/>
      <w:bookmarkStart w:id="39" w:name="_Toc228279927"/>
      <w:bookmarkStart w:id="40" w:name="_Toc228387968"/>
      <w:bookmarkStart w:id="41" w:name="_Toc228779413"/>
      <w:bookmarkStart w:id="42" w:name="_Toc228781910"/>
      <w:bookmarkStart w:id="43" w:name="_Toc228790098"/>
      <w:bookmarkStart w:id="44" w:name="_Toc228807877"/>
      <w:bookmarkStart w:id="45" w:name="_Toc228808380"/>
      <w:bookmarkStart w:id="46" w:name="_Toc228808536"/>
      <w:bookmarkStart w:id="47" w:name="_Toc228819687"/>
      <w:bookmarkStart w:id="48" w:name="_Toc228828134"/>
      <w:bookmarkStart w:id="49" w:name="_Toc228830707"/>
      <w:bookmarkStart w:id="50" w:name="_Toc228831484"/>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04E17FA9" w14:textId="0FA9D046" w:rsidR="00F6152F" w:rsidRPr="00934361" w:rsidRDefault="002E1402" w:rsidP="004D7486">
      <w:pPr>
        <w:pStyle w:val="Heading2"/>
        <w:spacing w:after="0" w:line="276" w:lineRule="auto"/>
        <w:ind w:left="851" w:hanging="851"/>
      </w:pPr>
      <w:bookmarkStart w:id="51" w:name="_Toc228831485"/>
      <w:r w:rsidRPr="00934361">
        <w:t xml:space="preserve">Base Case </w:t>
      </w:r>
      <w:r w:rsidR="00F6152F" w:rsidRPr="00934361">
        <w:t>Gas Gathering System</w:t>
      </w:r>
      <w:bookmarkEnd w:id="51"/>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2" w:name="_Toc228831486"/>
      <w:r>
        <w:lastRenderedPageBreak/>
        <w:t>Gas Processing Plant (GPP) – 500 MMscfd</w:t>
      </w:r>
      <w:bookmarkEnd w:id="52"/>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3" w:name="_Toc228831487"/>
      <w:r w:rsidRPr="00D944C1">
        <w:t>Methanol Production Plant</w:t>
      </w:r>
      <w:bookmarkEnd w:id="53"/>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4" w:name="_Toc228831488"/>
      <w:r w:rsidRPr="00D944C1">
        <w:t>Floating LNG (FLNG) Facility</w:t>
      </w:r>
      <w:r w:rsidR="00C36341">
        <w:t>/</w:t>
      </w:r>
      <w:r w:rsidR="007646EA">
        <w:t>Fertilizer (Urea)</w:t>
      </w:r>
      <w:bookmarkEnd w:id="54"/>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5" w:name="_Toc228831489"/>
      <w:r w:rsidRPr="00D944C1">
        <w:t>Product Export System</w:t>
      </w:r>
      <w:bookmarkEnd w:id="55"/>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6" w:name="_Toc228831490"/>
      <w:r w:rsidRPr="00D944C1">
        <w:t>Produced Water Management</w:t>
      </w:r>
      <w:bookmarkEnd w:id="56"/>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7" w:name="_Toc228831491"/>
      <w:r w:rsidRPr="00D944C1">
        <w:t>Utilities and Offsite Infrastructure</w:t>
      </w:r>
      <w:bookmarkEnd w:id="57"/>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8" w:name="_Toc228831492"/>
      <w:r w:rsidRPr="00D944C1">
        <w:lastRenderedPageBreak/>
        <w:t>Pipeline Design Philosophy – Flexibility &amp; Expandability</w:t>
      </w:r>
      <w:bookmarkEnd w:id="58"/>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9" w:name="_Toc228831493"/>
      <w:r>
        <w:rPr>
          <w:rStyle w:val="Hyperlink"/>
          <w:color w:val="000080"/>
          <w:u w:val="none"/>
        </w:rPr>
        <w:lastRenderedPageBreak/>
        <w:t>Battery Limit, and Scope of Work</w:t>
      </w:r>
      <w:bookmarkEnd w:id="59"/>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60" w:name="_Toc228807887"/>
      <w:bookmarkStart w:id="61" w:name="_Toc228808390"/>
      <w:bookmarkStart w:id="62" w:name="_Toc228808546"/>
      <w:bookmarkStart w:id="63" w:name="_Toc228819697"/>
      <w:bookmarkStart w:id="64" w:name="_Toc228828144"/>
      <w:bookmarkStart w:id="65" w:name="_Toc228830717"/>
      <w:bookmarkStart w:id="66" w:name="_Toc228831494"/>
      <w:bookmarkEnd w:id="60"/>
      <w:bookmarkEnd w:id="61"/>
      <w:bookmarkEnd w:id="62"/>
      <w:bookmarkEnd w:id="63"/>
      <w:bookmarkEnd w:id="64"/>
      <w:bookmarkEnd w:id="65"/>
      <w:bookmarkEnd w:id="66"/>
    </w:p>
    <w:p w14:paraId="512D6ED5" w14:textId="5E6FF847" w:rsidR="0066567D" w:rsidRPr="00CA20A4" w:rsidRDefault="0066567D" w:rsidP="00E57AD3">
      <w:pPr>
        <w:pStyle w:val="Heading2"/>
        <w:spacing w:before="360"/>
        <w:ind w:left="851" w:hanging="851"/>
        <w:rPr>
          <w:rStyle w:val="Hyperlink"/>
          <w:color w:val="000080"/>
          <w:u w:val="none"/>
        </w:rPr>
      </w:pPr>
      <w:bookmarkStart w:id="67" w:name="_Toc228831495"/>
      <w:r w:rsidRPr="00CA20A4">
        <w:rPr>
          <w:rStyle w:val="Hyperlink"/>
          <w:color w:val="000080"/>
          <w:u w:val="none"/>
        </w:rPr>
        <w:t>Battery Limit</w:t>
      </w:r>
      <w:bookmarkEnd w:id="67"/>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690754DA" w14:textId="71E0190E" w:rsidR="00C4175F" w:rsidRDefault="00C4175F" w:rsidP="00743FB4">
      <w:pPr>
        <w:pStyle w:val="EPBullet-Level1"/>
        <w:ind w:left="1210"/>
      </w:pPr>
      <w:r>
        <w:t>BBOU – ELEP pipeline, 8 km</w:t>
      </w:r>
    </w:p>
    <w:p w14:paraId="739CC5CB" w14:textId="39A83747" w:rsidR="0066567D" w:rsidRDefault="0066567D" w:rsidP="00743FB4">
      <w:pPr>
        <w:pStyle w:val="EPBullet-Level1"/>
        <w:ind w:left="1210"/>
      </w:pPr>
      <w:r>
        <w:t>ELEP - AKAB Pipeline</w:t>
      </w:r>
      <w:r w:rsidR="00C4175F">
        <w:t>, 32 km</w:t>
      </w:r>
    </w:p>
    <w:p w14:paraId="5588834A" w14:textId="07B25760" w:rsidR="00D878B7" w:rsidRDefault="00D878B7" w:rsidP="00743FB4">
      <w:pPr>
        <w:pStyle w:val="EPBullet-Level1"/>
        <w:ind w:left="1210"/>
      </w:pPr>
      <w:r>
        <w:t>OKNU Starting Manifold</w:t>
      </w:r>
    </w:p>
    <w:p w14:paraId="605CF8FA" w14:textId="77777777" w:rsidR="0066567D" w:rsidRDefault="0066567D" w:rsidP="00743FB4">
      <w:pPr>
        <w:pStyle w:val="EPBullet-Level1"/>
        <w:ind w:left="1210"/>
      </w:pPr>
      <w:r>
        <w:t>BBOU Satellite Manifold</w:t>
      </w:r>
    </w:p>
    <w:p w14:paraId="69C885E1" w14:textId="77777777" w:rsidR="0066567D" w:rsidRDefault="0066567D" w:rsidP="00743FB4">
      <w:pPr>
        <w:pStyle w:val="EPBullet-Level1"/>
        <w:ind w:left="1210"/>
      </w:pPr>
      <w:r>
        <w:t>ELEP Evacuation Manifold, and</w:t>
      </w:r>
    </w:p>
    <w:p w14:paraId="4CC4FAA1" w14:textId="77777777" w:rsidR="0066567D" w:rsidRDefault="0066567D" w:rsidP="00743FB4">
      <w:pPr>
        <w:pStyle w:val="EPBullet-Level1"/>
        <w:ind w:left="1210"/>
      </w:pPr>
      <w:r>
        <w:t>The Pipeline End Manifold at AKAB, complete with Pig Receiver.</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8" w:name="_Toc228831496"/>
      <w:r>
        <w:t>OKNU</w:t>
      </w:r>
      <w:r w:rsidR="0066567D">
        <w:t xml:space="preserve"> Platform</w:t>
      </w:r>
      <w:bookmarkEnd w:id="68"/>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lastRenderedPageBreak/>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9" w:name="_Toc228831497"/>
      <w:r>
        <w:t>BBOU Platform</w:t>
      </w:r>
      <w:bookmarkEnd w:id="69"/>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743FB4">
      <w:pPr>
        <w:pStyle w:val="Heading3"/>
        <w:ind w:left="851" w:hanging="851"/>
      </w:pPr>
      <w:bookmarkStart w:id="70" w:name="_Toc228831498"/>
      <w:r>
        <w:t>ELEP Platform</w:t>
      </w:r>
      <w:bookmarkEnd w:id="70"/>
    </w:p>
    <w:p w14:paraId="37B95083" w14:textId="77777777" w:rsidR="0066567D" w:rsidRDefault="0066567D" w:rsidP="00743FB4">
      <w:pPr>
        <w:pStyle w:val="EPBullet-Level1"/>
        <w:ind w:left="1210"/>
      </w:pPr>
      <w:r>
        <w:t>The terminal flanged ball valve on the manifold collecting well fluids from ELEPA Wells.</w:t>
      </w:r>
    </w:p>
    <w:p w14:paraId="5B528595" w14:textId="77777777" w:rsidR="0066567D" w:rsidRDefault="0066567D" w:rsidP="00743FB4">
      <w:pPr>
        <w:pStyle w:val="EPBullet-Level1"/>
        <w:ind w:left="1210"/>
      </w:pPr>
      <w:r>
        <w:t>The flanged ball valve provided for the tie-in of NUN River Pipeline on the manifold transporting well fluids to AKAB.</w:t>
      </w:r>
    </w:p>
    <w:p w14:paraId="07DB96B9" w14:textId="77777777" w:rsidR="0066567D" w:rsidRDefault="0066567D" w:rsidP="00743FB4">
      <w:pPr>
        <w:pStyle w:val="Heading3"/>
        <w:ind w:left="851" w:hanging="851"/>
      </w:pPr>
      <w:bookmarkStart w:id="71" w:name="_Toc228831499"/>
      <w:r>
        <w:t>Akabel Facility</w:t>
      </w:r>
      <w:bookmarkEnd w:id="71"/>
    </w:p>
    <w:p w14:paraId="0E31F8C6" w14:textId="77777777" w:rsidR="0066567D" w:rsidRDefault="0066567D" w:rsidP="00743FB4">
      <w:pPr>
        <w:pStyle w:val="EPBullet-Level1"/>
        <w:ind w:left="1210"/>
      </w:pPr>
      <w:r>
        <w:t>The Pipeline terminal flange at the inlet to the slug catcher at AKAB.</w:t>
      </w:r>
    </w:p>
    <w:p w14:paraId="2E2174EF" w14:textId="77777777" w:rsidR="0066567D" w:rsidRDefault="0066567D" w:rsidP="00743FB4">
      <w:pPr>
        <w:pStyle w:val="EPBullet-Level1"/>
        <w:ind w:left="1210"/>
      </w:pPr>
      <w:r>
        <w:t>The drain outlet flange on the pig receiver at AKAB.</w:t>
      </w:r>
    </w:p>
    <w:p w14:paraId="3B88C487" w14:textId="77777777" w:rsidR="0066567D" w:rsidRDefault="0066567D" w:rsidP="00743FB4">
      <w:pPr>
        <w:pStyle w:val="Heading2"/>
        <w:ind w:left="851" w:hanging="851"/>
      </w:pPr>
      <w:bookmarkStart w:id="72" w:name="_Toc228831500"/>
      <w:r>
        <w:t>Data Room Index Structure</w:t>
      </w:r>
      <w:bookmarkEnd w:id="72"/>
    </w:p>
    <w:p w14:paraId="08E8315C" w14:textId="79370C3F" w:rsidR="0066567D" w:rsidRPr="007A7379" w:rsidRDefault="0066567D" w:rsidP="00EA2D74">
      <w:pPr>
        <w:pStyle w:val="Heading3"/>
        <w:ind w:left="851" w:hanging="851"/>
        <w:rPr>
          <w:bCs w:val="0"/>
        </w:rPr>
      </w:pPr>
      <w:bookmarkStart w:id="73" w:name="_Toc228831501"/>
      <w:r w:rsidRPr="007A7379">
        <w:rPr>
          <w:bCs w:val="0"/>
        </w:rPr>
        <w:t>Project Overview</w:t>
      </w:r>
      <w:bookmarkEnd w:id="73"/>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4" w:name="_Toc228831502"/>
      <w:r w:rsidRPr="007A7379">
        <w:rPr>
          <w:bCs w:val="0"/>
        </w:rPr>
        <w:t>Route &amp; Survey</w:t>
      </w:r>
      <w:bookmarkEnd w:id="74"/>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5" w:name="_Toc228831503"/>
      <w:r w:rsidRPr="007A7379">
        <w:rPr>
          <w:bCs w:val="0"/>
        </w:rPr>
        <w:t>Pipeline Engineering</w:t>
      </w:r>
      <w:bookmarkEnd w:id="75"/>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6" w:name="_Toc228831504"/>
      <w:r w:rsidRPr="000A5E1F">
        <w:rPr>
          <w:bCs w:val="0"/>
        </w:rPr>
        <w:t>Facilities</w:t>
      </w:r>
      <w:bookmarkEnd w:id="76"/>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lastRenderedPageBreak/>
        <w:t xml:space="preserve">AKAB </w:t>
      </w:r>
    </w:p>
    <w:p w14:paraId="1C06059C" w14:textId="5BBB4EFC" w:rsidR="0066567D" w:rsidRPr="000A5E1F" w:rsidRDefault="0066567D" w:rsidP="00EA2D74">
      <w:pPr>
        <w:pStyle w:val="Heading3"/>
        <w:ind w:left="851" w:hanging="851"/>
        <w:rPr>
          <w:bCs w:val="0"/>
        </w:rPr>
      </w:pPr>
      <w:bookmarkStart w:id="77" w:name="_Toc228831505"/>
      <w:r w:rsidRPr="000A5E1F">
        <w:rPr>
          <w:bCs w:val="0"/>
        </w:rPr>
        <w:t>Crossings</w:t>
      </w:r>
      <w:bookmarkEnd w:id="77"/>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8" w:name="_Toc228831506"/>
      <w:r w:rsidRPr="007A7379">
        <w:rPr>
          <w:bCs w:val="0"/>
        </w:rPr>
        <w:t>Mechanical &amp; Materials</w:t>
      </w:r>
      <w:bookmarkEnd w:id="78"/>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9" w:name="_Toc228831507"/>
      <w:r w:rsidRPr="007A7379">
        <w:rPr>
          <w:bCs w:val="0"/>
        </w:rPr>
        <w:t>Process &amp; Instrumentation</w:t>
      </w:r>
      <w:bookmarkEnd w:id="79"/>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80" w:name="_Toc228831508"/>
      <w:r w:rsidRPr="000A5E1F">
        <w:rPr>
          <w:bCs w:val="0"/>
        </w:rPr>
        <w:t>Electrical &amp; CP</w:t>
      </w:r>
      <w:bookmarkEnd w:id="80"/>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81" w:name="_Toc228831509"/>
      <w:r w:rsidRPr="000A5E1F">
        <w:rPr>
          <w:bCs w:val="0"/>
        </w:rPr>
        <w:t>Civil &amp; Structural</w:t>
      </w:r>
      <w:bookmarkEnd w:id="81"/>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2" w:name="_Toc228831510"/>
      <w:r w:rsidRPr="000A5E1F">
        <w:rPr>
          <w:bCs w:val="0"/>
        </w:rPr>
        <w:t>Testing &amp; Commissioning</w:t>
      </w:r>
      <w:bookmarkEnd w:id="82"/>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3" w:name="_Toc228831511"/>
      <w:r w:rsidRPr="000A5E1F">
        <w:rPr>
          <w:bCs w:val="0"/>
        </w:rPr>
        <w:t>Environmental</w:t>
      </w:r>
      <w:bookmarkEnd w:id="83"/>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4" w:name="_Toc228831512"/>
      <w:r w:rsidRPr="000A5E1F">
        <w:rPr>
          <w:bCs w:val="0"/>
        </w:rPr>
        <w:t>Modifications</w:t>
      </w:r>
      <w:bookmarkEnd w:id="84"/>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lastRenderedPageBreak/>
        <w:t xml:space="preserve">Design changes </w:t>
      </w:r>
    </w:p>
    <w:p w14:paraId="40CED9C6" w14:textId="3997ED83" w:rsidR="0066567D" w:rsidRPr="000A5E1F" w:rsidRDefault="0066567D" w:rsidP="00EA2D74">
      <w:pPr>
        <w:pStyle w:val="Heading3"/>
        <w:ind w:left="851" w:hanging="851"/>
        <w:rPr>
          <w:bCs w:val="0"/>
        </w:rPr>
      </w:pPr>
      <w:bookmarkStart w:id="85" w:name="_Toc228831513"/>
      <w:r w:rsidRPr="000A5E1F">
        <w:rPr>
          <w:bCs w:val="0"/>
        </w:rPr>
        <w:t>Decommissioning (To Be Developed)</w:t>
      </w:r>
      <w:bookmarkEnd w:id="85"/>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6" w:name="_Toc228831514"/>
      <w:r>
        <w:t>Layout &amp; Configuration</w:t>
      </w:r>
      <w:bookmarkEnd w:id="86"/>
    </w:p>
    <w:p w14:paraId="147A012A" w14:textId="689C0393" w:rsidR="0066567D" w:rsidRPr="007221F4" w:rsidRDefault="0066567D" w:rsidP="000767A0">
      <w:pPr>
        <w:pStyle w:val="Heading3"/>
        <w:ind w:left="851" w:hanging="851"/>
        <w:rPr>
          <w:bCs w:val="0"/>
        </w:rPr>
      </w:pPr>
      <w:bookmarkStart w:id="87" w:name="_Toc228831515"/>
      <w:r w:rsidRPr="007221F4">
        <w:rPr>
          <w:bCs w:val="0"/>
        </w:rPr>
        <w:t>Route &amp; Alignment</w:t>
      </w:r>
      <w:bookmarkEnd w:id="87"/>
    </w:p>
    <w:p w14:paraId="278B5824" w14:textId="77777777" w:rsidR="0066567D" w:rsidRDefault="0066567D" w:rsidP="007221F4">
      <w:pPr>
        <w:pStyle w:val="EPBullet-Level1"/>
        <w:ind w:left="1210"/>
      </w:pPr>
      <w:r>
        <w:t xml:space="preserve">Pipeline Alignment Sheets (Plan &amp; Profile, KP 0–125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t xml:space="preserve">BBOU Manifold (KP 85) </w:t>
      </w:r>
    </w:p>
    <w:p w14:paraId="1C7F68A8" w14:textId="77777777" w:rsidR="0066567D" w:rsidRDefault="0066567D">
      <w:pPr>
        <w:pStyle w:val="BodyText"/>
        <w:numPr>
          <w:ilvl w:val="1"/>
          <w:numId w:val="43"/>
        </w:numPr>
        <w:suppressAutoHyphens/>
        <w:spacing w:before="0" w:beforeAutospacing="0" w:after="0" w:afterAutospacing="0"/>
        <w:ind w:left="1777"/>
      </w:pPr>
      <w:r>
        <w:t xml:space="preserve">ELEP (KP 93) </w:t>
      </w:r>
    </w:p>
    <w:p w14:paraId="5EDEBA30" w14:textId="77777777" w:rsidR="0066567D" w:rsidRDefault="0066567D">
      <w:pPr>
        <w:pStyle w:val="BodyText"/>
        <w:numPr>
          <w:ilvl w:val="1"/>
          <w:numId w:val="43"/>
        </w:numPr>
        <w:suppressAutoHyphens/>
        <w:spacing w:before="0" w:beforeAutospacing="0" w:after="0" w:afterAutospacing="0"/>
        <w:ind w:left="1777"/>
      </w:pPr>
      <w:r>
        <w:t xml:space="preserve">AKAB Gas Hub (KP 125)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8" w:name="_Toc228831516"/>
      <w:r w:rsidRPr="007221F4">
        <w:rPr>
          <w:bCs w:val="0"/>
        </w:rPr>
        <w:t>Crossings &amp; Special Sections</w:t>
      </w:r>
      <w:bookmarkEnd w:id="88"/>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9" w:name="_Toc228831517"/>
      <w:r w:rsidRPr="007221F4">
        <w:rPr>
          <w:bCs w:val="0"/>
        </w:rPr>
        <w:t>Mechanical &amp; Materials</w:t>
      </w:r>
      <w:bookmarkEnd w:id="89"/>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90" w:name="_Toc228831518"/>
      <w:r w:rsidRPr="007221F4">
        <w:rPr>
          <w:bCs w:val="0"/>
        </w:rPr>
        <w:t>Valves &amp; Facilities</w:t>
      </w:r>
      <w:bookmarkEnd w:id="90"/>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91" w:name="_Toc228831519"/>
      <w:r w:rsidRPr="007221F4">
        <w:rPr>
          <w:bCs w:val="0"/>
        </w:rPr>
        <w:lastRenderedPageBreak/>
        <w:t>Process &amp; Control</w:t>
      </w:r>
      <w:bookmarkEnd w:id="91"/>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2" w:name="_Toc228831520"/>
      <w:r w:rsidRPr="007221F4">
        <w:rPr>
          <w:bCs w:val="0"/>
        </w:rPr>
        <w:t>Electrical &amp; CP</w:t>
      </w:r>
      <w:bookmarkEnd w:id="92"/>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3" w:name="_Toc228831521"/>
      <w:r w:rsidRPr="000A5E1F">
        <w:rPr>
          <w:bCs w:val="0"/>
        </w:rPr>
        <w:t>Civil &amp; Structural</w:t>
      </w:r>
      <w:bookmarkEnd w:id="93"/>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94" w:name="_Toc228831522"/>
      <w:r w:rsidRPr="00A26052">
        <w:rPr>
          <w:bCs w:val="0"/>
        </w:rPr>
        <w:t>Testing &amp; Commissioning</w:t>
      </w:r>
      <w:bookmarkEnd w:id="94"/>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5" w:name="_Toc228831523"/>
      <w:r w:rsidRPr="00A26052">
        <w:rPr>
          <w:bCs w:val="0"/>
        </w:rPr>
        <w:t>Environmental</w:t>
      </w:r>
      <w:bookmarkEnd w:id="95"/>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6" w:name="_Toc228831524"/>
      <w:r w:rsidRPr="00A26052">
        <w:rPr>
          <w:bCs w:val="0"/>
        </w:rPr>
        <w:t>Modifications &amp; Deviations</w:t>
      </w:r>
      <w:bookmarkEnd w:id="96"/>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7" w:name="_Toc228831525"/>
      <w:r w:rsidRPr="000A5E1F">
        <w:t>Submission Requirements</w:t>
      </w:r>
      <w:bookmarkEnd w:id="97"/>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4ACB8EDE" w:rsidR="0066567D" w:rsidRDefault="0066567D" w:rsidP="00560254">
      <w:pPr>
        <w:pStyle w:val="Heading2"/>
        <w:ind w:left="851" w:hanging="851"/>
        <w:rPr>
          <w:b w:val="0"/>
          <w:bCs w:val="0"/>
        </w:rPr>
      </w:pPr>
      <w:bookmarkStart w:id="98" w:name="_Toc228831526"/>
      <w:r>
        <w:t>KP-</w:t>
      </w:r>
      <w:r w:rsidR="00A26052">
        <w:t>by</w:t>
      </w:r>
      <w:r>
        <w:t xml:space="preserve">-KP </w:t>
      </w:r>
      <w:r w:rsidR="00A26052">
        <w:t>Drawing Relevance</w:t>
      </w:r>
      <w:r>
        <w:t xml:space="preserve"> (OKNU </w:t>
      </w:r>
      <w:r>
        <w:rPr>
          <w:rFonts w:ascii="Arial" w:hAnsi="Arial" w:cs="Arial"/>
        </w:rPr>
        <w:t>→</w:t>
      </w:r>
      <w:r>
        <w:t xml:space="preserve"> AKAB)</w:t>
      </w:r>
      <w:bookmarkEnd w:id="98"/>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9" w:name="_Toc228831527"/>
      <w:r w:rsidRPr="000A5E1F">
        <w:lastRenderedPageBreak/>
        <w:t xml:space="preserve">KP 0 – KP 10 (OKNU </w:t>
      </w:r>
      <w:r w:rsidRPr="000A5E1F">
        <w:rPr>
          <w:rFonts w:ascii="Arial" w:hAnsi="Arial" w:cs="Arial"/>
        </w:rPr>
        <w:t>→</w:t>
      </w:r>
      <w:r w:rsidRPr="000A5E1F">
        <w:t xml:space="preserve"> River Niger Crossing)</w:t>
      </w:r>
      <w:bookmarkEnd w:id="99"/>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77777777" w:rsidR="0066567D" w:rsidRDefault="0066567D" w:rsidP="00A26052">
      <w:pPr>
        <w:pStyle w:val="EPBullet-Level1"/>
        <w:ind w:left="1210"/>
      </w:pPr>
      <w:r>
        <w:t xml:space="preserve">Slug catcher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100" w:name="_Toc228831528"/>
      <w:r w:rsidRPr="000A5E1F">
        <w:rPr>
          <w:bCs w:val="0"/>
        </w:rPr>
        <w:t>KP 10 – River Niger Crossing</w:t>
      </w:r>
      <w:bookmarkEnd w:id="100"/>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101" w:name="_Toc228831529"/>
      <w:r w:rsidRPr="000A5E1F">
        <w:rPr>
          <w:bCs w:val="0"/>
        </w:rPr>
        <w:t>KP 10 – KP 38 (Swamp Section)</w:t>
      </w:r>
      <w:bookmarkEnd w:id="101"/>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102" w:name="_Toc228831530"/>
      <w:r w:rsidRPr="000A5E1F">
        <w:rPr>
          <w:bCs w:val="0"/>
        </w:rPr>
        <w:t>KP 38 – Midline Manifold (SEIB Tie-in)</w:t>
      </w:r>
      <w:bookmarkEnd w:id="102"/>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3" w:name="_Toc228831531"/>
      <w:r w:rsidRPr="000A5E1F">
        <w:rPr>
          <w:bCs w:val="0"/>
        </w:rPr>
        <w:t>KP 38 – KP 66</w:t>
      </w:r>
      <w:bookmarkEnd w:id="103"/>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lastRenderedPageBreak/>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4" w:name="_Toc228831532"/>
      <w:r w:rsidRPr="000A5E1F">
        <w:rPr>
          <w:bCs w:val="0"/>
        </w:rPr>
        <w:t>KP 66 – Midline Manifold (NUNR/DBUC Tie-in)</w:t>
      </w:r>
      <w:bookmarkEnd w:id="104"/>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5" w:name="_Toc228831533"/>
      <w:r w:rsidRPr="0034011A">
        <w:rPr>
          <w:bCs w:val="0"/>
        </w:rPr>
        <w:t>KP 66 – KP 85 (BBOU)</w:t>
      </w:r>
      <w:bookmarkEnd w:id="105"/>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6" w:name="_Toc228831534"/>
      <w:r w:rsidRPr="000A5E1F">
        <w:rPr>
          <w:bCs w:val="0"/>
        </w:rPr>
        <w:t>KP 85 – BBOU Manifold</w:t>
      </w:r>
      <w:bookmarkEnd w:id="106"/>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21A91CA9" w14:textId="77777777" w:rsidR="0066567D" w:rsidRPr="000A5E1F" w:rsidRDefault="0066567D" w:rsidP="00A26052">
      <w:pPr>
        <w:pStyle w:val="Heading3"/>
        <w:ind w:left="851" w:hanging="851"/>
        <w:rPr>
          <w:bCs w:val="0"/>
        </w:rPr>
      </w:pPr>
      <w:bookmarkStart w:id="107" w:name="_Toc228831535"/>
      <w:r w:rsidRPr="000A5E1F">
        <w:rPr>
          <w:bCs w:val="0"/>
        </w:rPr>
        <w:t xml:space="preserve">KP 85 – KP 93 (BBOU </w:t>
      </w:r>
      <w:r w:rsidRPr="000A5E1F">
        <w:rPr>
          <w:rFonts w:ascii="Arial" w:hAnsi="Arial" w:cs="Arial"/>
          <w:bCs w:val="0"/>
        </w:rPr>
        <w:t>→</w:t>
      </w:r>
      <w:r w:rsidRPr="000A5E1F">
        <w:rPr>
          <w:bCs w:val="0"/>
        </w:rPr>
        <w:t xml:space="preserve"> ELEP)</w:t>
      </w:r>
      <w:bookmarkEnd w:id="107"/>
    </w:p>
    <w:p w14:paraId="6FBD345E" w14:textId="77777777" w:rsidR="0066567D" w:rsidRDefault="0066567D" w:rsidP="0034011A">
      <w:pPr>
        <w:pStyle w:val="BodyText"/>
        <w:suppressAutoHyphens/>
        <w:spacing w:before="240" w:beforeAutospacing="0" w:after="120" w:afterAutospacing="0"/>
        <w:ind w:left="850"/>
      </w:pPr>
      <w:r>
        <w:rPr>
          <w:b/>
          <w:bCs/>
        </w:rPr>
        <w:t>Key Features:</w:t>
      </w:r>
      <w:r>
        <w:t xml:space="preserve"> Existing/planned 20” pipeline</w:t>
      </w:r>
    </w:p>
    <w:p w14:paraId="488EE419" w14:textId="77777777" w:rsidR="0066567D" w:rsidRDefault="0066567D" w:rsidP="0034011A">
      <w:pPr>
        <w:pStyle w:val="EPBullet-Level1"/>
        <w:ind w:left="1210"/>
      </w:pPr>
      <w:r>
        <w:t>Required Drawings:</w:t>
      </w:r>
    </w:p>
    <w:p w14:paraId="2CD166EE" w14:textId="77777777" w:rsidR="0066567D" w:rsidRDefault="0066567D" w:rsidP="0034011A">
      <w:pPr>
        <w:pStyle w:val="EPBullet-Level1"/>
        <w:ind w:left="1210"/>
      </w:pPr>
      <w:r>
        <w:t xml:space="preserve">Alignment sheets </w:t>
      </w:r>
    </w:p>
    <w:p w14:paraId="786675C0" w14:textId="77777777" w:rsidR="0066567D" w:rsidRDefault="0066567D" w:rsidP="0034011A">
      <w:pPr>
        <w:pStyle w:val="EPBullet-Level1"/>
        <w:ind w:left="1210"/>
      </w:pPr>
      <w:r>
        <w:t xml:space="preserve">Isometrics </w:t>
      </w:r>
    </w:p>
    <w:p w14:paraId="0DC036EC" w14:textId="77777777" w:rsidR="0066567D" w:rsidRDefault="0066567D" w:rsidP="0034011A">
      <w:pPr>
        <w:pStyle w:val="EPBullet-Level1"/>
        <w:ind w:left="1210"/>
      </w:pPr>
      <w:r>
        <w:t xml:space="preserve">CP and coating drawings </w:t>
      </w:r>
    </w:p>
    <w:p w14:paraId="2207AC11" w14:textId="77777777" w:rsidR="0066567D" w:rsidRPr="000A5E1F" w:rsidRDefault="0066567D" w:rsidP="00A26052">
      <w:pPr>
        <w:pStyle w:val="Heading3"/>
        <w:ind w:left="851" w:hanging="851"/>
        <w:rPr>
          <w:bCs w:val="0"/>
        </w:rPr>
      </w:pPr>
      <w:bookmarkStart w:id="108" w:name="_Toc228831536"/>
      <w:r w:rsidRPr="000A5E1F">
        <w:rPr>
          <w:bCs w:val="0"/>
        </w:rPr>
        <w:t xml:space="preserve">KP 93 – KP 125 (ELEP </w:t>
      </w:r>
      <w:r w:rsidRPr="000A5E1F">
        <w:rPr>
          <w:rFonts w:ascii="Arial" w:hAnsi="Arial" w:cs="Arial"/>
          <w:bCs w:val="0"/>
        </w:rPr>
        <w:t>→</w:t>
      </w:r>
      <w:r w:rsidRPr="000A5E1F">
        <w:rPr>
          <w:bCs w:val="0"/>
        </w:rPr>
        <w:t xml:space="preserve"> AKAB)</w:t>
      </w:r>
      <w:bookmarkEnd w:id="108"/>
    </w:p>
    <w:p w14:paraId="1B60C1B9" w14:textId="77777777" w:rsidR="0066567D" w:rsidRDefault="0066567D" w:rsidP="0034011A">
      <w:pPr>
        <w:pStyle w:val="BodyText"/>
        <w:suppressAutoHyphens/>
        <w:spacing w:before="240" w:beforeAutospacing="0" w:after="120" w:afterAutospacing="0"/>
        <w:ind w:left="850"/>
      </w:pPr>
      <w:r>
        <w:rPr>
          <w:b/>
          <w:bCs/>
        </w:rPr>
        <w:lastRenderedPageBreak/>
        <w:t>Key Features:</w:t>
      </w:r>
      <w:r>
        <w:t xml:space="preserve"> 28” trunkline</w:t>
      </w:r>
    </w:p>
    <w:p w14:paraId="69F49CDD" w14:textId="77777777" w:rsidR="0066567D" w:rsidRDefault="0066567D" w:rsidP="0034011A">
      <w:pPr>
        <w:pStyle w:val="EPBullet-Level1"/>
        <w:ind w:left="1210"/>
      </w:pPr>
      <w:r>
        <w:t>Required Drawings:</w:t>
      </w:r>
    </w:p>
    <w:p w14:paraId="6832AF23" w14:textId="77777777" w:rsidR="0066567D" w:rsidRDefault="0066567D" w:rsidP="0034011A">
      <w:pPr>
        <w:pStyle w:val="EPBullet-Level1"/>
        <w:ind w:left="1210"/>
      </w:pPr>
      <w:r>
        <w:t xml:space="preserve">Trunkline alignment </w:t>
      </w:r>
    </w:p>
    <w:p w14:paraId="7B75BE48" w14:textId="77777777" w:rsidR="0066567D" w:rsidRDefault="0066567D" w:rsidP="0034011A">
      <w:pPr>
        <w:pStyle w:val="EPBullet-Level1"/>
        <w:ind w:left="1210"/>
      </w:pPr>
      <w:r>
        <w:t xml:space="preserve">Weld maps </w:t>
      </w:r>
    </w:p>
    <w:p w14:paraId="6F11D7EC" w14:textId="77777777" w:rsidR="0066567D" w:rsidRDefault="0066567D" w:rsidP="0034011A">
      <w:pPr>
        <w:pStyle w:val="EPBullet-Level1"/>
        <w:ind w:left="1210"/>
      </w:pPr>
      <w:r>
        <w:t xml:space="preserve">Hydrotest layouts </w:t>
      </w:r>
    </w:p>
    <w:p w14:paraId="1A957E09" w14:textId="77777777" w:rsidR="0066567D" w:rsidRDefault="0066567D" w:rsidP="0034011A">
      <w:pPr>
        <w:pStyle w:val="EPBullet-Level1"/>
        <w:ind w:left="1210"/>
      </w:pPr>
      <w:r>
        <w:t xml:space="preserve">SCADA layouts </w:t>
      </w:r>
    </w:p>
    <w:p w14:paraId="7410D823" w14:textId="77777777" w:rsidR="0066567D" w:rsidRPr="000A5E1F" w:rsidRDefault="0066567D" w:rsidP="00A26052">
      <w:pPr>
        <w:pStyle w:val="Heading3"/>
        <w:ind w:left="851" w:hanging="851"/>
        <w:rPr>
          <w:bCs w:val="0"/>
        </w:rPr>
      </w:pPr>
      <w:bookmarkStart w:id="109" w:name="_Toc228831537"/>
      <w:r w:rsidRPr="000A5E1F">
        <w:rPr>
          <w:bCs w:val="0"/>
        </w:rPr>
        <w:t>KP 125 – AKAB Gas Hub</w:t>
      </w:r>
      <w:bookmarkEnd w:id="109"/>
    </w:p>
    <w:p w14:paraId="4540B1BF" w14:textId="77777777" w:rsidR="0066567D" w:rsidRDefault="0066567D" w:rsidP="00A26052">
      <w:pPr>
        <w:pStyle w:val="BodyText"/>
        <w:suppressAutoHyphens/>
        <w:spacing w:before="240" w:beforeAutospacing="0" w:after="120" w:afterAutospacing="0"/>
        <w:ind w:left="850"/>
      </w:pPr>
      <w:r>
        <w:rPr>
          <w:b/>
          <w:bCs/>
        </w:rPr>
        <w:t>Key Features:</w:t>
      </w:r>
      <w:r>
        <w:t xml:space="preserve"> Processing hub</w:t>
      </w:r>
    </w:p>
    <w:p w14:paraId="5DEFD01D" w14:textId="77777777" w:rsidR="0066567D" w:rsidRDefault="0066567D" w:rsidP="0034011A">
      <w:pPr>
        <w:pStyle w:val="EPBullet-Level1"/>
        <w:ind w:left="1210"/>
      </w:pPr>
      <w:r>
        <w:t>Required Drawings:</w:t>
      </w:r>
    </w:p>
    <w:p w14:paraId="540FDFAC" w14:textId="77777777" w:rsidR="0066567D" w:rsidRDefault="0066567D" w:rsidP="0034011A">
      <w:pPr>
        <w:pStyle w:val="EPBullet-Level1"/>
        <w:ind w:left="1210"/>
      </w:pPr>
      <w:r>
        <w:t xml:space="preserve">Full plot plan </w:t>
      </w:r>
    </w:p>
    <w:p w14:paraId="00049BFC" w14:textId="77777777" w:rsidR="0066567D" w:rsidRDefault="0066567D" w:rsidP="0034011A">
      <w:pPr>
        <w:pStyle w:val="EPBullet-Level1"/>
        <w:ind w:left="1210"/>
      </w:pPr>
      <w:r>
        <w:t xml:space="preserve">P&amp;IDs </w:t>
      </w:r>
    </w:p>
    <w:p w14:paraId="4BE0C57F" w14:textId="77777777" w:rsidR="0066567D" w:rsidRDefault="0066567D" w:rsidP="0034011A">
      <w:pPr>
        <w:pStyle w:val="EPBullet-Level1"/>
        <w:ind w:left="1210"/>
      </w:pPr>
      <w:r>
        <w:t xml:space="preserve">Slug catcher / inlet facilities </w:t>
      </w:r>
    </w:p>
    <w:p w14:paraId="090586C3" w14:textId="77777777" w:rsidR="0066567D" w:rsidRDefault="0066567D" w:rsidP="0034011A">
      <w:pPr>
        <w:pStyle w:val="EPBullet-Level1"/>
        <w:ind w:left="1210"/>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10"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10"/>
    </w:p>
    <w:p w14:paraId="554F17CD" w14:textId="77777777" w:rsidR="002C40F7" w:rsidRPr="005B6684" w:rsidRDefault="002C40F7" w:rsidP="002C40F7">
      <w:pPr>
        <w:pStyle w:val="Heading2"/>
        <w:spacing w:before="360" w:line="276" w:lineRule="auto"/>
        <w:ind w:left="851" w:hanging="851"/>
        <w:rPr>
          <w:color w:val="000000" w:themeColor="text1"/>
        </w:rPr>
      </w:pPr>
      <w:bookmarkStart w:id="111" w:name="_Toc228831539"/>
      <w:r w:rsidRPr="005B6684">
        <w:rPr>
          <w:color w:val="000000" w:themeColor="text1"/>
        </w:rPr>
        <w:t>Governance</w:t>
      </w:r>
      <w:bookmarkEnd w:id="111"/>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12" w:name="_Toc228831540"/>
      <w:r w:rsidRPr="005B6684">
        <w:rPr>
          <w:color w:val="000000" w:themeColor="text1"/>
        </w:rPr>
        <w:t>Primary Regulators</w:t>
      </w:r>
      <w:bookmarkEnd w:id="112"/>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13" w:name="_Toc228831541"/>
      <w:r w:rsidRPr="005B6684">
        <w:rPr>
          <w:color w:val="000000" w:themeColor="text1"/>
        </w:rPr>
        <w:t>Core Legal Frameworks</w:t>
      </w:r>
      <w:bookmarkEnd w:id="113"/>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4" w:name="_Toc228831542"/>
      <w:r w:rsidRPr="005B6684">
        <w:rPr>
          <w:color w:val="000000" w:themeColor="text1"/>
        </w:rPr>
        <w:t>Technical &amp; Operational Requirements</w:t>
      </w:r>
      <w:bookmarkEnd w:id="114"/>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5" w:name="_Toc228831543"/>
      <w:r w:rsidRPr="005B6684">
        <w:rPr>
          <w:color w:val="000000" w:themeColor="text1"/>
        </w:rPr>
        <w:t>Key Challenges in the Nigerian Context</w:t>
      </w:r>
      <w:bookmarkEnd w:id="115"/>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6" w:name="_Toc228831544"/>
      <w:r w:rsidRPr="005B6684">
        <w:rPr>
          <w:color w:val="000000" w:themeColor="text1"/>
        </w:rPr>
        <w:t>Ancillary Systems</w:t>
      </w:r>
      <w:bookmarkEnd w:id="116"/>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7" w:name="_Toc228831545"/>
      <w:r w:rsidRPr="005B6684">
        <w:rPr>
          <w:color w:val="000000" w:themeColor="text1"/>
          <w:sz w:val="22"/>
          <w:szCs w:val="22"/>
        </w:rPr>
        <w:t>Decommissioning Philosophy</w:t>
      </w:r>
      <w:bookmarkEnd w:id="117"/>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8" w:name="_Toc228831546"/>
      <w:r w:rsidRPr="005B6684">
        <w:rPr>
          <w:color w:val="000000" w:themeColor="text1"/>
          <w:sz w:val="22"/>
          <w:szCs w:val="22"/>
        </w:rPr>
        <w:t>Key Decommissioning Processes</w:t>
      </w:r>
      <w:bookmarkEnd w:id="118"/>
    </w:p>
    <w:p w14:paraId="4EA090E3" w14:textId="77777777" w:rsidR="002C40F7" w:rsidRPr="005B6684" w:rsidRDefault="002C40F7" w:rsidP="002C40F7">
      <w:pPr>
        <w:pStyle w:val="Heading3"/>
        <w:ind w:left="794" w:hanging="794"/>
        <w:rPr>
          <w:color w:val="000000" w:themeColor="text1"/>
        </w:rPr>
      </w:pPr>
      <w:bookmarkStart w:id="119" w:name="_Toc228831547"/>
      <w:r w:rsidRPr="005B6684">
        <w:rPr>
          <w:color w:val="000000" w:themeColor="text1"/>
        </w:rPr>
        <w:t>Planning &amp; Approvals</w:t>
      </w:r>
      <w:bookmarkEnd w:id="119"/>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20" w:name="_Toc228831548"/>
      <w:r w:rsidRPr="005B6684">
        <w:rPr>
          <w:color w:val="000000" w:themeColor="text1"/>
        </w:rPr>
        <w:t>Shutdown &amp; Isolation</w:t>
      </w:r>
      <w:bookmarkEnd w:id="120"/>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21" w:name="_Toc228831549"/>
      <w:r w:rsidRPr="005B6684">
        <w:rPr>
          <w:color w:val="000000" w:themeColor="text1"/>
        </w:rPr>
        <w:t>Cleaning &amp; Hydrocarbon Removal</w:t>
      </w:r>
      <w:bookmarkEnd w:id="121"/>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22" w:name="_Toc228831550"/>
      <w:r w:rsidRPr="005B6684">
        <w:rPr>
          <w:color w:val="000000" w:themeColor="text1"/>
        </w:rPr>
        <w:t>Flushing, Drying &amp; Inerting</w:t>
      </w:r>
      <w:bookmarkEnd w:id="122"/>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23" w:name="_Toc228831551"/>
      <w:r w:rsidRPr="005B6684">
        <w:rPr>
          <w:color w:val="000000" w:themeColor="text1"/>
        </w:rPr>
        <w:t>Metering Close-Out (Critical Step)</w:t>
      </w:r>
      <w:bookmarkEnd w:id="123"/>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4" w:name="_Toc228831552"/>
      <w:r w:rsidRPr="005B6684">
        <w:rPr>
          <w:color w:val="000000" w:themeColor="text1"/>
        </w:rPr>
        <w:t>Disconnection &amp; Segmentation</w:t>
      </w:r>
      <w:bookmarkEnd w:id="124"/>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5" w:name="_Toc228831553"/>
      <w:r w:rsidRPr="005B6684">
        <w:rPr>
          <w:color w:val="000000" w:themeColor="text1"/>
        </w:rPr>
        <w:t>Execution (Removal / Abandonment)</w:t>
      </w:r>
      <w:bookmarkEnd w:id="125"/>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6" w:name="_Toc228831554"/>
      <w:r w:rsidRPr="005B6684">
        <w:rPr>
          <w:color w:val="000000" w:themeColor="text1"/>
        </w:rPr>
        <w:t>Waste Management</w:t>
      </w:r>
      <w:bookmarkEnd w:id="126"/>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7" w:name="_Toc228831555"/>
      <w:r w:rsidRPr="005B6684">
        <w:rPr>
          <w:color w:val="000000" w:themeColor="text1"/>
        </w:rPr>
        <w:t>Site Restoration</w:t>
      </w:r>
      <w:bookmarkEnd w:id="127"/>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8" w:name="_Toc228831556"/>
      <w:r w:rsidRPr="005B6684">
        <w:rPr>
          <w:color w:val="000000" w:themeColor="text1"/>
          <w:sz w:val="22"/>
          <w:szCs w:val="22"/>
        </w:rPr>
        <w:t>Abandonment Activities</w:t>
      </w:r>
      <w:bookmarkEnd w:id="128"/>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9" w:name="_Toc228831557"/>
      <w:r w:rsidRPr="005B6684">
        <w:rPr>
          <w:color w:val="000000" w:themeColor="text1"/>
          <w:sz w:val="22"/>
          <w:szCs w:val="22"/>
        </w:rPr>
        <w:t>KP-Based Execution Strategy</w:t>
      </w:r>
      <w:bookmarkEnd w:id="129"/>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r w:rsidR="002C40F7" w:rsidRPr="005B6684" w14:paraId="6C87D839" w14:textId="77777777" w:rsidTr="00CD3B3D">
        <w:tc>
          <w:tcPr>
            <w:tcW w:w="0" w:type="auto"/>
          </w:tcPr>
          <w:p w14:paraId="2D4CBB1D"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9</w:t>
            </w:r>
          </w:p>
        </w:tc>
        <w:tc>
          <w:tcPr>
            <w:tcW w:w="0" w:type="auto"/>
            <w:vAlign w:val="center"/>
          </w:tcPr>
          <w:p w14:paraId="73B3238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BBOU / ELEP</w:t>
            </w:r>
          </w:p>
        </w:tc>
        <w:tc>
          <w:tcPr>
            <w:tcW w:w="0" w:type="auto"/>
            <w:vAlign w:val="center"/>
          </w:tcPr>
          <w:p w14:paraId="3A678DC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31B7A0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Operational hubs</w:t>
            </w:r>
          </w:p>
        </w:tc>
      </w:tr>
      <w:tr w:rsidR="002C40F7" w:rsidRPr="005B6684" w14:paraId="5122DA4B" w14:textId="77777777" w:rsidTr="00CD3B3D">
        <w:tc>
          <w:tcPr>
            <w:tcW w:w="0" w:type="auto"/>
          </w:tcPr>
          <w:p w14:paraId="327EFDAA"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10</w:t>
            </w:r>
          </w:p>
        </w:tc>
        <w:tc>
          <w:tcPr>
            <w:tcW w:w="0" w:type="auto"/>
            <w:vAlign w:val="center"/>
          </w:tcPr>
          <w:p w14:paraId="4CD63F7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ELEP–AKAB</w:t>
            </w:r>
          </w:p>
        </w:tc>
        <w:tc>
          <w:tcPr>
            <w:tcW w:w="0" w:type="auto"/>
            <w:vAlign w:val="center"/>
          </w:tcPr>
          <w:p w14:paraId="524CC65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Case-by-case</w:t>
            </w:r>
          </w:p>
        </w:tc>
        <w:tc>
          <w:tcPr>
            <w:tcW w:w="0" w:type="auto"/>
            <w:vAlign w:val="center"/>
          </w:tcPr>
          <w:p w14:paraId="6661CDD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Depends on reuse</w:t>
            </w:r>
          </w:p>
        </w:tc>
      </w:tr>
      <w:tr w:rsidR="002C40F7" w:rsidRPr="005B6684" w14:paraId="39E314F7" w14:textId="77777777" w:rsidTr="00CD3B3D">
        <w:tc>
          <w:tcPr>
            <w:tcW w:w="0" w:type="auto"/>
          </w:tcPr>
          <w:p w14:paraId="411D4EA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11</w:t>
            </w:r>
          </w:p>
        </w:tc>
        <w:tc>
          <w:tcPr>
            <w:tcW w:w="0" w:type="auto"/>
            <w:vAlign w:val="center"/>
          </w:tcPr>
          <w:p w14:paraId="1C5E591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Offshore line</w:t>
            </w:r>
          </w:p>
        </w:tc>
        <w:tc>
          <w:tcPr>
            <w:tcW w:w="0" w:type="auto"/>
            <w:vAlign w:val="center"/>
          </w:tcPr>
          <w:p w14:paraId="6A8CC90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360A080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Industry standard</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30" w:name="_Toc228831558"/>
      <w:r w:rsidRPr="005B6684">
        <w:rPr>
          <w:color w:val="000000" w:themeColor="text1"/>
          <w:sz w:val="22"/>
          <w:szCs w:val="22"/>
        </w:rPr>
        <w:t>Risk Management</w:t>
      </w:r>
      <w:bookmarkEnd w:id="1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31" w:name="_Toc228831559"/>
      <w:r w:rsidRPr="005B6684">
        <w:rPr>
          <w:color w:val="000000" w:themeColor="text1"/>
          <w:sz w:val="22"/>
          <w:szCs w:val="22"/>
        </w:rPr>
        <w:t>Conclusion</w:t>
      </w:r>
      <w:bookmarkEnd w:id="131"/>
    </w:p>
    <w:p w14:paraId="1DB9446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OKNU–BBOU–ELEP–AKAB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32" w:name="_Toc228831560"/>
      <w:r>
        <w:rPr>
          <w:rStyle w:val="Hyperlink"/>
          <w:color w:val="000080"/>
          <w:u w:val="none"/>
        </w:rPr>
        <w:lastRenderedPageBreak/>
        <w:t>Key Decommissioning Processes &amp; Abandonment Activities</w:t>
      </w:r>
      <w:bookmarkEnd w:id="132"/>
    </w:p>
    <w:p w14:paraId="2D9D657D" w14:textId="34F90ECA" w:rsidR="00D878B7" w:rsidRDefault="00D878B7" w:rsidP="00E73C1F">
      <w:pPr>
        <w:pStyle w:val="Heading2"/>
        <w:ind w:left="851" w:hanging="851"/>
      </w:pPr>
      <w:bookmarkStart w:id="133" w:name="_Toc228831561"/>
      <w:r>
        <w:t>Decommissioning Processes (End-to-End Execution)</w:t>
      </w:r>
      <w:bookmarkEnd w:id="133"/>
    </w:p>
    <w:p w14:paraId="0A4B3AF0" w14:textId="77777777" w:rsidR="00D878B7" w:rsidRDefault="00D878B7" w:rsidP="00E73C1F">
      <w:pPr>
        <w:pStyle w:val="Heading3"/>
        <w:ind w:left="794" w:hanging="794"/>
      </w:pPr>
      <w:r>
        <w:t xml:space="preserve"> </w:t>
      </w:r>
      <w:bookmarkStart w:id="134" w:name="_Toc228831562"/>
      <w:r>
        <w:t>Pre-Decommissioning Planning</w:t>
      </w:r>
      <w:bookmarkEnd w:id="134"/>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5" w:name="_Toc228831563"/>
      <w:r>
        <w:t>System Shutdown &amp; Isolation</w:t>
      </w:r>
      <w:bookmarkEnd w:id="135"/>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6" w:name="_Toc228831564"/>
      <w:r>
        <w:t>Pipeline Cleaning &amp; Hydrocarbon Removal</w:t>
      </w:r>
      <w:bookmarkEnd w:id="136"/>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7" w:name="_Toc228831565"/>
      <w:r>
        <w:t>Flushing, Drying &amp; Inerting</w:t>
      </w:r>
      <w:bookmarkEnd w:id="137"/>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8" w:name="_Toc228831566"/>
      <w:r>
        <w:t>Disconnection &amp; Mechanical Works</w:t>
      </w:r>
      <w:bookmarkEnd w:id="138"/>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Slug catchers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9" w:name="_Toc228831567"/>
      <w:r>
        <w:t>Pipeline Removal (Where Applicable)</w:t>
      </w:r>
      <w:bookmarkEnd w:id="139"/>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40" w:name="_Toc228831568"/>
      <w:r>
        <w:t>Waste Management</w:t>
      </w:r>
      <w:bookmarkEnd w:id="140"/>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41" w:name="_Toc228831569"/>
      <w:r>
        <w:t>Site Restoration</w:t>
      </w:r>
      <w:bookmarkEnd w:id="141"/>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42" w:name="_Toc228831570"/>
      <w:r>
        <w:t>Abandonment Activities (Pipeline Left In Place)</w:t>
      </w:r>
      <w:bookmarkEnd w:id="142"/>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43" w:name="_Toc228831571"/>
      <w:r>
        <w:t>Cleaning to Acceptable Standard</w:t>
      </w:r>
      <w:bookmarkEnd w:id="143"/>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4" w:name="_Toc228831572"/>
      <w:r>
        <w:t>Isolation &amp; Disconnection</w:t>
      </w:r>
      <w:bookmarkEnd w:id="144"/>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Permanent caps </w:t>
      </w:r>
    </w:p>
    <w:p w14:paraId="2B291AC8" w14:textId="77777777" w:rsidR="00D878B7" w:rsidRDefault="00D878B7">
      <w:pPr>
        <w:numPr>
          <w:ilvl w:val="0"/>
          <w:numId w:val="52"/>
        </w:numPr>
        <w:spacing w:before="120" w:after="120" w:line="276" w:lineRule="auto"/>
        <w:ind w:left="1208" w:hanging="357"/>
        <w:jc w:val="left"/>
      </w:pPr>
      <w:r>
        <w:t xml:space="preserve">Removal of surface tie-ins </w:t>
      </w:r>
    </w:p>
    <w:p w14:paraId="62F5391B" w14:textId="2EB546CC" w:rsidR="00D878B7" w:rsidRDefault="00D878B7" w:rsidP="00730701">
      <w:pPr>
        <w:pStyle w:val="Heading3"/>
        <w:ind w:left="794" w:hanging="794"/>
      </w:pPr>
      <w:bookmarkStart w:id="145" w:name="_Toc228831573"/>
      <w:r>
        <w:t>Filling / Stabilization</w:t>
      </w:r>
      <w:bookmarkEnd w:id="145"/>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pPr>
        <w:numPr>
          <w:ilvl w:val="0"/>
          <w:numId w:val="52"/>
        </w:numPr>
        <w:spacing w:before="120" w:after="120" w:line="276" w:lineRule="auto"/>
        <w:ind w:left="1208" w:hanging="357"/>
        <w:jc w:val="left"/>
      </w:pPr>
      <w:r>
        <w:t>River / Offshore</w:t>
      </w:r>
    </w:p>
    <w:p w14:paraId="1E7AD1EF" w14:textId="77777777" w:rsidR="00D878B7" w:rsidRDefault="00D878B7">
      <w:pPr>
        <w:numPr>
          <w:ilvl w:val="0"/>
          <w:numId w:val="52"/>
        </w:numPr>
        <w:spacing w:before="120" w:after="120" w:line="276" w:lineRule="auto"/>
        <w:ind w:left="1208" w:hanging="357"/>
        <w:jc w:val="left"/>
      </w:pPr>
      <w:r>
        <w:t xml:space="preserve">Flooding with seawater </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6" w:name="_Toc228831574"/>
      <w:r>
        <w:t>Cathodic Protection Decommissioning</w:t>
      </w:r>
      <w:bookmarkEnd w:id="146"/>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7" w:name="_Toc228831575"/>
      <w:r>
        <w:t>Long-Term Integrity Assurance</w:t>
      </w:r>
      <w:bookmarkEnd w:id="147"/>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8" w:name="_Toc228831576"/>
      <w:r>
        <w:t>Marking &amp; Records</w:t>
      </w:r>
      <w:bookmarkEnd w:id="148"/>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6F32CD1D" w:rsidR="00D878B7" w:rsidRDefault="00D878B7" w:rsidP="00327BC9">
      <w:pPr>
        <w:pStyle w:val="Heading2"/>
        <w:ind w:left="851" w:hanging="851"/>
      </w:pPr>
      <w:bookmarkStart w:id="149" w:name="_Toc228831577"/>
      <w:r>
        <w:t>Special Considerations for OKNU–BBOU–ELEP–AKAB</w:t>
      </w:r>
      <w:bookmarkEnd w:id="149"/>
    </w:p>
    <w:p w14:paraId="3DE5EA38" w14:textId="77777777" w:rsidR="00D878B7" w:rsidRDefault="00D878B7">
      <w:pPr>
        <w:numPr>
          <w:ilvl w:val="0"/>
          <w:numId w:val="52"/>
        </w:numPr>
        <w:spacing w:before="120" w:after="120" w:line="276" w:lineRule="auto"/>
        <w:ind w:left="1208" w:hanging="357"/>
        <w:jc w:val="left"/>
      </w:pPr>
      <w:r>
        <w:t>High-Priority Abandonment Zones</w:t>
      </w:r>
    </w:p>
    <w:p w14:paraId="38573911" w14:textId="77777777" w:rsidR="00D878B7" w:rsidRDefault="00D878B7">
      <w:pPr>
        <w:numPr>
          <w:ilvl w:val="0"/>
          <w:numId w:val="52"/>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pPr>
        <w:numPr>
          <w:ilvl w:val="0"/>
          <w:numId w:val="52"/>
        </w:numPr>
        <w:spacing w:before="120" w:after="120" w:line="276" w:lineRule="auto"/>
        <w:ind w:left="1208" w:hanging="357"/>
        <w:jc w:val="left"/>
      </w:pPr>
      <w:r>
        <w:t xml:space="preserve">Deep swamp sections (KP10–KP66) </w:t>
      </w:r>
      <w:r w:rsidRPr="00730701">
        <w:t>→</w:t>
      </w:r>
      <w:r>
        <w:t xml:space="preserve"> Selective abandonment </w:t>
      </w:r>
    </w:p>
    <w:p w14:paraId="60602560" w14:textId="77777777" w:rsidR="00D878B7" w:rsidRDefault="00D878B7">
      <w:pPr>
        <w:numPr>
          <w:ilvl w:val="0"/>
          <w:numId w:val="52"/>
        </w:numPr>
        <w:spacing w:before="120" w:after="120" w:line="276" w:lineRule="auto"/>
        <w:ind w:left="1208" w:hanging="357"/>
        <w:jc w:val="left"/>
      </w:pPr>
      <w:r>
        <w:t xml:space="preserve">Offshore FLNG line </w:t>
      </w:r>
      <w:r w:rsidRPr="00730701">
        <w:t>→</w:t>
      </w:r>
      <w:r>
        <w:t xml:space="preserve"> Flood &amp; stabilize </w:t>
      </w:r>
    </w:p>
    <w:p w14:paraId="6386BA86" w14:textId="77777777" w:rsidR="00D878B7" w:rsidRDefault="00D878B7">
      <w:pPr>
        <w:numPr>
          <w:ilvl w:val="0"/>
          <w:numId w:val="52"/>
        </w:numPr>
        <w:spacing w:before="120" w:after="120" w:line="276" w:lineRule="auto"/>
        <w:ind w:left="1208" w:hanging="357"/>
        <w:jc w:val="left"/>
      </w:pPr>
      <w:r>
        <w:t>High-Priority Removal Zones</w:t>
      </w:r>
    </w:p>
    <w:p w14:paraId="42AEA10A" w14:textId="77777777" w:rsidR="00D878B7" w:rsidRDefault="00D878B7">
      <w:pPr>
        <w:numPr>
          <w:ilvl w:val="0"/>
          <w:numId w:val="52"/>
        </w:numPr>
        <w:spacing w:before="120" w:after="120" w:line="276" w:lineRule="auto"/>
        <w:ind w:left="1208" w:hanging="357"/>
        <w:jc w:val="left"/>
      </w:pPr>
      <w:r>
        <w:lastRenderedPageBreak/>
        <w:t xml:space="preserve">Manifold areas (OKNU, KP38, KP66, BBOU, ELEP, AKAB) </w:t>
      </w:r>
    </w:p>
    <w:p w14:paraId="4064C7DC" w14:textId="77777777" w:rsidR="00D878B7" w:rsidRDefault="00D878B7">
      <w:pPr>
        <w:numPr>
          <w:ilvl w:val="0"/>
          <w:numId w:val="52"/>
        </w:numPr>
        <w:spacing w:before="120" w:after="120" w:line="276" w:lineRule="auto"/>
        <w:ind w:left="1208" w:hanging="357"/>
        <w:jc w:val="left"/>
      </w:pPr>
      <w:r>
        <w:t xml:space="preserve">Congested corridors </w:t>
      </w:r>
    </w:p>
    <w:p w14:paraId="75542AD8" w14:textId="77777777" w:rsidR="00D878B7" w:rsidRDefault="00D878B7">
      <w:pPr>
        <w:numPr>
          <w:ilvl w:val="0"/>
          <w:numId w:val="52"/>
        </w:numPr>
        <w:spacing w:before="120" w:after="120" w:line="276" w:lineRule="auto"/>
        <w:ind w:left="1208" w:hanging="357"/>
        <w:jc w:val="left"/>
      </w:pPr>
      <w:r>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50" w:name="_Toc227320001"/>
      <w:bookmarkStart w:id="151" w:name="_Toc228831578"/>
      <w:r>
        <w:rPr>
          <w:rStyle w:val="Hyperlink"/>
          <w:color w:val="000080"/>
          <w:u w:val="none"/>
        </w:rPr>
        <w:lastRenderedPageBreak/>
        <w:t xml:space="preserve">Facilities </w:t>
      </w:r>
      <w:r w:rsidR="00F6152F" w:rsidRPr="000D0F97">
        <w:rPr>
          <w:rStyle w:val="Hyperlink"/>
          <w:color w:val="000080"/>
          <w:u w:val="none"/>
        </w:rPr>
        <w:t>Engineering</w:t>
      </w:r>
      <w:bookmarkEnd w:id="150"/>
      <w:r w:rsidR="00DF5C79">
        <w:rPr>
          <w:rStyle w:val="Hyperlink"/>
          <w:color w:val="000080"/>
          <w:u w:val="none"/>
        </w:rPr>
        <w:t xml:space="preserve"> Design Features</w:t>
      </w:r>
      <w:bookmarkEnd w:id="151"/>
    </w:p>
    <w:p w14:paraId="3F14BBFA" w14:textId="5F0C1B8D" w:rsidR="00F6152F" w:rsidRDefault="00F6152F" w:rsidP="0072361F">
      <w:pPr>
        <w:pStyle w:val="Heading2"/>
        <w:spacing w:before="360"/>
        <w:ind w:left="851" w:hanging="851"/>
        <w:jc w:val="left"/>
      </w:pPr>
      <w:bookmarkStart w:id="152" w:name="_Toc227319480"/>
      <w:bookmarkStart w:id="153" w:name="_Toc227319580"/>
      <w:bookmarkStart w:id="154" w:name="_Toc227319641"/>
      <w:bookmarkStart w:id="155" w:name="_Toc227320002"/>
      <w:bookmarkStart w:id="156" w:name="_Toc228279635"/>
      <w:bookmarkStart w:id="157" w:name="_Toc228279945"/>
      <w:bookmarkStart w:id="158" w:name="_Toc228388004"/>
      <w:bookmarkStart w:id="159" w:name="_Toc228779449"/>
      <w:bookmarkStart w:id="160" w:name="_Toc228781946"/>
      <w:bookmarkStart w:id="161" w:name="_Toc228790156"/>
      <w:bookmarkStart w:id="162" w:name="_Toc228388005"/>
      <w:bookmarkStart w:id="163" w:name="_Toc228779450"/>
      <w:bookmarkStart w:id="164" w:name="_Toc228781947"/>
      <w:bookmarkStart w:id="165" w:name="_Toc228790157"/>
      <w:bookmarkStart w:id="166" w:name="_Toc228388006"/>
      <w:bookmarkStart w:id="167" w:name="_Toc228779451"/>
      <w:bookmarkStart w:id="168" w:name="_Toc228781948"/>
      <w:bookmarkStart w:id="169" w:name="_Toc228790158"/>
      <w:bookmarkStart w:id="170" w:name="_Toc227320003"/>
      <w:bookmarkStart w:id="171" w:name="_Toc22883157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72361F">
        <w:t>Pipeline</w:t>
      </w:r>
      <w:r>
        <w:t xml:space="preserve"> Routing Philosophy</w:t>
      </w:r>
      <w:bookmarkEnd w:id="170"/>
      <w:bookmarkEnd w:id="171"/>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72" w:name="_Toc228831580"/>
      <w:r>
        <w:t>Liquid Management Strategy</w:t>
      </w:r>
      <w:bookmarkEnd w:id="172"/>
    </w:p>
    <w:p w14:paraId="2795F770" w14:textId="0FD1C6B9" w:rsidR="00F6152F" w:rsidRDefault="00F6152F" w:rsidP="0072361F">
      <w:pPr>
        <w:pStyle w:val="Heading3"/>
        <w:ind w:left="794" w:hanging="794"/>
      </w:pPr>
      <w:bookmarkStart w:id="173" w:name="_Toc228279638"/>
      <w:bookmarkStart w:id="174" w:name="_Toc228279948"/>
      <w:bookmarkStart w:id="175" w:name="_Toc228388009"/>
      <w:bookmarkStart w:id="176" w:name="_Toc228779454"/>
      <w:bookmarkStart w:id="177" w:name="_Toc228781951"/>
      <w:bookmarkStart w:id="178" w:name="_Toc228790161"/>
      <w:bookmarkStart w:id="179" w:name="_Toc228279639"/>
      <w:bookmarkStart w:id="180" w:name="_Toc228279949"/>
      <w:bookmarkStart w:id="181" w:name="_Toc228388010"/>
      <w:bookmarkStart w:id="182" w:name="_Toc228779455"/>
      <w:bookmarkStart w:id="183" w:name="_Toc228781952"/>
      <w:bookmarkStart w:id="184" w:name="_Toc228790162"/>
      <w:bookmarkStart w:id="185" w:name="_Toc228279640"/>
      <w:bookmarkStart w:id="186" w:name="_Toc228279950"/>
      <w:bookmarkStart w:id="187" w:name="_Toc228388011"/>
      <w:bookmarkStart w:id="188" w:name="_Toc228779456"/>
      <w:bookmarkStart w:id="189" w:name="_Toc228781953"/>
      <w:bookmarkStart w:id="190" w:name="_Toc228790163"/>
      <w:bookmarkStart w:id="191" w:name="_Toc228279641"/>
      <w:bookmarkStart w:id="192" w:name="_Toc228279951"/>
      <w:bookmarkStart w:id="193" w:name="_Toc228388012"/>
      <w:bookmarkStart w:id="194" w:name="_Toc228779457"/>
      <w:bookmarkStart w:id="195" w:name="_Toc228781954"/>
      <w:bookmarkStart w:id="196" w:name="_Toc228790164"/>
      <w:bookmarkStart w:id="197" w:name="_Toc228279642"/>
      <w:bookmarkStart w:id="198" w:name="_Toc228279952"/>
      <w:bookmarkStart w:id="199" w:name="_Toc228388013"/>
      <w:bookmarkStart w:id="200" w:name="_Toc228779458"/>
      <w:bookmarkStart w:id="201" w:name="_Toc228781955"/>
      <w:bookmarkStart w:id="202" w:name="_Toc228790165"/>
      <w:bookmarkStart w:id="203" w:name="_Toc228279643"/>
      <w:bookmarkStart w:id="204" w:name="_Toc228279953"/>
      <w:bookmarkStart w:id="205" w:name="_Toc228388014"/>
      <w:bookmarkStart w:id="206" w:name="_Toc228779459"/>
      <w:bookmarkStart w:id="207" w:name="_Toc228781956"/>
      <w:bookmarkStart w:id="208" w:name="_Toc228790166"/>
      <w:bookmarkStart w:id="209" w:name="_Toc228388015"/>
      <w:bookmarkStart w:id="210" w:name="_Toc228779460"/>
      <w:bookmarkStart w:id="211" w:name="_Toc228781957"/>
      <w:bookmarkStart w:id="212" w:name="_Toc228790167"/>
      <w:bookmarkStart w:id="213" w:name="_Toc228388016"/>
      <w:bookmarkStart w:id="214" w:name="_Toc228779461"/>
      <w:bookmarkStart w:id="215" w:name="_Toc228781958"/>
      <w:bookmarkStart w:id="216" w:name="_Toc228790168"/>
      <w:bookmarkStart w:id="217" w:name="_Toc228388017"/>
      <w:bookmarkStart w:id="218" w:name="_Toc228779462"/>
      <w:bookmarkStart w:id="219" w:name="_Toc228781959"/>
      <w:bookmarkStart w:id="220" w:name="_Toc228790169"/>
      <w:bookmarkStart w:id="221" w:name="_Toc228388018"/>
      <w:bookmarkStart w:id="222" w:name="_Toc228779463"/>
      <w:bookmarkStart w:id="223" w:name="_Toc228781960"/>
      <w:bookmarkStart w:id="224" w:name="_Toc228790170"/>
      <w:bookmarkStart w:id="225" w:name="_Toc228388019"/>
      <w:bookmarkStart w:id="226" w:name="_Toc228779464"/>
      <w:bookmarkStart w:id="227" w:name="_Toc228781961"/>
      <w:bookmarkStart w:id="228" w:name="_Toc228790171"/>
      <w:bookmarkStart w:id="229" w:name="_Toc228388020"/>
      <w:bookmarkStart w:id="230" w:name="_Toc228779465"/>
      <w:bookmarkStart w:id="231" w:name="_Toc228781962"/>
      <w:bookmarkStart w:id="232" w:name="_Toc228790172"/>
      <w:bookmarkStart w:id="233" w:name="_Toc228831581"/>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Pr="0072361F">
        <w:t>Upstream</w:t>
      </w:r>
      <w:r>
        <w:t xml:space="preserve"> Liquid Removal</w:t>
      </w:r>
      <w:bookmarkEnd w:id="233"/>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4" w:name="_Toc228831582"/>
      <w:r w:rsidRPr="00605E78">
        <w:t>Diameter</w:t>
      </w:r>
      <w:r>
        <w:t xml:space="preserve"> Optimization</w:t>
      </w:r>
      <w:bookmarkEnd w:id="234"/>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5" w:name="_Toc228831583"/>
      <w:r>
        <w:lastRenderedPageBreak/>
        <w:t>Receiving Facility Protection</w:t>
      </w:r>
      <w:bookmarkEnd w:id="235"/>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6" w:name="_Toc228831584"/>
      <w:r>
        <w:t>Liquid Handling and Disposal</w:t>
      </w:r>
      <w:bookmarkEnd w:id="236"/>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7" w:name="_Toc228831585"/>
      <w:r w:rsidRPr="00DD5415">
        <w:t>Pipeline Capacity and System Integration</w:t>
      </w:r>
      <w:bookmarkEnd w:id="237"/>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8" w:name="_Toc228831586"/>
      <w:r w:rsidRPr="00DD5415">
        <w:t>System Integration</w:t>
      </w:r>
      <w:bookmarkEnd w:id="238"/>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212257B5"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BBOU through an existing/planned 20” × ~8 km line to ELEP</w:t>
      </w:r>
    </w:p>
    <w:p w14:paraId="3D8B7832"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ELEP through a 28” × ~ 32 km trunkline to the Akabel Gas Processing Hub</w:t>
      </w:r>
    </w:p>
    <w:p w14:paraId="2A8EEDE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9" w:name="_Toc228831587"/>
      <w:r w:rsidRPr="00211C1B">
        <w:t>Pipeline Routing and Terrain</w:t>
      </w:r>
      <w:bookmarkEnd w:id="239"/>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40" w:name="_Toc228831588"/>
      <w:r w:rsidRPr="00211C1B">
        <w:t>Pipeline Size Decision</w:t>
      </w:r>
      <w:bookmarkEnd w:id="240"/>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41" w:name="_Toc228831589"/>
      <w:r w:rsidRPr="0018477D">
        <w:t>Metering System</w:t>
      </w:r>
      <w:bookmarkEnd w:id="241"/>
    </w:p>
    <w:p w14:paraId="1671FDA9" w14:textId="77777777" w:rsidR="00D36A08" w:rsidRDefault="00D36A08" w:rsidP="00286DB7">
      <w:pPr>
        <w:pStyle w:val="Heading3"/>
        <w:ind w:left="794" w:hanging="794"/>
      </w:pPr>
      <w:bookmarkStart w:id="242" w:name="_Toc228831590"/>
      <w:r w:rsidRPr="00B01434">
        <w:t>Wet Gas Metering (For Hydrocarbon Accounting)</w:t>
      </w:r>
      <w:bookmarkEnd w:id="242"/>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43" w:name="_Toc228831591"/>
      <w:r w:rsidRPr="005B6684">
        <w:rPr>
          <w:color w:val="000000" w:themeColor="text1"/>
        </w:rPr>
        <w:t>The Fiscal Metering system</w:t>
      </w:r>
      <w:bookmarkEnd w:id="243"/>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4" w:name="_Toc228831592"/>
      <w:r w:rsidRPr="005B6684">
        <w:rPr>
          <w:color w:val="000000" w:themeColor="text1"/>
        </w:rPr>
        <w:t>Other Metering Systems</w:t>
      </w:r>
      <w:bookmarkEnd w:id="244"/>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45" w:name="_Toc228831593"/>
      <w:r w:rsidRPr="005B6684">
        <w:rPr>
          <w:color w:val="000000" w:themeColor="text1"/>
        </w:rPr>
        <w:t>Governance &amp; Integration</w:t>
      </w:r>
      <w:bookmarkEnd w:id="245"/>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166CB" w14:textId="77777777" w:rsidR="008E08E1" w:rsidRDefault="008E08E1">
      <w:pPr>
        <w:spacing w:before="0" w:after="0" w:line="240" w:lineRule="auto"/>
      </w:pPr>
      <w:r>
        <w:separator/>
      </w:r>
    </w:p>
  </w:endnote>
  <w:endnote w:type="continuationSeparator" w:id="0">
    <w:p w14:paraId="709D2BB8" w14:textId="77777777" w:rsidR="008E08E1" w:rsidRDefault="008E08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614B" w14:textId="77777777" w:rsidR="008E08E1" w:rsidRDefault="008E08E1">
      <w:pPr>
        <w:spacing w:before="0" w:after="0" w:line="240" w:lineRule="auto"/>
      </w:pPr>
      <w:r>
        <w:separator/>
      </w:r>
    </w:p>
  </w:footnote>
  <w:footnote w:type="continuationSeparator" w:id="0">
    <w:p w14:paraId="2E87D488" w14:textId="77777777" w:rsidR="008E08E1" w:rsidRDefault="008E08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5F83A3E3"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C36874">
            <w:rPr>
              <w:rFonts w:ascii="Futura Std Book" w:hAnsi="Futura Std Book" w:cs="Arial"/>
              <w:sz w:val="22"/>
              <w:szCs w:val="22"/>
            </w:rPr>
            <w:t>7</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7"/>
  </w:num>
  <w:num w:numId="3" w16cid:durableId="814569600">
    <w:abstractNumId w:val="47"/>
  </w:num>
  <w:num w:numId="4" w16cid:durableId="161164540">
    <w:abstractNumId w:val="47"/>
  </w:num>
  <w:num w:numId="5" w16cid:durableId="1156532021">
    <w:abstractNumId w:val="47"/>
  </w:num>
  <w:num w:numId="6" w16cid:durableId="846868193">
    <w:abstractNumId w:val="47"/>
  </w:num>
  <w:num w:numId="7" w16cid:durableId="364259079">
    <w:abstractNumId w:val="47"/>
  </w:num>
  <w:num w:numId="8" w16cid:durableId="796721640">
    <w:abstractNumId w:val="47"/>
  </w:num>
  <w:num w:numId="9" w16cid:durableId="1250381754">
    <w:abstractNumId w:val="47"/>
  </w:num>
  <w:num w:numId="10" w16cid:durableId="1559054978">
    <w:abstractNumId w:val="47"/>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5"/>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3"/>
  </w:num>
  <w:num w:numId="27" w16cid:durableId="1840580378">
    <w:abstractNumId w:val="49"/>
  </w:num>
  <w:num w:numId="28" w16cid:durableId="1209142546">
    <w:abstractNumId w:val="39"/>
  </w:num>
  <w:num w:numId="29" w16cid:durableId="1073158167">
    <w:abstractNumId w:val="26"/>
  </w:num>
  <w:num w:numId="30" w16cid:durableId="792670536">
    <w:abstractNumId w:val="40"/>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2"/>
  </w:num>
  <w:num w:numId="37" w16cid:durableId="1509173380">
    <w:abstractNumId w:val="27"/>
  </w:num>
  <w:num w:numId="38" w16cid:durableId="1126776675">
    <w:abstractNumId w:val="10"/>
  </w:num>
  <w:num w:numId="39" w16cid:durableId="1751122140">
    <w:abstractNumId w:val="41"/>
  </w:num>
  <w:num w:numId="40" w16cid:durableId="1990984649">
    <w:abstractNumId w:val="38"/>
  </w:num>
  <w:num w:numId="41" w16cid:durableId="233468373">
    <w:abstractNumId w:val="8"/>
  </w:num>
  <w:num w:numId="42" w16cid:durableId="20474579">
    <w:abstractNumId w:val="35"/>
  </w:num>
  <w:num w:numId="43" w16cid:durableId="614823498">
    <w:abstractNumId w:val="50"/>
  </w:num>
  <w:num w:numId="44" w16cid:durableId="414209621">
    <w:abstractNumId w:val="21"/>
  </w:num>
  <w:num w:numId="45" w16cid:durableId="255132943">
    <w:abstractNumId w:val="14"/>
  </w:num>
  <w:num w:numId="46" w16cid:durableId="943615372">
    <w:abstractNumId w:val="20"/>
  </w:num>
  <w:num w:numId="47" w16cid:durableId="1042899275">
    <w:abstractNumId w:val="36"/>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48"/>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6"/>
  </w:num>
  <w:num w:numId="56" w16cid:durableId="142937731">
    <w:abstractNumId w:val="32"/>
  </w:num>
  <w:num w:numId="57" w16cid:durableId="1542982245">
    <w:abstractNumId w:val="44"/>
  </w:num>
  <w:num w:numId="58" w16cid:durableId="239677737">
    <w:abstractNumId w:val="22"/>
  </w:num>
  <w:num w:numId="59" w16cid:durableId="406652022">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27229"/>
    <w:rsid w:val="00040692"/>
    <w:rsid w:val="00061326"/>
    <w:rsid w:val="00061F10"/>
    <w:rsid w:val="000700A6"/>
    <w:rsid w:val="0007632E"/>
    <w:rsid w:val="000767A0"/>
    <w:rsid w:val="0009395F"/>
    <w:rsid w:val="000A5E1F"/>
    <w:rsid w:val="000A7FD4"/>
    <w:rsid w:val="000C5665"/>
    <w:rsid w:val="000C5A39"/>
    <w:rsid w:val="000D0F97"/>
    <w:rsid w:val="000E2535"/>
    <w:rsid w:val="000E3EBE"/>
    <w:rsid w:val="000F4956"/>
    <w:rsid w:val="000F6A95"/>
    <w:rsid w:val="000F6B06"/>
    <w:rsid w:val="00113BC4"/>
    <w:rsid w:val="001236FF"/>
    <w:rsid w:val="00133385"/>
    <w:rsid w:val="0013629C"/>
    <w:rsid w:val="00145820"/>
    <w:rsid w:val="001552FD"/>
    <w:rsid w:val="001578F8"/>
    <w:rsid w:val="0016333E"/>
    <w:rsid w:val="001708AB"/>
    <w:rsid w:val="00171625"/>
    <w:rsid w:val="00183489"/>
    <w:rsid w:val="0018477D"/>
    <w:rsid w:val="001A2F1A"/>
    <w:rsid w:val="001E1EA1"/>
    <w:rsid w:val="001E71A0"/>
    <w:rsid w:val="001F5C54"/>
    <w:rsid w:val="001F62FB"/>
    <w:rsid w:val="001F6B96"/>
    <w:rsid w:val="00211076"/>
    <w:rsid w:val="00211C1B"/>
    <w:rsid w:val="00217927"/>
    <w:rsid w:val="0023343D"/>
    <w:rsid w:val="00241048"/>
    <w:rsid w:val="00242E9A"/>
    <w:rsid w:val="002433E8"/>
    <w:rsid w:val="00250970"/>
    <w:rsid w:val="0026591E"/>
    <w:rsid w:val="00270869"/>
    <w:rsid w:val="00286DB7"/>
    <w:rsid w:val="002A00FE"/>
    <w:rsid w:val="002A1D7A"/>
    <w:rsid w:val="002A4699"/>
    <w:rsid w:val="002A7ED0"/>
    <w:rsid w:val="002C185A"/>
    <w:rsid w:val="002C40F7"/>
    <w:rsid w:val="002D2062"/>
    <w:rsid w:val="002E1402"/>
    <w:rsid w:val="002F27B6"/>
    <w:rsid w:val="002F5C51"/>
    <w:rsid w:val="00301446"/>
    <w:rsid w:val="003116EA"/>
    <w:rsid w:val="003248A7"/>
    <w:rsid w:val="00327BC9"/>
    <w:rsid w:val="0033059A"/>
    <w:rsid w:val="00336374"/>
    <w:rsid w:val="00337FF8"/>
    <w:rsid w:val="0034011A"/>
    <w:rsid w:val="0034616A"/>
    <w:rsid w:val="003527EA"/>
    <w:rsid w:val="0036012F"/>
    <w:rsid w:val="0036023E"/>
    <w:rsid w:val="003660CD"/>
    <w:rsid w:val="00367CD0"/>
    <w:rsid w:val="00377275"/>
    <w:rsid w:val="003A4DED"/>
    <w:rsid w:val="003B0DE0"/>
    <w:rsid w:val="003C238D"/>
    <w:rsid w:val="003D1834"/>
    <w:rsid w:val="003D371E"/>
    <w:rsid w:val="003E47D2"/>
    <w:rsid w:val="004207FC"/>
    <w:rsid w:val="00426AAA"/>
    <w:rsid w:val="004475CF"/>
    <w:rsid w:val="00494D83"/>
    <w:rsid w:val="004A1526"/>
    <w:rsid w:val="004A2A48"/>
    <w:rsid w:val="004B014F"/>
    <w:rsid w:val="004B7F6A"/>
    <w:rsid w:val="004C12DC"/>
    <w:rsid w:val="004D7486"/>
    <w:rsid w:val="004E0CF9"/>
    <w:rsid w:val="004F4721"/>
    <w:rsid w:val="00543893"/>
    <w:rsid w:val="00560254"/>
    <w:rsid w:val="00583C9D"/>
    <w:rsid w:val="005853B4"/>
    <w:rsid w:val="005A4A02"/>
    <w:rsid w:val="005B6684"/>
    <w:rsid w:val="005D04CC"/>
    <w:rsid w:val="005E5057"/>
    <w:rsid w:val="00605E78"/>
    <w:rsid w:val="006247D9"/>
    <w:rsid w:val="006325B8"/>
    <w:rsid w:val="00632840"/>
    <w:rsid w:val="00632F00"/>
    <w:rsid w:val="00633F68"/>
    <w:rsid w:val="006438B8"/>
    <w:rsid w:val="0066567D"/>
    <w:rsid w:val="006676FF"/>
    <w:rsid w:val="00670E4A"/>
    <w:rsid w:val="0067308C"/>
    <w:rsid w:val="00691176"/>
    <w:rsid w:val="006977C7"/>
    <w:rsid w:val="006B0A21"/>
    <w:rsid w:val="006C795B"/>
    <w:rsid w:val="006E7D89"/>
    <w:rsid w:val="006F647F"/>
    <w:rsid w:val="007146DE"/>
    <w:rsid w:val="00715F64"/>
    <w:rsid w:val="007221F4"/>
    <w:rsid w:val="0072361F"/>
    <w:rsid w:val="0072622D"/>
    <w:rsid w:val="00730701"/>
    <w:rsid w:val="0073249A"/>
    <w:rsid w:val="007407D5"/>
    <w:rsid w:val="0074397D"/>
    <w:rsid w:val="00743FB4"/>
    <w:rsid w:val="0075746C"/>
    <w:rsid w:val="00760516"/>
    <w:rsid w:val="007646EA"/>
    <w:rsid w:val="007A6471"/>
    <w:rsid w:val="007A7379"/>
    <w:rsid w:val="007B129E"/>
    <w:rsid w:val="007B7CF4"/>
    <w:rsid w:val="007C525F"/>
    <w:rsid w:val="007C53F7"/>
    <w:rsid w:val="007D2AA3"/>
    <w:rsid w:val="007D69FB"/>
    <w:rsid w:val="007E2557"/>
    <w:rsid w:val="008010C9"/>
    <w:rsid w:val="008607EE"/>
    <w:rsid w:val="00887C01"/>
    <w:rsid w:val="008D4DF0"/>
    <w:rsid w:val="008D7B15"/>
    <w:rsid w:val="008E0609"/>
    <w:rsid w:val="008E08E1"/>
    <w:rsid w:val="008F2998"/>
    <w:rsid w:val="009015BE"/>
    <w:rsid w:val="009036F2"/>
    <w:rsid w:val="00932D89"/>
    <w:rsid w:val="00934361"/>
    <w:rsid w:val="009451F2"/>
    <w:rsid w:val="009601D4"/>
    <w:rsid w:val="00962A5E"/>
    <w:rsid w:val="0097772C"/>
    <w:rsid w:val="00992FEF"/>
    <w:rsid w:val="0099366D"/>
    <w:rsid w:val="009A480F"/>
    <w:rsid w:val="009C1335"/>
    <w:rsid w:val="009D21A6"/>
    <w:rsid w:val="00A10547"/>
    <w:rsid w:val="00A26052"/>
    <w:rsid w:val="00A4660D"/>
    <w:rsid w:val="00A51F3C"/>
    <w:rsid w:val="00A53224"/>
    <w:rsid w:val="00A540F3"/>
    <w:rsid w:val="00A56E0B"/>
    <w:rsid w:val="00A70161"/>
    <w:rsid w:val="00A754E8"/>
    <w:rsid w:val="00A862EC"/>
    <w:rsid w:val="00A97D34"/>
    <w:rsid w:val="00AB5157"/>
    <w:rsid w:val="00AE753D"/>
    <w:rsid w:val="00AF14B6"/>
    <w:rsid w:val="00B00211"/>
    <w:rsid w:val="00B01434"/>
    <w:rsid w:val="00B02AD0"/>
    <w:rsid w:val="00B03093"/>
    <w:rsid w:val="00B30C1D"/>
    <w:rsid w:val="00B44B19"/>
    <w:rsid w:val="00B54B19"/>
    <w:rsid w:val="00B70803"/>
    <w:rsid w:val="00B80FF5"/>
    <w:rsid w:val="00B84C1C"/>
    <w:rsid w:val="00B90DC4"/>
    <w:rsid w:val="00B95394"/>
    <w:rsid w:val="00BB3204"/>
    <w:rsid w:val="00BE07B5"/>
    <w:rsid w:val="00C20634"/>
    <w:rsid w:val="00C36341"/>
    <w:rsid w:val="00C36874"/>
    <w:rsid w:val="00C4175F"/>
    <w:rsid w:val="00C419CD"/>
    <w:rsid w:val="00C47150"/>
    <w:rsid w:val="00C70391"/>
    <w:rsid w:val="00C70E13"/>
    <w:rsid w:val="00C71930"/>
    <w:rsid w:val="00C72525"/>
    <w:rsid w:val="00C7315C"/>
    <w:rsid w:val="00C77C1B"/>
    <w:rsid w:val="00C83566"/>
    <w:rsid w:val="00C83960"/>
    <w:rsid w:val="00C941DE"/>
    <w:rsid w:val="00C94D04"/>
    <w:rsid w:val="00CA20A4"/>
    <w:rsid w:val="00CB43B1"/>
    <w:rsid w:val="00CD5A96"/>
    <w:rsid w:val="00CE27B8"/>
    <w:rsid w:val="00CE3E15"/>
    <w:rsid w:val="00CF4376"/>
    <w:rsid w:val="00D02710"/>
    <w:rsid w:val="00D02AB5"/>
    <w:rsid w:val="00D04BBD"/>
    <w:rsid w:val="00D053BE"/>
    <w:rsid w:val="00D10600"/>
    <w:rsid w:val="00D23DF9"/>
    <w:rsid w:val="00D2757F"/>
    <w:rsid w:val="00D36A08"/>
    <w:rsid w:val="00D452F2"/>
    <w:rsid w:val="00D458A0"/>
    <w:rsid w:val="00D4745B"/>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5C79"/>
    <w:rsid w:val="00DF6009"/>
    <w:rsid w:val="00E04350"/>
    <w:rsid w:val="00E1487E"/>
    <w:rsid w:val="00E15194"/>
    <w:rsid w:val="00E17747"/>
    <w:rsid w:val="00E57AD3"/>
    <w:rsid w:val="00E628D6"/>
    <w:rsid w:val="00E73C1F"/>
    <w:rsid w:val="00E73E03"/>
    <w:rsid w:val="00E7467C"/>
    <w:rsid w:val="00E90F78"/>
    <w:rsid w:val="00E911FD"/>
    <w:rsid w:val="00E94D7D"/>
    <w:rsid w:val="00E97B2C"/>
    <w:rsid w:val="00EA2D74"/>
    <w:rsid w:val="00EA5FD0"/>
    <w:rsid w:val="00EB326B"/>
    <w:rsid w:val="00EC7347"/>
    <w:rsid w:val="00ED5BF8"/>
    <w:rsid w:val="00ED6D9B"/>
    <w:rsid w:val="00EE2D52"/>
    <w:rsid w:val="00EE6F27"/>
    <w:rsid w:val="00EF0185"/>
    <w:rsid w:val="00EF25B1"/>
    <w:rsid w:val="00F034E2"/>
    <w:rsid w:val="00F059C6"/>
    <w:rsid w:val="00F20312"/>
    <w:rsid w:val="00F27287"/>
    <w:rsid w:val="00F3196D"/>
    <w:rsid w:val="00F518B5"/>
    <w:rsid w:val="00F6152F"/>
    <w:rsid w:val="00F62D7C"/>
    <w:rsid w:val="00F641AA"/>
    <w:rsid w:val="00F71F1B"/>
    <w:rsid w:val="00F84461"/>
    <w:rsid w:val="00FA6934"/>
    <w:rsid w:val="00FB631B"/>
    <w:rsid w:val="00FB67A5"/>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96</TotalTime>
  <Pages>43</Pages>
  <Words>8651</Words>
  <Characters>49316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57852</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4</cp:revision>
  <cp:lastPrinted>2026-05-04T16:38:00Z</cp:lastPrinted>
  <dcterms:created xsi:type="dcterms:W3CDTF">2026-05-10T14:01:00Z</dcterms:created>
  <dcterms:modified xsi:type="dcterms:W3CDTF">2026-05-10T16:33:00Z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