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exercise-2-adding-new-variables"/>
    <w:p>
      <w:pPr>
        <w:pStyle w:val="Heading2"/>
      </w:pPr>
      <w:r>
        <w:t xml:space="preserve">Exercise 2: Adding new variables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Mac Users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dding-new-analysis"/>
    <w:p>
      <w:pPr>
        <w:pStyle w:val="Heading2"/>
      </w:pPr>
      <w:r>
        <w:t xml:space="preserve">Exercise 3: Adding new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2023-12-08T06:46:19Z</dcterms:created>
  <dcterms:modified xsi:type="dcterms:W3CDTF">2023-12-08T06:46:19Z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