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2019-12-06</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The raw water quality data contains 522 observations and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based on the principles of</w:t>
      </w:r>
      <w:r>
        <w:t xml:space="preserve"> </w:t>
      </w:r>
      <w:r>
        <w:t xml:space="preserve">‘</w:t>
      </w:r>
      <w:r>
        <w:t xml:space="preserve">tidy</w:t>
      </w:r>
      <w:r>
        <w:t xml:space="preserve">’</w:t>
      </w:r>
      <w:r>
        <w:t xml:space="preserve"> </w:t>
      </w:r>
      <w:r>
        <w:t xml:space="preserve">data</w:t>
      </w:r>
      <w:r>
        <w:t xml:space="preserve">(Wickham, 2014)</w:t>
      </w:r>
      <w:r>
        <w:t xml:space="preserve">.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 Comparisons were evaluated visually and through the usage of a Welch’s two-sample t-test to determine if the citizen science data was significantlly different from the FKNMS data.</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259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259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259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259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259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4587290" cy="366983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4587290" cy="366983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4587290" cy="366983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4587290" cy="366983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4587290" cy="366983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4587290" cy="366983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4587290" cy="366983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4587290" cy="366983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4587290" cy="366983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5334000" cy="329259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259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259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259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259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BodyText"/>
      </w:pPr>
      <w:r>
        <w:t xml:space="preserve">Water quality measures from each sampling site were compared using a Welch’s two-sample t-test to determine if there were any significant differences between the citizen science and FKNMS data. Ammonia was significantly different for all of the sampling locations of interest. Salinity was significantly different in the comparisons of Grecian Dry Rocks and Tarpon Basin. Dissolved oxygen and water temperature were significantly different in the comparisons of Key Largo Dry Rocks and Rodriguez Key respectively.</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strong bias towards reduced ammonia levels. These findings are consistent with the results of the comparative t-tests between the two variables. These two discrepancies are likely due to the technological sensitivity of the materials used to collect data between the two programs. The ubiquitous significance of ammonia measures suggests that there is a need to improve the testing and/or instrumentation used to evaluate this parameter in the citizen science program.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titled</w:t>
      </w:r>
      <w:r>
        <w:t xml:space="preserve"> </w:t>
      </w:r>
      <w:r>
        <w:rPr>
          <w:i/>
        </w:rPr>
        <w:t xml:space="preserve">Supplementary_Materials.Rmd</w:t>
      </w:r>
      <w:r>
        <w:t xml:space="preserve"> </w:t>
      </w:r>
      <w:r>
        <w:t xml:space="preserve">located within</w:t>
      </w:r>
      <w:r>
        <w:t xml:space="preserve"> </w:t>
      </w:r>
      <w:r>
        <w:rPr>
          <w:i/>
        </w:rPr>
        <w:t xml:space="preserve">products</w:t>
      </w:r>
      <w:r>
        <w:t xml:space="preserve"> </w:t>
      </w:r>
      <w:r>
        <w:t xml:space="preserve">folder and</w:t>
      </w:r>
      <w:r>
        <w:t xml:space="preserve"> </w:t>
      </w:r>
      <w:r>
        <w:rPr>
          <w:i/>
        </w:rPr>
        <w:t xml:space="preserve">manuscript</w:t>
      </w:r>
      <w:r>
        <w:t xml:space="preserve"> </w:t>
      </w:r>
      <w:r>
        <w:t xml:space="preserve">subfolder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BodyText"/>
      </w:pPr>
      <w:r>
        <w:t xml:space="preserve">Additional information about the MarineLab environmental education and monitoring program can be found at:</w:t>
      </w:r>
      <w:r>
        <w:t xml:space="preserve"> </w:t>
      </w:r>
      <w:hyperlink r:id="rId76">
        <w:r>
          <w:rPr>
            <w:rStyle w:val="Hyperlink"/>
          </w:rPr>
          <w:t xml:space="preserve">https://www.marinelab.org/</w:t>
        </w:r>
      </w:hyperlink>
      <w:r>
        <w:t xml:space="preserve">.</w:t>
      </w:r>
    </w:p>
    <w:p>
      <w:pPr>
        <w:pStyle w:val="Heading1"/>
      </w:pPr>
      <w:bookmarkStart w:id="77" w:name="references"/>
      <w:r>
        <w:t xml:space="preserve">References</w:t>
      </w:r>
      <w:bookmarkEnd w:id="77"/>
    </w:p>
    <w:bookmarkStart w:id="99" w:name="refs"/>
    <w:bookmarkStart w:id="78"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8"/>
    <w:bookmarkStart w:id="79"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9"/>
    <w:bookmarkStart w:id="80"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80"/>
    <w:bookmarkStart w:id="81"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1"/>
    <w:bookmarkStart w:id="82"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2"/>
    <w:bookmarkStart w:id="83"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3"/>
    <w:bookmarkStart w:id="84"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4"/>
    <w:bookmarkStart w:id="85"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5"/>
    <w:bookmarkStart w:id="86"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6"/>
    <w:bookmarkStart w:id="87"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7"/>
    <w:bookmarkStart w:id="88"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8"/>
    <w:bookmarkStart w:id="89"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9"/>
    <w:bookmarkStart w:id="90"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90"/>
    <w:bookmarkStart w:id="91"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1"/>
    <w:bookmarkStart w:id="92"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2"/>
    <w:bookmarkStart w:id="93"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3"/>
    <w:bookmarkStart w:id="94"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4"/>
    <w:bookmarkStart w:id="95"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5"/>
    <w:bookmarkStart w:id="96"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6"/>
    <w:bookmarkStart w:id="97" w:name="ref-Wickham2014"/>
    <w:p>
      <w:pPr>
        <w:pStyle w:val="Bibliography"/>
      </w:pPr>
      <w:r>
        <w:t xml:space="preserve">Wickham, H. (2014). Tidy data.</w:t>
      </w:r>
      <w:r>
        <w:t xml:space="preserve"> </w:t>
      </w:r>
      <w:r>
        <w:rPr>
          <w:i/>
        </w:rPr>
        <w:t xml:space="preserve">Journal of Statistical Software</w:t>
      </w:r>
      <w:r>
        <w:t xml:space="preserve">,</w:t>
      </w:r>
      <w:r>
        <w:t xml:space="preserve"> </w:t>
      </w:r>
      <w:r>
        <w:rPr>
          <w:i/>
        </w:rPr>
        <w:t xml:space="preserve">59</w:t>
      </w:r>
      <w:r>
        <w:t xml:space="preserve">(10), 1–23.</w:t>
      </w:r>
    </w:p>
    <w:bookmarkEnd w:id="97"/>
    <w:bookmarkStart w:id="98"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 Type="http://schemas.openxmlformats.org/officeDocument/2006/relationships/hyperlink" Id="rId76" Target="https://www.marinelab.org/"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 Type="http://schemas.openxmlformats.org/officeDocument/2006/relationships/hyperlink" Id="rId76" Target="https://www.marinelab.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2019-12-06T23:30:43Z</dcterms:created>
  <dcterms:modified xsi:type="dcterms:W3CDTF">2019-12-06T23:30:43Z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2019-12-06</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