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1.png" ContentType="image/png"/>
  <Override PartName="/word/media/rId42.png" ContentType="image/png"/>
  <Override PartName="/word/media/rId47.png" ContentType="image/png"/>
  <Override PartName="/word/media/rId48.png" ContentType="image/png"/>
  <Override PartName="/word/media/rId51.png" ContentType="image/png"/>
  <Override PartName="/word/media/rId50.png" ContentType="image/png"/>
  <Override PartName="/word/media/rId44.png" ContentType="image/png"/>
  <Override PartName="/word/media/rId36.png" ContentType="image/png"/>
  <Override PartName="/word/media/rId34.png" ContentType="image/png"/>
  <Override PartName="/word/media/rId43.png" ContentType="image/png"/>
  <Override PartName="/word/media/rId35.png" ContentType="image/png"/>
  <Override PartName="/word/media/rId46.png" ContentType="image/png"/>
  <Override PartName="/word/media/rId39.png" ContentType="image/png"/>
  <Override PartName="/word/media/rId38.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2019-12-02</w:t>
      </w:r>
    </w:p>
    <w:p>
      <w:pPr>
        <w:pStyle w:val="Heading1"/>
      </w:pPr>
      <w:bookmarkStart w:id="20" w:name="summaryabstract"/>
      <w:r>
        <w:t xml:space="preserve">Summary/Abstract</w:t>
      </w:r>
      <w:bookmarkEnd w:id="20"/>
    </w:p>
    <w:p>
      <w:pPr>
        <w:pStyle w:val="FirstParagraph"/>
      </w:pPr>
      <w:r>
        <w:t xml:space="preserve">Harmful Algal Blooms (HABs) are an emerging concern for ecosystem and human health. Little is known about the influence of these HAB events on</w:t>
      </w:r>
      <w:r>
        <w:t xml:space="preserve"> </w:t>
      </w:r>
      <w:r>
        <w:rPr>
          <w:i/>
        </w:rPr>
        <w:t xml:space="preserve">Vibrio</w:t>
      </w:r>
      <w:r>
        <w:t xml:space="preserve"> </w:t>
      </w:r>
      <w:r>
        <w:t xml:space="preserve">dynamics in Florida’s estuaries. The</w:t>
      </w:r>
      <w:r>
        <w:t xml:space="preserve"> </w:t>
      </w:r>
      <w:r>
        <w:t xml:space="preserve">“</w:t>
      </w:r>
      <w:r>
        <w:t xml:space="preserve">Omics</w:t>
      </w:r>
      <w:r>
        <w:t xml:space="preserve">”</w:t>
      </w:r>
      <w:r>
        <w:t xml:space="preserve"> </w:t>
      </w:r>
      <w:r>
        <w:t xml:space="preserve">revolution has improved the resolution and scale by which researchers investigate the complex interactions between</w:t>
      </w:r>
      <w:r>
        <w:t xml:space="preserve"> </w:t>
      </w:r>
      <w:r>
        <w:rPr>
          <w:i/>
        </w:rPr>
        <w:t xml:space="preserve">Vibrio</w:t>
      </w:r>
      <w:r>
        <w:t xml:space="preserve"> </w:t>
      </w:r>
      <w:r>
        <w:t xml:space="preserve">bacteria and algae in natural waters. 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(Greenfield et al., 2017; Kazamia, Helliwell, Purton, &amp; Smith, 2016)</w:t>
      </w:r>
      <w:r>
        <w:t xml:space="preserve">.</w:t>
      </w:r>
    </w:p>
    <w:p>
      <w:pPr>
        <w:pStyle w:val="BodyText"/>
      </w:pPr>
      <w:r>
        <w:t xml:space="preserve">Bacteria are increasingly recognized for their role in modulating HAB bloom dynamics</w:t>
      </w:r>
      <w:r>
        <w:t xml:space="preserve"> </w:t>
      </w:r>
      <w:r>
        <w:t xml:space="preserve">(Cooper, Smith, Paszkowski, &amp; Scott, 2015; Jones, Mikulski, Barnhorst, &amp; Doucette, 2010; Laura B. Fandino, Lasse Riemann, Grieg F. Steward, Richard A. Long, 2001; Ramanan, Kim, Cho, Oh, &amp; Kim, 2016; Seong &amp; Jeong, 2013; Zhou et al., 2018)</w:t>
      </w:r>
      <w:r>
        <w:t xml:space="preserve">. Similarly, algal blooms have been found to affect the activity of aquatic bacteria.</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dyanamics</w:t>
      </w:r>
      <w:r>
        <w:t xml:space="preserve"> </w:t>
      </w:r>
      <w:r>
        <w:t xml:space="preserve">(Greenfield et al., 2017; Main, Salvitti, Whereat, &amp; Coyne, 2015)</w:t>
      </w:r>
      <w:r>
        <w:t xml:space="preserve">.Rapid algal growth may provide substrates and surfaces that stimulate</w:t>
      </w:r>
      <w:r>
        <w:t xml:space="preserve"> </w:t>
      </w:r>
      <w:r>
        <w:rPr>
          <w:i/>
        </w:rPr>
        <w:t xml:space="preserve">Vibrio</w:t>
      </w:r>
      <w:r>
        <w:t xml:space="preserve"> </w:t>
      </w:r>
      <w:r>
        <w:t xml:space="preserve">growth</w:t>
      </w:r>
      <w:r>
        <w:t xml:space="preserve"> </w:t>
      </w:r>
      <w:r>
        <w:t xml:space="preserve">(Main et al., 2015)</w:t>
      </w:r>
      <w:r>
        <w:t xml:space="preserve">.</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(Kang, Koch, &amp; Gobler, 2015; Oehrle, Rodriguez-Matos, Cartamil, Zavala, &amp; Rein, 2017; Phlips, Badylak, &amp; Grosskopf, 2002)</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environemntal variables. I am hoping to use this project as an opportunity to examine our data with these variables. With a reproducible analysis, I am hopeful that we can collect and analyze our data when a bloom event arises.</w:t>
      </w:r>
    </w:p>
    <w:p>
      <w:pPr>
        <w:pStyle w:val="Heading2"/>
      </w:pPr>
      <w:bookmarkStart w:id="23" w:name="description-of-data-and-data-source"/>
      <w:r>
        <w:t xml:space="preserve">Description of data and data source</w:t>
      </w:r>
      <w:bookmarkEnd w:id="23"/>
    </w:p>
    <w:p>
      <w:pPr>
        <w:pStyle w:val="FirstParagraph"/>
      </w:pPr>
      <w:r>
        <w:t xml:space="preserve">The primary data shared here was collected during our 2019 field season. During this field season, surface water samples were collected from the Northern Indian River Lagoon and the St. Lucie Estuary, along Florida’s eastern coast. Weekly samples were collected between June 5, 2019 and July 30, 2019. Environemntal variables were measured at the time of sampling. Samples were processed to enumerate</w:t>
      </w:r>
      <w:r>
        <w:t xml:space="preserve"> </w:t>
      </w:r>
      <w:r>
        <w:rPr>
          <w:i/>
        </w:rPr>
        <w:t xml:space="preserve">Vibrio</w:t>
      </w:r>
      <w:r>
        <w:t xml:space="preserve"> </w:t>
      </w:r>
      <w:r>
        <w:t xml:space="preserve">bacteria from water samples.</w:t>
      </w:r>
    </w:p>
    <w:p>
      <w:pPr>
        <w:pStyle w:val="BodyText"/>
      </w:pPr>
      <w:r>
        <w:t xml:space="preserve">We will also include here environmental variables measured or predicted by other agencies. This data includes information on aerosol deposition (dust data), precipitation, and surface water flow.</w:t>
      </w:r>
    </w:p>
    <w:p>
      <w:pPr>
        <w:pStyle w:val="Heading2"/>
      </w:pPr>
      <w:bookmarkStart w:id="24" w:name="questionshypotheses-to-be-addressed"/>
      <w:r>
        <w:t xml:space="preserve">Questions/Hypotheses to be addressed</w:t>
      </w:r>
      <w:bookmarkEnd w:id="24"/>
    </w:p>
    <w:p>
      <w:pPr>
        <w:pStyle w:val="FirstParagraph"/>
      </w:pPr>
      <w:r>
        <w:t xml:space="preserve">Broadly, we aim to examine the associations between</w:t>
      </w:r>
      <w:r>
        <w:t xml:space="preserve"> </w:t>
      </w:r>
      <w:r>
        <w:rPr>
          <w:i/>
        </w:rPr>
        <w:t xml:space="preserve">Vibrio</w:t>
      </w:r>
      <w:r>
        <w:t xml:space="preserve"> </w:t>
      </w:r>
      <w:r>
        <w:t xml:space="preserve">spp. and harfmul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 Microcystis aeruginosa. Microcystis thrives in freshwaters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alagl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environemntal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 We predict that</w:t>
      </w:r>
      <w:r>
        <w:t xml:space="preserve"> </w:t>
      </w:r>
      <w:r>
        <w:rPr>
          <w:i/>
        </w:rPr>
        <w:t xml:space="preserve">Vibrio</w:t>
      </w:r>
      <w:r>
        <w:t xml:space="preserve"> </w:t>
      </w:r>
      <w:r>
        <w:t xml:space="preserve">populations increase with warmer temperatures and with salinity.</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5" w:name="methods"/>
      <w:r>
        <w:t xml:space="preserve">Methods</w:t>
      </w:r>
      <w:bookmarkEnd w:id="25"/>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seperate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Novel NGS sequencing of the</w:t>
      </w:r>
      <w:r>
        <w:t xml:space="preserve"> </w:t>
      </w:r>
      <w:r>
        <w:rPr>
          <w:i/>
        </w:rPr>
        <w:t xml:space="preserve">Vibrio</w:t>
      </w:r>
      <w:r>
        <w:t xml:space="preserve"> </w:t>
      </w:r>
      <w:r>
        <w:t xml:space="preserve">heat shock protein 60 (hsp60) will be sequenced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 analyze the phytoplankton community.</w:t>
      </w:r>
    </w:p>
    <w:p>
      <w:pPr>
        <w:pStyle w:val="Heading2"/>
      </w:pPr>
      <w:bookmarkStart w:id="26" w:name="data-aquisition"/>
      <w:r>
        <w:t xml:space="preserve">Data Aquisition</w:t>
      </w:r>
      <w:bookmarkEnd w:id="26"/>
    </w:p>
    <w:p>
      <w:pPr>
        <w:pStyle w:val="FirstParagraph"/>
      </w:pPr>
      <w:r>
        <w:t xml:space="preserve">Daily averages for aerosol optical depth (AOD) were obtained from</w:t>
      </w:r>
      <w:r>
        <w:t xml:space="preserve"> </w:t>
      </w:r>
      <w:hyperlink r:id="rId27">
        <w:r>
          <w:rPr>
            <w:rStyle w:val="Hyperlink"/>
          </w:rPr>
          <w:t xml:space="preserve">AERONET Version 3</w:t>
        </w:r>
      </w:hyperlink>
      <w:r>
        <w:t xml:space="preserve">. The AOD values were obtained for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8">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29">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0" w:name="data-import-and-cleaning"/>
      <w:r>
        <w:t xml:space="preserve">Data Import and Cleaning</w:t>
      </w:r>
      <w:bookmarkEnd w:id="30"/>
    </w:p>
    <w:p>
      <w:pPr>
        <w:pStyle w:val="FirstParagraph"/>
      </w:pPr>
      <w:r>
        <w:t xml:space="preserve">Water quality paramters and</w:t>
      </w:r>
      <w:r>
        <w:t xml:space="preserve"> </w:t>
      </w:r>
      <w:r>
        <w:rPr>
          <w:i/>
        </w:rPr>
        <w:t xml:space="preserve">Vibrio</w:t>
      </w:r>
      <w:r>
        <w:t xml:space="preserve"> </w:t>
      </w:r>
      <w:r>
        <w:t xml:space="preserve">counts were recorded as data was collected.Daily averages for aerosol optical depth (AOD) were obtained from</w:t>
      </w:r>
      <w:r>
        <w:t xml:space="preserve"> </w:t>
      </w:r>
      <w:hyperlink r:id="rId27">
        <w:r>
          <w:rPr>
            <w:rStyle w:val="Hyperlink"/>
          </w:rPr>
          <w:t xml:space="preserve">AERONET Version 3</w:t>
        </w:r>
      </w:hyperlink>
      <w:r>
        <w:t xml:space="preserve"> </w:t>
      </w:r>
      <w:r>
        <w:t xml:space="preserve">on 9/12/2019. Daily averages of precipitation were obtained from</w:t>
      </w:r>
      <w:r>
        <w:t xml:space="preserve"> </w:t>
      </w:r>
      <w:hyperlink r:id="rId29">
        <w:r>
          <w:rPr>
            <w:rStyle w:val="Hyperlink"/>
          </w:rPr>
          <w:t xml:space="preserve">U.S. Climate Data</w:t>
        </w:r>
      </w:hyperlink>
      <w:r>
        <w:t xml:space="preserve"> </w:t>
      </w:r>
      <w:r>
        <w:t xml:space="preserve">on 11/13/2019.</w:t>
      </w:r>
    </w:p>
    <w:p>
      <w:pPr>
        <w:pStyle w:val="BodyText"/>
      </w:pPr>
      <w:r>
        <w:t xml:space="preserve">Over the course of this study, 144 water samples were collected from eastern Florida. Water samples were collected in triplicate from six sample locations (IRL 1, IRL 2, IRL 3, SLE 1, SLE 2, SLE 3), during eight weekly sampling events.</w:t>
      </w:r>
    </w:p>
    <w:p>
      <w:pPr>
        <w:pStyle w:val="BodyText"/>
      </w:pPr>
      <w:r>
        <w:t xml:space="preserve">The IRL and SLE Vibrio count data sets each include 72 observations of Vibrio colonies enumerated from TCBS plates during the length of this study. Triplicates were averaged, resulting in a total of 24 observations in each data set.</w:t>
      </w:r>
    </w:p>
    <w:p>
      <w:pPr>
        <w:pStyle w:val="BodyText"/>
      </w:pPr>
      <w:r>
        <w:t xml:space="preserve">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BodyText"/>
      </w:pPr>
      <w:r>
        <w:t xml:space="preserve">#Results</w:t>
      </w:r>
    </w:p>
    <w:p>
      <w:pPr>
        <w:pStyle w:val="Heading2"/>
      </w:pPr>
      <w:bookmarkStart w:id="31" w:name="univariate-analysis"/>
      <w:r>
        <w:t xml:space="preserve">Univariate Analysis</w:t>
      </w:r>
      <w:bookmarkEnd w:id="31"/>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varaibles in the IRL and SLE between June 5, 2019 and July 31, 2019.</w:t>
      </w:r>
      <w:r>
        <w:t xml:space="preserve"> </w:t>
      </w:r>
      <w:r>
        <w:rPr>
          <w:i/>
        </w:rPr>
        <w:t xml:space="preserve">Vibrio</w:t>
      </w:r>
      <w:r>
        <w:t xml:space="preserve"> </w:t>
      </w:r>
      <w:r>
        <w:t xml:space="preserve">was enumerated from two estuaries on Florida’s east coast, over a period of eight weeks (</w:t>
      </w:r>
      <w:r>
        <w:t xml:space="preserve">).</w:t>
      </w:r>
    </w:p>
    <w:p>
      <w:pPr>
        <w:pStyle w:val="CaptionedFigure"/>
      </w:pPr>
      <w:r>
        <w:drawing>
          <wp:inline>
            <wp:extent cx="5334000" cy="5334000"/>
            <wp:effectExtent b="0" l="0" r="0" t="0"/>
            <wp:docPr descr="Figure 1: Enumeration of Vibrio spp. from the Indian River Lagoon and St. Lucie Estuary. Samples were collected between June 5, 2019 and July 30, 2019. Vibrio was enumerated on TCBS plates." title="" id="1" name="Picture"/>
            <a:graphic>
              <a:graphicData uri="http://schemas.openxmlformats.org/drawingml/2006/picture">
                <pic:pic>
                  <pic:nvPicPr>
                    <pic:cNvPr descr="../../results/all/all_Vibrio2.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from the Indian River Lagoon and St. Lucie Estuary. Samples were collected between June 5, 2019 and July 30, 2019.</w:t>
      </w:r>
      <w:r>
        <w:t xml:space="preserve"> </w:t>
      </w:r>
      <w:r>
        <w:rPr>
          <w:i/>
        </w:rPr>
        <w:t xml:space="preserve">Vibrio</w:t>
      </w:r>
      <w:r>
        <w:t xml:space="preserve"> </w:t>
      </w:r>
      <w:r>
        <w:t xml:space="preserve">was enumerated on TCBS plates.</w:t>
      </w:r>
    </w:p>
    <w:p>
      <w:pPr>
        <w:pStyle w:val="Heading2"/>
      </w:pPr>
      <w:bookmarkStart w:id="33" w:name="indian-river-lagoon"/>
      <w:r>
        <w:t xml:space="preserve">Indian River Lagoon</w:t>
      </w:r>
      <w:bookmarkEnd w:id="33"/>
    </w:p>
    <w:p>
      <w:pPr>
        <w:pStyle w:val="FirstParagraph"/>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Results from the Shapiro-Wilk test for normality suggest that the</w:t>
      </w:r>
      <w:r>
        <w:t xml:space="preserve"> </w:t>
      </w:r>
      <w:r>
        <w:rPr>
          <w:i/>
        </w:rPr>
        <w:t xml:space="preserve">Vibrio</w:t>
      </w:r>
      <w:r>
        <w:t xml:space="preserve"> </w:t>
      </w:r>
      <w:r>
        <w:t xml:space="preserve">counts from the IRL do not follow a normal distribution (p = 1.52 x 10^-7. Typically, counts will follow a normal distribution following log transformation. However, the Vibrio counts from the IRL do not follow a normal distribution when log-trnasformed (p = 3.04 x 10^-2).</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8.09 x 10^-15). When log-transformed, the AOD can be assumed to follow a normal distribution (p = 5.52 x 10^-1).</w:t>
      </w:r>
    </w:p>
    <w:p>
      <w:pPr>
        <w:pStyle w:val="BodyText"/>
      </w:pPr>
      <w:r>
        <w:t xml:space="preserve">Salinity in the IRL ranged between 18 ppt and 30 ppt during this study period. Results from the Shapiro-Wilk test for normality suggest that salinity in the IRL does follow a normal distribution (p = 2.21 x 10^-1). The salinity was distinctly different between the three IRL sampling locations (One-way ANOVA, p = 1.12 x 10^-4). At IRL 1, the average salnity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1.37 x 10^-1), and the pH is not distinctly different between the three locations (One-way ANOVA, p = 4.46 x 10^-1). The pH appeared to peak at all three sampling locations on July 15, 2019. The pH declined at location IRL 1 to 7.61 on July 29, 2019. This was the lowest pH observed in the IRL over the course of this study and correspondeds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precipition in the IRL during this study period.</w:t>
      </w:r>
    </w:p>
    <w:p>
      <w:pPr>
        <w:pStyle w:val="BodyText"/>
      </w:pPr>
      <w:r>
        <w:t xml:space="preserve">The average water temperature in the IRL was 30.10 and ranged from 26.3 C to 35.3 C. The water temperature is normally distributed (Shapiro-Wilk, 8.09 x 10^-1) and does not differ significantly between sampling locations (One-way ANOVA, 4.00 x 10^-1). The water temperature peaked at all three locations on July 15, 2019.</w:t>
      </w:r>
    </w:p>
    <w:p>
      <w:pPr>
        <w:pStyle w:val="CaptionedFigure"/>
      </w:pPr>
      <w:r>
        <w:drawing>
          <wp:inline>
            <wp:extent cx="5334000" cy="5334000"/>
            <wp:effectExtent b="0" l="0" r="0" t="0"/>
            <wp:docPr descr="Figure 2: Enumeration of Vibrio spp. and environmental variables over time in the IRL. Water quality parameters salinity, pH, and water temperature were determined in field using refractometer and YSI sonde. Aerosol optical density (AOD at 1020nm) was determined by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environmental variables over time in the IRL. Water quality parameters salinity, pH, and water temperature were determined in field using refractometer and YSI sonde. Aerosol optical density (AOD at 1020nm) was determined by Aeronet Station at KSC.</w:t>
      </w:r>
    </w:p>
    <w:p>
      <w:pPr>
        <w:pStyle w:val="BodyText"/>
      </w:pPr>
      <w:r>
        <w:t xml:space="preserve">Water quality parameters appeared to follow a distinct pattern of fluxuating conditions, as though they were tidally influenced; however, this estuary is not influenced by tidal mixing. Examining the time of sampling in the IRL, it appears that time of sample collection fluxuates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w:t>
      </w:r>
    </w:p>
    <w:p>
      <w:pPr>
        <w:pStyle w:val="CaptionedFigure"/>
      </w:pPr>
      <w:r>
        <w:drawing>
          <wp:inline>
            <wp:extent cx="3669832" cy="3669832"/>
            <wp:effectExtent b="0" l="0" r="0" t="0"/>
            <wp:docPr descr="Figure 3: Time of sample collection from IRL 1, IRL 2, and IRL 3 between June 10 and July 29, 2019." title="" id="1" name="Picture"/>
            <a:graphic>
              <a:graphicData uri="http://schemas.openxmlformats.org/drawingml/2006/picture">
                <pic:pic>
                  <pic:nvPicPr>
                    <pic:cNvPr descr="../../results/irl/irl_sample_time.png" id="0" name="Picture"/>
                    <pic:cNvPicPr>
                      <a:picLocks noChangeArrowheads="1" noChangeAspect="1"/>
                    </pic:cNvPicPr>
                  </pic:nvPicPr>
                  <pic:blipFill>
                    <a:blip r:embed="rId35"/>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3: Time of sample collection from IRL 1, IRL 2, and IRL 3 between June 10 and July 29, 2019.</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CaptionedFigure"/>
      </w:pPr>
      <w:r>
        <w:drawing>
          <wp:inline>
            <wp:extent cx="5334000" cy="5334000"/>
            <wp:effectExtent b="0" l="0" r="0" t="0"/>
            <wp:docPr descr="Figure 4: Abundance of Vibrio spp. and Aeorosol Optical Density in the IRL" title="" id="1" name="Picture"/>
            <a:graphic>
              <a:graphicData uri="http://schemas.openxmlformats.org/drawingml/2006/picture">
                <pic:pic>
                  <pic:nvPicPr>
                    <pic:cNvPr descr="../../results/irl/irl_dust_vibrio.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Abundance of Vibrio spp. and Aeorosol Optical Density in the IRL</w:t>
      </w:r>
    </w:p>
    <w:p>
      <w:pPr>
        <w:pStyle w:val="Heading2"/>
      </w:pPr>
      <w:bookmarkStart w:id="37" w:name="st.-lucie-estuary"/>
      <w:r>
        <w:t xml:space="preserve">St. Lucie Estuary</w:t>
      </w:r>
      <w:bookmarkEnd w:id="37"/>
    </w:p>
    <w:p>
      <w:pPr>
        <w:pStyle w:val="FirstParagraph"/>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 7.10 x 10^-7, but do follow a normal distribution when log-trnasformed (p = 4.06 x 10^-1). The enumeration of total Vibrio does not differ between sampling locations in the SLE (One-way ANOVA, p = 2.81 x 10^-1).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 2.00 x 10^-5). When log-transformed, the AOD can be assumed to follow a normal distribution (p = 2.23 x 10^-1).</w:t>
      </w:r>
    </w:p>
    <w:p>
      <w:pPr>
        <w:pStyle w:val="BodyText"/>
      </w:pPr>
      <w:r>
        <w:t xml:space="preserve">Salinity in the SLE follows a normal distribution (Shapiro-Wilk, p = 1.19 X 10^-1), but average salinity is significantly different between the three sampling locations (One-way ANOVA, p = 8.53 x 10^-7). At SLE 1, the average salnity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0.91 x 10^-1), and the pH is not distinctly different between the three locations (One-way ANOVA, p = 1.15 x 10^-1).</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precipition in the SLE durin gthis study period.</w:t>
      </w:r>
    </w:p>
    <w:p>
      <w:pPr>
        <w:pStyle w:val="BodyText"/>
      </w:pPr>
      <w:r>
        <w:t xml:space="preserve">The average water temperature in the SLE was 30.02 and ranged from 27.76 C to 33.43 C. The water temperature is normally distributed (Shapiro-Wilk, 3.54 x 10^-1) and does not differ significantly between sampling locations (One-way ANOVA, 8.19 x 10^-2).</w:t>
      </w:r>
    </w:p>
    <w:p>
      <w:pPr>
        <w:pStyle w:val="CaptionedFigure"/>
      </w:pPr>
      <w:r>
        <w:drawing>
          <wp:inline>
            <wp:extent cx="5334000" cy="5334000"/>
            <wp:effectExtent b="0" l="0" r="0" t="0"/>
            <wp:docPr descr="Figure 5: Enumeration of Vibrio 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CaptionedFigure"/>
      </w:pPr>
      <w:r>
        <w:drawing>
          <wp:inline>
            <wp:extent cx="5334000" cy="5334000"/>
            <wp:effectExtent b="0" l="0" r="0" t="0"/>
            <wp:docPr descr="Figure 6: Abundance of Vibrio spp. and aeorosol optical density in the SLE" title="" id="1" name="Picture"/>
            <a:graphic>
              <a:graphicData uri="http://schemas.openxmlformats.org/drawingml/2006/picture">
                <pic:pic>
                  <pic:nvPicPr>
                    <pic:cNvPr descr="../../results/sle/sle_dust_vibrio.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Abundance of Vibrio spp. and aeorosol optical density in the SLE</w:t>
      </w:r>
    </w:p>
    <w:p>
      <w:pPr>
        <w:pStyle w:val="Heading2"/>
      </w:pPr>
      <w:bookmarkStart w:id="40" w:name="bivariate-analysis"/>
      <w:r>
        <w:t xml:space="preserve">Bivariate Analysis</w:t>
      </w:r>
      <w:bookmarkEnd w:id="40"/>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w:t>
      </w:r>
      <w:r>
        <w:t xml:space="preserve">) and (</w:t>
      </w:r>
      <w:r>
        <w:t xml:space="preserve">) 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corrlations between air temperature and precipitation and between water temperature and salinity. These relationshipships have natural relationships. The relationship between AOD and precipitation, however, is not as logical.</w:t>
      </w:r>
    </w:p>
    <w:p>
      <w:pPr>
        <w:pStyle w:val="CaptionedFigure"/>
      </w:pPr>
      <w:r>
        <w:drawing>
          <wp:inline>
            <wp:extent cx="5334000" cy="5334000"/>
            <wp:effectExtent b="0" l="0" r="0" t="0"/>
            <wp:docPr descr="Figure 7: Correlation between Vibrio abundance and environmental variables."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Correlation between</w:t>
      </w:r>
      <w:r>
        <w:t xml:space="preserve"> </w:t>
      </w:r>
      <w:r>
        <w:rPr>
          <w:i/>
        </w:rPr>
        <w:t xml:space="preserve">Vibrio</w:t>
      </w:r>
      <w:r>
        <w:t xml:space="preserve"> </w:t>
      </w:r>
      <w:r>
        <w:t xml:space="preserve">abundance and environmental variables.</w:t>
      </w:r>
    </w:p>
    <w:p>
      <w:pPr>
        <w:pStyle w:val="CaptionedFigure"/>
      </w:pPr>
      <w:r>
        <w:drawing>
          <wp:inline>
            <wp:extent cx="5334000" cy="5334000"/>
            <wp:effectExtent b="0" l="0" r="0" t="0"/>
            <wp:docPr descr="Figure 8: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Correlation between</w:t>
      </w:r>
      <w:r>
        <w:t xml:space="preserve"> </w:t>
      </w:r>
      <w:r>
        <w:rPr>
          <w:i/>
        </w:rPr>
        <w:t xml:space="preserve">Vibrio</w:t>
      </w:r>
      <w:r>
        <w:t xml:space="preserve"> </w:t>
      </w:r>
      <w:r>
        <w:t xml:space="preserve">abundance and methodological variables, such as sampling time and sample holding time.</w:t>
      </w:r>
    </w:p>
    <w:p>
      <w:pPr>
        <w:pStyle w:val="BodyText"/>
      </w:pPr>
      <w:r>
        <w:t xml:space="preserve">##Influence of Environmental Varibales on</w:t>
      </w:r>
      <w:r>
        <w:t xml:space="preserve"> </w:t>
      </w:r>
      <w:r>
        <w:rPr>
          <w:i/>
        </w:rPr>
        <w:t xml:space="preserve">Vibrio</w:t>
      </w:r>
      <w:r>
        <w:t xml:space="preserve"> </w:t>
      </w:r>
      <w:r>
        <w:t xml:space="preserve">Abundance in the Indian River Lagoon</w:t>
      </w:r>
    </w:p>
    <w:p>
      <w:pPr>
        <w:pStyle w:val="BodyText"/>
      </w:pPr>
      <w:r>
        <w:t xml:space="preserve">We begin to examine the relationship between environmental varibales and</w:t>
      </w:r>
      <w:r>
        <w:t xml:space="preserve"> </w:t>
      </w:r>
      <w:r>
        <w:rPr>
          <w:i/>
        </w:rPr>
        <w:t xml:space="preserve">Vibrio</w:t>
      </w:r>
      <w:r>
        <w:t xml:space="preserve"> </w:t>
      </w:r>
      <w:r>
        <w:t xml:space="preserve">abundance with simple linear regression.</w:t>
      </w:r>
    </w:p>
    <w:p>
      <w:pPr>
        <w:pStyle w:val="BodyText"/>
      </w:pPr>
      <w:r>
        <w:t xml:space="preserve">The plots in (</w:t>
      </w:r>
      <w:r>
        <w:t xml:space="preserve">) 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varaibles and</w:t>
      </w:r>
      <w:r>
        <w:t xml:space="preserve"> </w:t>
      </w:r>
      <w:r>
        <w:rPr>
          <w:i/>
        </w:rPr>
        <w:t xml:space="preserve">Vibrio</w:t>
      </w:r>
      <w:r>
        <w:t xml:space="preserve"> </w:t>
      </w:r>
      <w:r>
        <w:t xml:space="preserve">abundance.</w:t>
      </w:r>
    </w:p>
    <w:p>
      <w:pPr>
        <w:pStyle w:val="BodyText"/>
      </w:pPr>
      <w:r>
        <w:drawing>
          <wp:inline>
            <wp:extent cx="5334000" cy="5334000"/>
            <wp:effectExtent b="0" l="0" r="0" t="0"/>
            <wp:docPr descr="Figure 9: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plots in (</w:t>
      </w:r>
      <w:r>
        <w:t xml:space="preserve">) assess the linear relationship between log-transformed</w:t>
      </w:r>
      <w:r>
        <w:t xml:space="preserve"> </w:t>
      </w:r>
      <w:r>
        <w:rPr>
          <w:i/>
        </w:rPr>
        <w:t xml:space="preserve">Vibrio</w:t>
      </w:r>
      <w:r>
        <w:t xml:space="preserve"> </w:t>
      </w:r>
      <w:r>
        <w:t xml:space="preserve">abundance and normalized AOD in the IRL. The correlation is examined for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CaptionedFigure"/>
      </w:pPr>
      <w:r>
        <w:drawing>
          <wp:inline>
            <wp:extent cx="5334000" cy="5334000"/>
            <wp:effectExtent b="0" l="0" r="0" t="0"/>
            <wp:docPr descr="Figure 10: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BodyText"/>
      </w:pPr>
      <w:r>
        <w:t xml:space="preserve">##Influence of Environmental Varibales on Vibrio Abundance in the St. Lucie Estuary</w:t>
      </w:r>
    </w:p>
    <w:p>
      <w:pPr>
        <w:pStyle w:val="BodyText"/>
      </w:pPr>
      <w:r>
        <w:t xml:space="preserve">The plots in (</w:t>
      </w:r>
      <w:r>
        <w:t xml:space="preserve">) 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betwen</w:t>
      </w:r>
      <w:r>
        <w:t xml:space="preserve"> </w:t>
      </w:r>
      <w:r>
        <w:rPr>
          <w:i/>
        </w:rPr>
        <w:t xml:space="preserve">Vibrio</w:t>
      </w:r>
      <w:r>
        <w:t xml:space="preserve"> </w:t>
      </w:r>
      <w:r>
        <w:t xml:space="preserve">abundance and salinity measured between 0 ppt to 15 ppt seperately from the salinity measured ay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varaibles and</w:t>
      </w:r>
      <w:r>
        <w:t xml:space="preserve"> </w:t>
      </w:r>
      <w:r>
        <w:rPr>
          <w:i/>
        </w:rPr>
        <w:t xml:space="preserve">Vibrio</w:t>
      </w:r>
      <w:r>
        <w:t xml:space="preserve"> </w:t>
      </w:r>
      <w:r>
        <w:t xml:space="preserve">abundance.</w:t>
      </w:r>
    </w:p>
    <w:p>
      <w:pPr>
        <w:pStyle w:val="CaptionedFigure"/>
      </w:pPr>
      <w:r>
        <w:drawing>
          <wp:inline>
            <wp:extent cx="5334000" cy="7112000"/>
            <wp:effectExtent b="0" l="0" r="0" t="0"/>
            <wp:docPr descr="Figure 11: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11: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w:t>
      </w:r>
      <w:r>
        <w:t xml:space="preserve">). Unlike the IRL, there does appears to be a statistically significant linear relationship between</w:t>
      </w:r>
      <w:r>
        <w:t xml:space="preserve"> </w:t>
      </w:r>
      <w:r>
        <w:rPr>
          <w:i/>
        </w:rPr>
        <w:t xml:space="preserve">Vibrio</w:t>
      </w:r>
      <w:r>
        <w:t xml:space="preserve"> </w:t>
      </w:r>
      <w:r>
        <w:t xml:space="preserve">abundance in the SLE and AOD measured the day of sampling ( p 1.1 x 10^-4), the day before sampling (p = 2.9 x 10^-3), and 72 hours before sampling (p = 2.6 x 10^-2).</w:t>
      </w:r>
    </w:p>
    <w:p>
      <w:pPr>
        <w:pStyle w:val="CaptionedFigure"/>
      </w:pPr>
      <w:r>
        <w:drawing>
          <wp:inline>
            <wp:extent cx="5334000" cy="5334000"/>
            <wp:effectExtent b="0" l="0" r="0" t="0"/>
            <wp:docPr descr="Figure 12: Enumeration of Vibrio spp. from the St. Lucie Estuary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Enumeration of</w:t>
      </w:r>
      <w:r>
        <w:t xml:space="preserve"> </w:t>
      </w:r>
      <w:r>
        <w:rPr>
          <w:i/>
        </w:rPr>
        <w:t xml:space="preserve">Vibrio</w:t>
      </w:r>
      <w:r>
        <w:t xml:space="preserve"> </w:t>
      </w:r>
      <w:r>
        <w:t xml:space="preserve">spp. from the St. Lucie Estuary in relation to AOD. Pearson’s correlation coefficient (R) and p-value (p) presented for each relationship.</w:t>
      </w:r>
    </w:p>
    <w:p>
      <w:pPr>
        <w:pStyle w:val="BodyText"/>
      </w:pPr>
      <w:r>
        <w:t xml:space="preserve">##Influence of Environmental Varibales on Vibrio Abundance, with Combined Analysis from the Indian River Lagoon and St. Lucie Estuary</w:t>
      </w:r>
    </w:p>
    <w:p>
      <w:pPr>
        <w:pStyle w:val="BodyText"/>
      </w:pPr>
      <w:r>
        <w:t xml:space="preserve">Although the IRL and SLE are seperated by 150 miles, it may be of interest to combine the two data sets to improve the number of observations included in the linear regression.</w:t>
      </w:r>
    </w:p>
    <w:p>
      <w:pPr>
        <w:pStyle w:val="BodyText"/>
      </w:pPr>
      <w:r>
        <w:t xml:space="preserve">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w:t>
      </w:r>
      <w:r>
        <w:t xml:space="preserve">).</w:t>
      </w:r>
    </w:p>
    <w:p>
      <w:pPr>
        <w:pStyle w:val="CaptionedFigure"/>
      </w:pPr>
      <w:r>
        <w:drawing>
          <wp:inline>
            <wp:extent cx="5334000" cy="10668000"/>
            <wp:effectExtent b="0" l="0" r="0" t="0"/>
            <wp:docPr descr="Figure 13: Enumeration of Vibrio spp. from the Indian River Lagoon and St. Lucy Estuary in relation to water quality parameters. Pearson’s correlation coefficient (R) and p-value (p) presented for each relationship." title="" id="1" name="Picture"/>
            <a:graphic>
              <a:graphicData uri="http://schemas.openxmlformats.org/drawingml/2006/picture">
                <pic:pic>
                  <pic:nvPicPr>
                    <pic:cNvPr descr="../../results/all/env_var_vib.png" id="0" name="Picture"/>
                    <pic:cNvPicPr>
                      <a:picLocks noChangeArrowheads="1" noChangeAspect="1"/>
                    </pic:cNvPicPr>
                  </pic:nvPicPr>
                  <pic:blipFill>
                    <a:blip r:embed="rId47"/>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Figure 13: Enumeration of</w:t>
      </w:r>
      <w:r>
        <w:t xml:space="preserve"> </w:t>
      </w:r>
      <w:r>
        <w:rPr>
          <w:i/>
        </w:rPr>
        <w:t xml:space="preserve">Vibrio</w:t>
      </w:r>
      <w:r>
        <w:t xml:space="preserve"> </w:t>
      </w:r>
      <w:r>
        <w:t xml:space="preserve">spp. from the Indian River Lagoon and St. Lucy Estuary in relation to water quality parameters. Pearson’s correlation coefficient (R) and p-value (p) presented for each relationship.</w:t>
      </w:r>
    </w:p>
    <w:p>
      <w:pPr>
        <w:pStyle w:val="BodyText"/>
      </w:pPr>
      <w:r>
        <w:t xml:space="preserve">There does appears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 3.8 x 10^-3).</w:t>
      </w:r>
    </w:p>
    <w:p>
      <w:pPr>
        <w:pStyle w:val="CaptionedFigure"/>
      </w:pPr>
      <w:r>
        <w:drawing>
          <wp:inline>
            <wp:extent cx="5334000" cy="5334000"/>
            <wp:effectExtent b="0" l="0" r="0" t="0"/>
            <wp:docPr descr="Figure 14: Enumeration of Vibrio spp. from the Indian River Lagoon and St. Lucy Estuary in relation to AOD at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Enumeration of</w:t>
      </w:r>
      <w:r>
        <w:t xml:space="preserve"> </w:t>
      </w:r>
      <w:r>
        <w:rPr>
          <w:i/>
        </w:rPr>
        <w:t xml:space="preserve">Vibrio</w:t>
      </w:r>
      <w:r>
        <w:t xml:space="preserve"> </w:t>
      </w:r>
      <w:r>
        <w:t xml:space="preserve">spp. from the Indian River Lagoon and St. Lucy Estuary in relation to AOD at 1020nm.</w:t>
      </w:r>
    </w:p>
    <w:p>
      <w:pPr>
        <w:pStyle w:val="BodyText"/>
      </w:pPr>
      <w:r>
        <w:t xml:space="preserve">Using a simple linear regression model with the</w:t>
      </w:r>
      <w:r>
        <w:t xml:space="preserve"> </w:t>
      </w:r>
      <w:r>
        <w:t xml:space="preserve">‘</w:t>
      </w:r>
      <w:r>
        <w:t xml:space="preserve">lm</w:t>
      </w:r>
      <w:r>
        <w:t xml:space="preserve">’</w:t>
      </w:r>
      <w:r>
        <w:t xml:space="preserve"> </w:t>
      </w:r>
      <w:r>
        <w:t xml:space="preserve">linear model function in R. In this model, the predictor variables are measured environmental varaibles, and the predicted variable is</w:t>
      </w:r>
      <w:r>
        <w:t xml:space="preserve"> </w:t>
      </w:r>
      <w:r>
        <w:rPr>
          <w:i/>
        </w:rPr>
        <w:t xml:space="preserve">Vibrio</w:t>
      </w:r>
      <w:r>
        <w:t xml:space="preserve"> </w:t>
      </w:r>
      <w:r>
        <w:t xml:space="preserve">abundance in Log(CFU/1mL). In this analysis, AOD at 1020nm is normalized through log-transformation. The results from this model suggest that both the normalized values for AOD on the day of sampling and day before sampling are significantly correlated with</w:t>
      </w:r>
      <w:r>
        <w:t xml:space="preserve"> </w:t>
      </w:r>
      <w:r>
        <w:rPr>
          <w:i/>
        </w:rPr>
        <w:t xml:space="preserve">Vibrio</w:t>
      </w:r>
      <w:r>
        <w:t xml:space="preserve"> </w:t>
      </w:r>
      <w:r>
        <w:t xml:space="preserve">abundance. There is no significant relationship with other environmental varaibles measured.</w:t>
      </w:r>
    </w:p>
    <w:p>
      <w:pPr>
        <w:pStyle w:val="TableCaption"/>
      </w:pPr>
      <w:r>
        <w:t xml:space="preserve">Table 1: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
        <w:tblW w:type="pct" w:w="0.0"/>
        <w:tblLook w:firstRow="1"/>
        <w:tblCaption w:val="Table 1: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4.4898335</w:t>
            </w:r>
          </w:p>
        </w:tc>
        <w:tc>
          <w:p>
            <w:pPr>
              <w:pStyle w:val="Compact"/>
              <w:jc w:val="right"/>
            </w:pPr>
            <w:r>
              <w:t xml:space="preserve">0.4817826</w:t>
            </w:r>
          </w:p>
        </w:tc>
        <w:tc>
          <w:p>
            <w:pPr>
              <w:pStyle w:val="Compact"/>
              <w:jc w:val="right"/>
            </w:pPr>
            <w:r>
              <w:t xml:space="preserve">9.3192104</w:t>
            </w:r>
          </w:p>
        </w:tc>
        <w:tc>
          <w:p>
            <w:pPr>
              <w:pStyle w:val="Compact"/>
              <w:jc w:val="right"/>
            </w:pPr>
            <w:r>
              <w:t xml:space="preserve">0.0000000</w:t>
            </w:r>
          </w:p>
        </w:tc>
      </w:tr>
      <w:tr>
        <w:tc>
          <w:p>
            <w:pPr>
              <w:pStyle w:val="Compact"/>
              <w:jc w:val="left"/>
            </w:pPr>
            <w:r>
              <w:t xml:space="preserve">log(AOD_1020nm)</w:t>
            </w:r>
          </w:p>
        </w:tc>
        <w:tc>
          <w:p>
            <w:pPr>
              <w:pStyle w:val="Compact"/>
              <w:jc w:val="right"/>
            </w:pPr>
            <w:r>
              <w:t xml:space="preserve">0.5520134</w:t>
            </w:r>
          </w:p>
        </w:tc>
        <w:tc>
          <w:p>
            <w:pPr>
              <w:pStyle w:val="Compact"/>
              <w:jc w:val="right"/>
            </w:pPr>
            <w:r>
              <w:t xml:space="preserve">0.1786113</w:t>
            </w:r>
          </w:p>
        </w:tc>
        <w:tc>
          <w:p>
            <w:pPr>
              <w:pStyle w:val="Compact"/>
              <w:jc w:val="right"/>
            </w:pPr>
            <w:r>
              <w:t xml:space="preserve">3.0905856</w:t>
            </w:r>
          </w:p>
        </w:tc>
        <w:tc>
          <w:p>
            <w:pPr>
              <w:pStyle w:val="Compact"/>
              <w:jc w:val="right"/>
            </w:pPr>
            <w:r>
              <w:t xml:space="preserve">0.0037832</w:t>
            </w:r>
          </w:p>
        </w:tc>
      </w:tr>
      <w:tr>
        <w:tc>
          <w:p>
            <w:pPr>
              <w:pStyle w:val="Compact"/>
              <w:jc w:val="left"/>
            </w:pPr>
            <w:r>
              <w:t xml:space="preserve">(Intercept)</w:t>
            </w:r>
          </w:p>
        </w:tc>
        <w:tc>
          <w:p>
            <w:pPr>
              <w:pStyle w:val="Compact"/>
              <w:jc w:val="right"/>
            </w:pPr>
            <w:r>
              <w:t xml:space="preserve">4.0941311</w:t>
            </w:r>
          </w:p>
        </w:tc>
        <w:tc>
          <w:p>
            <w:pPr>
              <w:pStyle w:val="Compact"/>
              <w:jc w:val="right"/>
            </w:pPr>
            <w:r>
              <w:t xml:space="preserve">0.4220008</w:t>
            </w:r>
          </w:p>
        </w:tc>
        <w:tc>
          <w:p>
            <w:pPr>
              <w:pStyle w:val="Compact"/>
              <w:jc w:val="right"/>
            </w:pPr>
            <w:r>
              <w:t xml:space="preserve">9.7017131</w:t>
            </w:r>
          </w:p>
        </w:tc>
        <w:tc>
          <w:p>
            <w:pPr>
              <w:pStyle w:val="Compact"/>
              <w:jc w:val="right"/>
            </w:pPr>
            <w:r>
              <w:t xml:space="preserve">0.0000000</w:t>
            </w:r>
          </w:p>
        </w:tc>
      </w:tr>
      <w:tr>
        <w:tc>
          <w:p>
            <w:pPr>
              <w:pStyle w:val="Compact"/>
              <w:jc w:val="left"/>
            </w:pPr>
            <w:r>
              <w:t xml:space="preserve">log(previous_24)</w:t>
            </w:r>
          </w:p>
        </w:tc>
        <w:tc>
          <w:p>
            <w:pPr>
              <w:pStyle w:val="Compact"/>
              <w:jc w:val="right"/>
            </w:pPr>
            <w:r>
              <w:t xml:space="preserve">0.3535352</w:t>
            </w:r>
          </w:p>
        </w:tc>
        <w:tc>
          <w:p>
            <w:pPr>
              <w:pStyle w:val="Compact"/>
              <w:jc w:val="right"/>
            </w:pPr>
            <w:r>
              <w:t xml:space="preserve">0.1546687</w:t>
            </w:r>
          </w:p>
        </w:tc>
        <w:tc>
          <w:p>
            <w:pPr>
              <w:pStyle w:val="Compact"/>
              <w:jc w:val="right"/>
            </w:pPr>
            <w:r>
              <w:t xml:space="preserve">2.2857580</w:t>
            </w:r>
          </w:p>
        </w:tc>
        <w:tc>
          <w:p>
            <w:pPr>
              <w:pStyle w:val="Compact"/>
              <w:jc w:val="right"/>
            </w:pPr>
            <w:r>
              <w:t xml:space="preserve">0.0280928</w:t>
            </w:r>
          </w:p>
        </w:tc>
      </w:tr>
      <w:tr>
        <w:tc>
          <w:p>
            <w:pPr>
              <w:pStyle w:val="Compact"/>
              <w:jc w:val="left"/>
            </w:pPr>
            <w:r>
              <w:t xml:space="preserve">(Intercept)</w:t>
            </w:r>
          </w:p>
        </w:tc>
        <w:tc>
          <w:p>
            <w:pPr>
              <w:pStyle w:val="Compact"/>
              <w:jc w:val="right"/>
            </w:pPr>
            <w:r>
              <w:t xml:space="preserve">1.4486380</w:t>
            </w:r>
          </w:p>
        </w:tc>
        <w:tc>
          <w:p>
            <w:pPr>
              <w:pStyle w:val="Compact"/>
              <w:jc w:val="right"/>
            </w:pPr>
            <w:r>
              <w:t xml:space="preserve">3.0533654</w:t>
            </w:r>
          </w:p>
        </w:tc>
        <w:tc>
          <w:p>
            <w:pPr>
              <w:pStyle w:val="Compact"/>
              <w:jc w:val="right"/>
            </w:pPr>
            <w:r>
              <w:t xml:space="preserve">0.4744398</w:t>
            </w:r>
          </w:p>
        </w:tc>
        <w:tc>
          <w:p>
            <w:pPr>
              <w:pStyle w:val="Compact"/>
              <w:jc w:val="right"/>
            </w:pPr>
            <w:r>
              <w:t xml:space="preserve">0.6374309</w:t>
            </w:r>
          </w:p>
        </w:tc>
      </w:tr>
      <w:tr>
        <w:tc>
          <w:p>
            <w:pPr>
              <w:pStyle w:val="Compact"/>
              <w:jc w:val="left"/>
            </w:pPr>
            <w:r>
              <w:t xml:space="preserve">ph</w:t>
            </w:r>
          </w:p>
        </w:tc>
        <w:tc>
          <w:p>
            <w:pPr>
              <w:pStyle w:val="Compact"/>
              <w:jc w:val="right"/>
            </w:pPr>
            <w:r>
              <w:t xml:space="preserve">0.2069020</w:t>
            </w:r>
          </w:p>
        </w:tc>
        <w:tc>
          <w:p>
            <w:pPr>
              <w:pStyle w:val="Compact"/>
              <w:jc w:val="right"/>
            </w:pPr>
            <w:r>
              <w:t xml:space="preserve">0.3839671</w:t>
            </w:r>
          </w:p>
        </w:tc>
        <w:tc>
          <w:p>
            <w:pPr>
              <w:pStyle w:val="Compact"/>
              <w:jc w:val="right"/>
            </w:pPr>
            <w:r>
              <w:t xml:space="preserve">0.5388534</w:t>
            </w:r>
          </w:p>
        </w:tc>
        <w:tc>
          <w:p>
            <w:pPr>
              <w:pStyle w:val="Compact"/>
              <w:jc w:val="right"/>
            </w:pPr>
            <w:r>
              <w:t xml:space="preserve">0.5925865</w:t>
            </w:r>
          </w:p>
        </w:tc>
      </w:tr>
      <w:tr>
        <w:tc>
          <w:p>
            <w:pPr>
              <w:pStyle w:val="Compact"/>
              <w:jc w:val="left"/>
            </w:pPr>
            <w:r>
              <w:t xml:space="preserve">(Intercept)</w:t>
            </w:r>
          </w:p>
        </w:tc>
        <w:tc>
          <w:p>
            <w:pPr>
              <w:pStyle w:val="Compact"/>
              <w:jc w:val="right"/>
            </w:pPr>
            <w:r>
              <w:t xml:space="preserve">3.0231071</w:t>
            </w:r>
          </w:p>
        </w:tc>
        <w:tc>
          <w:p>
            <w:pPr>
              <w:pStyle w:val="Compact"/>
              <w:jc w:val="right"/>
            </w:pPr>
            <w:r>
              <w:t xml:space="preserve">0.3797246</w:t>
            </w:r>
          </w:p>
        </w:tc>
        <w:tc>
          <w:p>
            <w:pPr>
              <w:pStyle w:val="Compact"/>
              <w:jc w:val="right"/>
            </w:pPr>
            <w:r>
              <w:t xml:space="preserve">7.9613139</w:t>
            </w:r>
          </w:p>
        </w:tc>
        <w:tc>
          <w:p>
            <w:pPr>
              <w:pStyle w:val="Compact"/>
              <w:jc w:val="right"/>
            </w:pPr>
            <w:r>
              <w:t xml:space="preserve">0.0000000</w:t>
            </w:r>
          </w:p>
        </w:tc>
      </w:tr>
      <w:tr>
        <w:tc>
          <w:p>
            <w:pPr>
              <w:pStyle w:val="Compact"/>
              <w:jc w:val="left"/>
            </w:pPr>
            <w:r>
              <w:t xml:space="preserve">salinity</w:t>
            </w:r>
          </w:p>
        </w:tc>
        <w:tc>
          <w:p>
            <w:pPr>
              <w:pStyle w:val="Compact"/>
              <w:jc w:val="right"/>
            </w:pPr>
            <w:r>
              <w:t xml:space="preserve">0.0031506</w:t>
            </w:r>
          </w:p>
        </w:tc>
        <w:tc>
          <w:p>
            <w:pPr>
              <w:pStyle w:val="Compact"/>
              <w:jc w:val="right"/>
            </w:pPr>
            <w:r>
              <w:t xml:space="preserve">0.0164955</w:t>
            </w:r>
          </w:p>
        </w:tc>
        <w:tc>
          <w:p>
            <w:pPr>
              <w:pStyle w:val="Compact"/>
              <w:jc w:val="right"/>
            </w:pPr>
            <w:r>
              <w:t xml:space="preserve">0.1910000</w:t>
            </w:r>
          </w:p>
        </w:tc>
        <w:tc>
          <w:p>
            <w:pPr>
              <w:pStyle w:val="Compact"/>
              <w:jc w:val="right"/>
            </w:pPr>
            <w:r>
              <w:t xml:space="preserve">0.8493661</w:t>
            </w:r>
          </w:p>
        </w:tc>
      </w:tr>
      <w:tr>
        <w:tc>
          <w:p>
            <w:pPr>
              <w:pStyle w:val="Compact"/>
              <w:jc w:val="left"/>
            </w:pPr>
            <w:r>
              <w:t xml:space="preserve">(Intercept)</w:t>
            </w:r>
          </w:p>
        </w:tc>
        <w:tc>
          <w:p>
            <w:pPr>
              <w:pStyle w:val="Compact"/>
              <w:jc w:val="right"/>
            </w:pPr>
            <w:r>
              <w:t xml:space="preserve">3.2865931</w:t>
            </w:r>
          </w:p>
        </w:tc>
        <w:tc>
          <w:p>
            <w:pPr>
              <w:pStyle w:val="Compact"/>
              <w:jc w:val="right"/>
            </w:pPr>
            <w:r>
              <w:t xml:space="preserve">1.6844091</w:t>
            </w:r>
          </w:p>
        </w:tc>
        <w:tc>
          <w:p>
            <w:pPr>
              <w:pStyle w:val="Compact"/>
              <w:jc w:val="right"/>
            </w:pPr>
            <w:r>
              <w:t xml:space="preserve">1.9511846</w:t>
            </w:r>
          </w:p>
        </w:tc>
        <w:tc>
          <w:p>
            <w:pPr>
              <w:pStyle w:val="Compact"/>
              <w:jc w:val="right"/>
            </w:pPr>
            <w:r>
              <w:t xml:space="preserve">0.0571409</w:t>
            </w:r>
          </w:p>
        </w:tc>
      </w:tr>
      <w:tr>
        <w:tc>
          <w:p>
            <w:pPr>
              <w:pStyle w:val="Compact"/>
              <w:jc w:val="left"/>
            </w:pPr>
            <w:r>
              <w:t xml:space="preserve">water_temp</w:t>
            </w:r>
          </w:p>
        </w:tc>
        <w:tc>
          <w:p>
            <w:pPr>
              <w:pStyle w:val="Compact"/>
              <w:jc w:val="right"/>
            </w:pPr>
            <w:r>
              <w:t xml:space="preserve">-0.0064368</w:t>
            </w:r>
          </w:p>
        </w:tc>
        <w:tc>
          <w:p>
            <w:pPr>
              <w:pStyle w:val="Compact"/>
              <w:jc w:val="right"/>
            </w:pPr>
            <w:r>
              <w:t xml:space="preserve">0.0559284</w:t>
            </w:r>
          </w:p>
        </w:tc>
        <w:tc>
          <w:p>
            <w:pPr>
              <w:pStyle w:val="Compact"/>
              <w:jc w:val="right"/>
            </w:pPr>
            <w:r>
              <w:t xml:space="preserve">-0.1150892</w:t>
            </w:r>
          </w:p>
        </w:tc>
        <w:tc>
          <w:p>
            <w:pPr>
              <w:pStyle w:val="Compact"/>
              <w:jc w:val="right"/>
            </w:pPr>
            <w:r>
              <w:t xml:space="preserve">0.9088753</w:t>
            </w:r>
          </w:p>
        </w:tc>
      </w:tr>
      <w:tr>
        <w:tc>
          <w:p>
            <w:pPr>
              <w:pStyle w:val="Compact"/>
              <w:jc w:val="left"/>
            </w:pPr>
            <w:r>
              <w:t xml:space="preserve">(Intercept)</w:t>
            </w:r>
          </w:p>
        </w:tc>
        <w:tc>
          <w:p>
            <w:pPr>
              <w:pStyle w:val="Compact"/>
              <w:jc w:val="right"/>
            </w:pPr>
            <w:r>
              <w:t xml:space="preserve">3.1321299</w:t>
            </w:r>
          </w:p>
        </w:tc>
        <w:tc>
          <w:p>
            <w:pPr>
              <w:pStyle w:val="Compact"/>
              <w:jc w:val="right"/>
            </w:pPr>
            <w:r>
              <w:t xml:space="preserve">0.1110254</w:t>
            </w:r>
          </w:p>
        </w:tc>
        <w:tc>
          <w:p>
            <w:pPr>
              <w:pStyle w:val="Compact"/>
              <w:jc w:val="right"/>
            </w:pPr>
            <w:r>
              <w:t xml:space="preserve">28.2109373</w:t>
            </w:r>
          </w:p>
        </w:tc>
        <w:tc>
          <w:p>
            <w:pPr>
              <w:pStyle w:val="Compact"/>
              <w:jc w:val="right"/>
            </w:pPr>
            <w:r>
              <w:t xml:space="preserve">0.0000000</w:t>
            </w:r>
          </w:p>
        </w:tc>
      </w:tr>
      <w:tr>
        <w:tc>
          <w:p>
            <w:pPr>
              <w:pStyle w:val="Compact"/>
              <w:jc w:val="left"/>
            </w:pPr>
            <w:r>
              <w:t xml:space="preserve">precipitation</w:t>
            </w:r>
          </w:p>
        </w:tc>
        <w:tc>
          <w:p>
            <w:pPr>
              <w:pStyle w:val="Compact"/>
              <w:jc w:val="right"/>
            </w:pPr>
            <w:r>
              <w:t xml:space="preserve">-0.2062173</w:t>
            </w:r>
          </w:p>
        </w:tc>
        <w:tc>
          <w:p>
            <w:pPr>
              <w:pStyle w:val="Compact"/>
              <w:jc w:val="right"/>
            </w:pPr>
            <w:r>
              <w:t xml:space="preserve">0.2620946</w:t>
            </w:r>
          </w:p>
        </w:tc>
        <w:tc>
          <w:p>
            <w:pPr>
              <w:pStyle w:val="Compact"/>
              <w:jc w:val="right"/>
            </w:pPr>
            <w:r>
              <w:t xml:space="preserve">-0.7868048</w:t>
            </w:r>
          </w:p>
        </w:tc>
        <w:tc>
          <w:p>
            <w:pPr>
              <w:pStyle w:val="Compact"/>
              <w:jc w:val="right"/>
            </w:pPr>
            <w:r>
              <w:t xml:space="preserve">0.4354311</w:t>
            </w:r>
          </w:p>
        </w:tc>
      </w:tr>
    </w:tbl>
    <w:p>
      <w:pPr>
        <w:pStyle w:val="Heading2"/>
      </w:pPr>
      <w:bookmarkStart w:id="49" w:name="full-analysis"/>
      <w:r>
        <w:t xml:space="preserve">Full Analysis</w:t>
      </w:r>
      <w:bookmarkEnd w:id="49"/>
    </w:p>
    <w:p>
      <w:pPr>
        <w:pStyle w:val="FirstParagraph"/>
      </w:pPr>
      <w:r>
        <w:t xml:space="preserve">In this section of the analysis, we use statistical models to analyze the relationship between our environmental varaibles and</w:t>
      </w:r>
      <w:r>
        <w:t xml:space="preserve"> </w:t>
      </w:r>
      <w:r>
        <w:rPr>
          <w:i/>
        </w:rPr>
        <w:t xml:space="preserve">Vibrio</w:t>
      </w:r>
      <w:r>
        <w:t xml:space="preserve"> </w:t>
      </w:r>
      <w:r>
        <w:t xml:space="preserve">abundance. We begin with a single predictor model with the outcome of</w:t>
      </w:r>
      <w:r>
        <w:t xml:space="preserve"> </w:t>
      </w:r>
      <w:r>
        <w:rPr>
          <w:i/>
        </w:rPr>
        <w:t xml:space="preserve">Vibrio</w:t>
      </w:r>
      <w:r>
        <w:t xml:space="preserve"> </w:t>
      </w:r>
      <w:r>
        <w:t xml:space="preserve">abundance and the following predictors: normalized AOD day of sampling, normalized AOD the day before sampling, salinity, pH, water temperature, sampling time, and precipitation. When filtering for missing values, our data set contains 33 observations. These observations are then divided into a training set (25 observations) and a test set (8) observations.</w:t>
      </w:r>
    </w:p>
    <w:p>
      <w:pPr>
        <w:pStyle w:val="BodyText"/>
      </w:pPr>
      <w:r>
        <w:t xml:space="preserve">Using the</w:t>
      </w:r>
      <w:r>
        <w:t xml:space="preserve"> </w:t>
      </w:r>
      <w:r>
        <w:t xml:space="preserve">‘</w:t>
      </w:r>
      <w:r>
        <w:t xml:space="preserve">lm</w:t>
      </w:r>
      <w:r>
        <w:t xml:space="preserve">’</w:t>
      </w:r>
      <w:r>
        <w:t xml:space="preserve"> </w:t>
      </w:r>
      <w:r>
        <w:t xml:space="preserve">linear model function, we can examine the RMSE of each single predictor. According to the RMSE values, the models that include the the normalized values of the AOD on the day of sampling and day before sampling may perform better than the other single-predictor models.</w:t>
      </w:r>
    </w:p>
    <w:p>
      <w:pPr>
        <w:pStyle w:val="TableCaption"/>
      </w:pPr>
      <w:r>
        <w:t xml:space="preserve">Table 2: RMSE of the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
        <w:tblW w:type="pct" w:w="0.0"/>
        <w:tblLook w:firstRow="1"/>
        <w:tblCaption w:val="Table 2: RMSE of the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RMSE</w:t>
            </w:r>
          </w:p>
        </w:tc>
      </w:tr>
      <w:tr>
        <w:tc>
          <w:p>
            <w:pPr>
              <w:pStyle w:val="Compact"/>
              <w:jc w:val="left"/>
            </w:pPr>
            <w:r>
              <w:t xml:space="preserve">AOD_1020nm</w:t>
            </w:r>
          </w:p>
        </w:tc>
        <w:tc>
          <w:p>
            <w:pPr>
              <w:pStyle w:val="Compact"/>
              <w:jc w:val="right"/>
            </w:pPr>
            <w:r>
              <w:t xml:space="preserve">0.6191808</w:t>
            </w:r>
          </w:p>
        </w:tc>
      </w:tr>
      <w:tr>
        <w:tc>
          <w:p>
            <w:pPr>
              <w:pStyle w:val="Compact"/>
              <w:jc w:val="left"/>
            </w:pPr>
            <w:r>
              <w:t xml:space="preserve">previous_24</w:t>
            </w:r>
          </w:p>
        </w:tc>
        <w:tc>
          <w:p>
            <w:pPr>
              <w:pStyle w:val="Compact"/>
              <w:jc w:val="right"/>
            </w:pPr>
            <w:r>
              <w:t xml:space="preserve">0.6254623</w:t>
            </w:r>
          </w:p>
        </w:tc>
      </w:tr>
      <w:tr>
        <w:tc>
          <w:p>
            <w:pPr>
              <w:pStyle w:val="Compact"/>
              <w:jc w:val="left"/>
            </w:pPr>
            <w:r>
              <w:t xml:space="preserve">salinity</w:t>
            </w:r>
          </w:p>
        </w:tc>
        <w:tc>
          <w:p>
            <w:pPr>
              <w:pStyle w:val="Compact"/>
              <w:jc w:val="right"/>
            </w:pPr>
            <w:r>
              <w:t xml:space="preserve">0.7728044</w:t>
            </w:r>
          </w:p>
        </w:tc>
      </w:tr>
      <w:tr>
        <w:tc>
          <w:p>
            <w:pPr>
              <w:pStyle w:val="Compact"/>
              <w:jc w:val="left"/>
            </w:pPr>
            <w:r>
              <w:t xml:space="preserve">ph</w:t>
            </w:r>
          </w:p>
        </w:tc>
        <w:tc>
          <w:p>
            <w:pPr>
              <w:pStyle w:val="Compact"/>
              <w:jc w:val="right"/>
            </w:pPr>
            <w:r>
              <w:t xml:space="preserve">0.7501033</w:t>
            </w:r>
          </w:p>
        </w:tc>
      </w:tr>
      <w:tr>
        <w:tc>
          <w:p>
            <w:pPr>
              <w:pStyle w:val="Compact"/>
              <w:jc w:val="left"/>
            </w:pPr>
            <w:r>
              <w:t xml:space="preserve">water_temp</w:t>
            </w:r>
          </w:p>
        </w:tc>
        <w:tc>
          <w:p>
            <w:pPr>
              <w:pStyle w:val="Compact"/>
              <w:jc w:val="right"/>
            </w:pPr>
            <w:r>
              <w:t xml:space="preserve">0.7209808</w:t>
            </w:r>
          </w:p>
        </w:tc>
      </w:tr>
      <w:tr>
        <w:tc>
          <w:p>
            <w:pPr>
              <w:pStyle w:val="Compact"/>
              <w:jc w:val="left"/>
            </w:pPr>
            <w:r>
              <w:t xml:space="preserve">sample_time</w:t>
            </w:r>
          </w:p>
        </w:tc>
        <w:tc>
          <w:p>
            <w:pPr>
              <w:pStyle w:val="Compact"/>
              <w:jc w:val="right"/>
            </w:pPr>
            <w:r>
              <w:t xml:space="preserve">0.7265205</w:t>
            </w:r>
          </w:p>
        </w:tc>
      </w:tr>
      <w:tr>
        <w:tc>
          <w:p>
            <w:pPr>
              <w:pStyle w:val="Compact"/>
              <w:jc w:val="left"/>
            </w:pPr>
            <w:r>
              <w:t xml:space="preserve">precipitation</w:t>
            </w:r>
          </w:p>
        </w:tc>
        <w:tc>
          <w:p>
            <w:pPr>
              <w:pStyle w:val="Compact"/>
              <w:jc w:val="right"/>
            </w:pPr>
            <w:r>
              <w:t xml:space="preserve">0.7353341</w:t>
            </w:r>
          </w:p>
        </w:tc>
      </w:tr>
    </w:tbl>
    <w:p>
      <w:pPr>
        <w:pStyle w:val="BodyText"/>
      </w:pPr>
      <w:r>
        <w:t xml:space="preserve">When examining the full model in the training data set, with all 7 predictors, the RMSE was 0.8358849. The RMSE of the model with the test data set was 0.8522869. The full model did not perform as well as any of the single-predictor models.</w:t>
      </w:r>
    </w:p>
    <w:p>
      <w:pPr>
        <w:pStyle w:val="CaptionedFigure"/>
      </w:pPr>
      <w:r>
        <w:drawing>
          <wp:inline>
            <wp:extent cx="5334000" cy="4667924"/>
            <wp:effectExtent b="0" l="0" r="0" t="0"/>
            <wp:docPr descr="Figure 15: Vibrio abundance predicted by the linear regression model with all predictors, in relation to Vibrio abundance in the test data set." title="" id="1" name="Picture"/>
            <a:graphic>
              <a:graphicData uri="http://schemas.openxmlformats.org/drawingml/2006/picture">
                <pic:pic>
                  <pic:nvPicPr>
                    <pic:cNvPr descr="../../results/all/test_prediction_plot.png" id="0" name="Picture"/>
                    <pic:cNvPicPr>
                      <a:picLocks noChangeArrowheads="1" noChangeAspect="1"/>
                    </pic:cNvPicPr>
                  </pic:nvPicPr>
                  <pic:blipFill>
                    <a:blip r:embed="rId50"/>
                    <a:stretch>
                      <a:fillRect/>
                    </a:stretch>
                  </pic:blipFill>
                  <pic:spPr bwMode="auto">
                    <a:xfrm>
                      <a:off x="0" y="0"/>
                      <a:ext cx="5334000" cy="4667924"/>
                    </a:xfrm>
                    <a:prstGeom prst="rect">
                      <a:avLst/>
                    </a:prstGeom>
                    <a:noFill/>
                    <a:ln w="9525">
                      <a:noFill/>
                      <a:headEnd/>
                      <a:tailEnd/>
                    </a:ln>
                  </pic:spPr>
                </pic:pic>
              </a:graphicData>
            </a:graphic>
          </wp:inline>
        </w:drawing>
      </w:r>
    </w:p>
    <w:p>
      <w:pPr>
        <w:pStyle w:val="ImageCaption"/>
      </w:pPr>
      <w:r>
        <w:t xml:space="preserve">Figure 15:</w:t>
      </w:r>
      <w:r>
        <w:t xml:space="preserve"> </w:t>
      </w:r>
      <w:r>
        <w:rPr>
          <w:i/>
        </w:rPr>
        <w:t xml:space="preserve">Vibrio</w:t>
      </w:r>
      <w:r>
        <w:t xml:space="preserve"> </w:t>
      </w:r>
      <w:r>
        <w:t xml:space="preserve">abundance predicted by the linear regression model with all predictors, in relation to</w:t>
      </w:r>
      <w:r>
        <w:t xml:space="preserve"> </w:t>
      </w:r>
      <w:r>
        <w:rPr>
          <w:i/>
        </w:rPr>
        <w:t xml:space="preserve">Vibrio</w:t>
      </w:r>
      <w:r>
        <w:t xml:space="preserve"> </w:t>
      </w:r>
      <w:r>
        <w:t xml:space="preserve">abundance in the test data set.</w:t>
      </w:r>
    </w:p>
    <w:p>
      <w:pPr>
        <w:pStyle w:val="BodyText"/>
      </w:pPr>
      <w:r>
        <w:t xml:space="preserve">The next step in this analysis would be to complete a varaible or subset selection.</w:t>
      </w:r>
    </w:p>
    <w:p>
      <w:pPr>
        <w:pStyle w:val="BodyText"/>
      </w:pPr>
      <w:r>
        <w:t xml:space="preserve">Additionally, we explored a tree model to further explore the predictor variables and the</w:t>
      </w:r>
      <w:r>
        <w:t xml:space="preserve"> </w:t>
      </w:r>
      <w:r>
        <w:rPr>
          <w:i/>
        </w:rPr>
        <w:t xml:space="preserve">Vibrio</w:t>
      </w:r>
      <w:r>
        <w:t xml:space="preserve"> </w:t>
      </w:r>
      <w:r>
        <w:t xml:space="preserve">abundance outcome. In this model, we included all 33 observations to improve the resolution of the tree model. The results from the tree model suggest once more, that the AOD is a significant predictor of</w:t>
      </w:r>
      <w:r>
        <w:t xml:space="preserve"> </w:t>
      </w:r>
      <w:r>
        <w:rPr>
          <w:i/>
        </w:rPr>
        <w:t xml:space="preserve">Vibrio</w:t>
      </w:r>
      <w:r>
        <w:t xml:space="preserve"> </w:t>
      </w:r>
      <w:r>
        <w:t xml:space="preserve">abundance.</w:t>
      </w:r>
    </w:p>
    <w:p>
      <w:pPr>
        <w:pStyle w:val="CaptionedFigure"/>
      </w:pPr>
      <w:r>
        <w:drawing>
          <wp:inline>
            <wp:extent cx="5334000" cy="5334000"/>
            <wp:effectExtent b="0" l="0" r="0" t="0"/>
            <wp:docPr descr="Figure 16: Vibrio abundance predicted by a tree model with all predictors." title="" id="1" name="Picture"/>
            <a:graphic>
              <a:graphicData uri="http://schemas.openxmlformats.org/drawingml/2006/picture">
                <pic:pic>
                  <pic:nvPicPr>
                    <pic:cNvPr descr="../../results/all/rpart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w:t>
      </w:r>
      <w:r>
        <w:t xml:space="preserve"> </w:t>
      </w:r>
      <w:r>
        <w:rPr>
          <w:i/>
        </w:rPr>
        <w:t xml:space="preserve">Vibrio</w:t>
      </w:r>
      <w:r>
        <w:t xml:space="preserve"> </w:t>
      </w:r>
      <w:r>
        <w:t xml:space="preserve">abundance predicted by a tree model with all predictors.</w:t>
      </w:r>
    </w:p>
    <w:p>
      <w:pPr>
        <w:pStyle w:val="Heading1"/>
      </w:pPr>
      <w:bookmarkStart w:id="52" w:name="discussion"/>
      <w:r>
        <w:t xml:space="preserve">Discussion</w:t>
      </w:r>
      <w:bookmarkEnd w:id="52"/>
    </w:p>
    <w:p>
      <w:pPr>
        <w:pStyle w:val="Heading2"/>
      </w:pPr>
      <w:bookmarkStart w:id="53" w:name="summary-and-interpretation"/>
      <w:r>
        <w:t xml:space="preserve">Summary and Interpretation</w:t>
      </w:r>
      <w:bookmarkEnd w:id="53"/>
    </w:p>
    <w:p>
      <w:pPr>
        <w:pStyle w:val="FirstParagraph"/>
      </w:pPr>
      <w:r>
        <w:t xml:space="preserve">In this analysis, we examine the relationship between environmental varaibles and</w:t>
      </w:r>
      <w:r>
        <w:t xml:space="preserve"> </w:t>
      </w:r>
      <w:r>
        <w:rPr>
          <w:i/>
        </w:rPr>
        <w:t xml:space="preserve">Vibrio</w:t>
      </w:r>
      <w:r>
        <w:t xml:space="preserve"> </w:t>
      </w:r>
      <w:r>
        <w:t xml:space="preserve">abundance in Florida’s eastern estuaries. We monitored</w:t>
      </w:r>
      <w:r>
        <w:t xml:space="preserve"> </w:t>
      </w:r>
      <w:r>
        <w:rPr>
          <w:i/>
        </w:rPr>
        <w:t xml:space="preserve">Vibrio</w:t>
      </w:r>
      <w:r>
        <w:t xml:space="preserve"> </w:t>
      </w:r>
      <w:r>
        <w:t xml:space="preserve">abundance from three locations in the IRL and three locations in the SLE. We measured or collected data on water temperature, air temperature, pH, salinity, aerosol optical density, precipitation at each location or watershed. In our analysis, it appears that among these environmental variables, the aerosol optical density is significantly correlated with</w:t>
      </w:r>
      <w:r>
        <w:t xml:space="preserve"> </w:t>
      </w:r>
      <w:r>
        <w:rPr>
          <w:i/>
        </w:rPr>
        <w:t xml:space="preserve">Vibrio</w:t>
      </w:r>
      <w:r>
        <w:t xml:space="preserve"> </w:t>
      </w:r>
      <w:r>
        <w:t xml:space="preserve">abundance. Results of the simple linear regression indicate the the normalized values of AOD on the day of sampling and day before sampling are significantly correlated with</w:t>
      </w:r>
      <w:r>
        <w:t xml:space="preserve"> </w:t>
      </w:r>
      <w:r>
        <w:rPr>
          <w:i/>
        </w:rPr>
        <w:t xml:space="preserve">Vibrio</w:t>
      </w:r>
      <w:r>
        <w:t xml:space="preserve"> </w:t>
      </w:r>
      <w:r>
        <w:t xml:space="preserve">abundance. The linear model does not perform as well when all seven predictors are included in the model.</w:t>
      </w:r>
    </w:p>
    <w:p>
      <w:pPr>
        <w:pStyle w:val="Heading2"/>
      </w:pPr>
      <w:bookmarkStart w:id="54" w:name="strengths-and-limitations"/>
      <w:r>
        <w:t xml:space="preserve">Strengths and Limitations</w:t>
      </w:r>
      <w:bookmarkEnd w:id="54"/>
    </w:p>
    <w:p>
      <w:pPr>
        <w:pStyle w:val="FirstParagraph"/>
      </w:pPr>
      <w:r>
        <w:t xml:space="preserve">In this study, we aimed to examine the relationship between</w:t>
      </w:r>
      <w:r>
        <w:t xml:space="preserve"> </w:t>
      </w:r>
      <w:r>
        <w:rPr>
          <w:i/>
        </w:rPr>
        <w:t xml:space="preserve">Vibrio</w:t>
      </w:r>
      <w:r>
        <w:t xml:space="preserve"> </w:t>
      </w:r>
      <w:r>
        <w:t xml:space="preserve">abundance and HAB events. We conducted itensive weekly sampling from two watersheds that suffer from reoccuring HAB events. Unfortunately, we did not observe an algal bloom during this sampling period. The results of this data analysis suggest, however, that there are still interesting relationships between environmental variables and</w:t>
      </w:r>
      <w:r>
        <w:t xml:space="preserve"> </w:t>
      </w:r>
      <w:r>
        <w:rPr>
          <w:i/>
        </w:rPr>
        <w:t xml:space="preserve">Vibrio</w:t>
      </w:r>
      <w:r>
        <w:t xml:space="preserve"> </w:t>
      </w:r>
      <w:r>
        <w:t xml:space="preserve">abundance in the IRL and SLE.</w:t>
      </w:r>
    </w:p>
    <w:p>
      <w:pPr>
        <w:pStyle w:val="BodyText"/>
      </w:pPr>
      <w:r>
        <w:t xml:space="preserve">This data anlysis focused on the linear relationship between</w:t>
      </w:r>
      <w:r>
        <w:t xml:space="preserve"> </w:t>
      </w:r>
      <w:r>
        <w:rPr>
          <w:i/>
        </w:rPr>
        <w:t xml:space="preserve">Vibrio</w:t>
      </w:r>
      <w:r>
        <w:t xml:space="preserve"> </w:t>
      </w:r>
      <w:r>
        <w:t xml:space="preserve">abundance and several environmental varaibles. However, our study design includes time series data for our outcome and each predictor variable. Linear models may not be sufficient to explain the dynamic relationship between microbes and their physical environment. Future analyses should explore this data with time-series-specific modeling.</w:t>
      </w:r>
    </w:p>
    <w:p>
      <w:pPr>
        <w:pStyle w:val="BodyText"/>
      </w:pPr>
      <w:r>
        <w:t xml:space="preserve">Our study design allowed for the collection and analysis of water samples across space and time. However, in this analysis, we have discovered that the watersheds and sampling locations may be distinctly different based on environmental and biological factors. Future analyses should explore this data using mixed-effects or multilevel modeling.</w:t>
      </w:r>
    </w:p>
    <w:p>
      <w:pPr>
        <w:pStyle w:val="BodyText"/>
      </w:pPr>
      <w:r>
        <w:t xml:space="preserve">This analysis considers the enviornmental varaibles that were measured in-situ or retrieved from publicly availible sources. We are still collecting data on other environmental and biological varaibles, including chlorophyll a concentration, nutrient levels, and phytoplankton abundance in these water samples. Our data collection and data analysis are still evolving.</w:t>
      </w:r>
    </w:p>
    <w:p>
      <w:pPr>
        <w:pStyle w:val="Heading2"/>
      </w:pPr>
      <w:bookmarkStart w:id="55" w:name="conclusions"/>
      <w:r>
        <w:t xml:space="preserve">Conclusions</w:t>
      </w:r>
      <w:bookmarkEnd w:id="55"/>
    </w:p>
    <w:p>
      <w:pPr>
        <w:pStyle w:val="FirstParagraph"/>
      </w:pPr>
      <w:r>
        <w:t xml:space="preserve">The transport and deposition of Saharan dust may influence</w:t>
      </w:r>
      <w:r>
        <w:t xml:space="preserve"> </w:t>
      </w:r>
      <w:r>
        <w:rPr>
          <w:i/>
        </w:rPr>
        <w:t xml:space="preserve">Vibrio</w:t>
      </w:r>
      <w:r>
        <w:t xml:space="preserve"> </w:t>
      </w:r>
      <w:r>
        <w:t xml:space="preserve">populations in Eastern Florida. The dynamics in</w:t>
      </w:r>
      <w:r>
        <w:t xml:space="preserve"> </w:t>
      </w:r>
      <w:r>
        <w:rPr>
          <w:i/>
        </w:rPr>
        <w:t xml:space="preserve">Vibrio</w:t>
      </w:r>
      <w:r>
        <w:t xml:space="preserve"> </w:t>
      </w:r>
      <w:r>
        <w:t xml:space="preserve">abundance in the IRL and SLE were explained by AOD moreso than salinity, pH, water temperature, air temperature, and precipitation. Peaks in AOD in late-June and mid-July correspond with peaks in</w:t>
      </w:r>
      <w:r>
        <w:t xml:space="preserve"> </w:t>
      </w:r>
      <w:r>
        <w:rPr>
          <w:i/>
        </w:rPr>
        <w:t xml:space="preserve">Vibrio</w:t>
      </w:r>
      <w:r>
        <w:t xml:space="preserve"> </w:t>
      </w:r>
      <w:r>
        <w:t xml:space="preserve">abundance in the IRL and SLE.</w:t>
      </w:r>
    </w:p>
    <w:p>
      <w:pPr>
        <w:pStyle w:val="Heading1"/>
      </w:pPr>
      <w:bookmarkStart w:id="56" w:name="references"/>
      <w:r>
        <w:t xml:space="preserve">References</w:t>
      </w:r>
      <w:bookmarkEnd w:id="56"/>
    </w:p>
    <w:bookmarkStart w:id="81" w:name="refs"/>
    <w:bookmarkStart w:id="58" w:name="ref-Cooper2015"/>
    <w:p>
      <w:pPr>
        <w:pStyle w:val="Bibliography"/>
      </w:pPr>
      <w:r>
        <w:t xml:space="preserve">Cooper, M. B., Smith, A. G., Paszkowski, U., &amp; Scott, B. (2015). Exploring mutualistic interactions between microalgae and bacteria in the omics age This review comes from a themed issue on Biotic interactions Edited by.</w:t>
      </w:r>
      <w:r>
        <w:t xml:space="preserve"> </w:t>
      </w:r>
      <w:r>
        <w:rPr>
          <w:i/>
        </w:rPr>
        <w:t xml:space="preserve">Current Opinion in Plant Biology</w:t>
      </w:r>
      <w:r>
        <w:t xml:space="preserve">,</w:t>
      </w:r>
      <w:r>
        <w:t xml:space="preserve"> </w:t>
      </w:r>
      <w:r>
        <w:rPr>
          <w:i/>
        </w:rPr>
        <w:t xml:space="preserve">26</w:t>
      </w:r>
      <w:r>
        <w:t xml:space="preserve">, 147–153.</w:t>
      </w:r>
      <w:r>
        <w:t xml:space="preserve"> </w:t>
      </w:r>
      <w:hyperlink r:id="rId57">
        <w:r>
          <w:rPr>
            <w:rStyle w:val="Hyperlink"/>
          </w:rPr>
          <w:t xml:space="preserve">https://doi.org/10.1016/j.pbi.2015.07.003</w:t>
        </w:r>
      </w:hyperlink>
    </w:p>
    <w:bookmarkEnd w:id="58"/>
    <w:bookmarkStart w:id="60" w:name="ref-Greenfield2017"/>
    <w:p>
      <w:pPr>
        <w:pStyle w:val="Bibliography"/>
      </w:pPr>
      <w:r>
        <w:t xml:space="preserve">Greenfield, D. I., Gooch Moore, J., Stewart, J. R., Hilborn, E. D., George, B. J., Li, Q., … Sandifer, P. A. (2017). Temporal and environmental factors driving &lt;i&gt;Vibrio vulnificus&lt;/i&gt; and &lt;i&gt;V. parahaemolyticus&lt;/i&gt; populations and their associations with harmful algal blooms in South Carolina detention ponds and receiving tidal creeks.</w:t>
      </w:r>
      <w:r>
        <w:t xml:space="preserve"> </w:t>
      </w:r>
      <w:r>
        <w:rPr>
          <w:i/>
        </w:rPr>
        <w:t xml:space="preserve">GeoHealth</w:t>
      </w:r>
      <w:r>
        <w:t xml:space="preserve">, 306–317.</w:t>
      </w:r>
      <w:r>
        <w:t xml:space="preserve"> </w:t>
      </w:r>
      <w:hyperlink r:id="rId59">
        <w:r>
          <w:rPr>
            <w:rStyle w:val="Hyperlink"/>
          </w:rPr>
          <w:t xml:space="preserve">https://doi.org/10.1002/2017GH000094</w:t>
        </w:r>
      </w:hyperlink>
    </w:p>
    <w:bookmarkEnd w:id="60"/>
    <w:bookmarkStart w:id="62" w:name="ref-Jones2010a"/>
    <w:p>
      <w:pPr>
        <w:pStyle w:val="Bibliography"/>
      </w:pPr>
      <w:r>
        <w:t xml:space="preserve">Jones, K. L., Mikulski, C. M., Barnhorst, A., &amp; Doucette, G. J. (2010). Comparative analysis of bacterioplankton assemblages from Karenia brevis bloom and nonbloom water on the west Florida shelf (Gulf of Mexico, USA) using 16S rRNA gene clone libraries.</w:t>
      </w:r>
      <w:r>
        <w:t xml:space="preserve"> </w:t>
      </w:r>
      <w:r>
        <w:rPr>
          <w:i/>
        </w:rPr>
        <w:t xml:space="preserve">FEMS Microbiology Ecology</w:t>
      </w:r>
      <w:r>
        <w:t xml:space="preserve">,</w:t>
      </w:r>
      <w:r>
        <w:t xml:space="preserve"> </w:t>
      </w:r>
      <w:r>
        <w:rPr>
          <w:i/>
        </w:rPr>
        <w:t xml:space="preserve">73</w:t>
      </w:r>
      <w:r>
        <w:t xml:space="preserve">(3), 468–485.</w:t>
      </w:r>
      <w:r>
        <w:t xml:space="preserve"> </w:t>
      </w:r>
      <w:hyperlink r:id="rId61">
        <w:r>
          <w:rPr>
            <w:rStyle w:val="Hyperlink"/>
          </w:rPr>
          <w:t xml:space="preserve">https://doi.org/10.1111/j.1574-6941.2010.00914.x</w:t>
        </w:r>
      </w:hyperlink>
    </w:p>
    <w:bookmarkEnd w:id="62"/>
    <w:bookmarkStart w:id="64" w:name="ref-Kang2015"/>
    <w:p>
      <w:pPr>
        <w:pStyle w:val="Bibliography"/>
      </w:pPr>
      <w:r>
        <w:t xml:space="preserve">Kang, Y., Koch, F., &amp; Gobler, C. J. (2015).</w:t>
      </w:r>
      <w:r>
        <w:t xml:space="preserve"> </w:t>
      </w:r>
      <w:r>
        <w:rPr>
          <w:i/>
        </w:rPr>
        <w:t xml:space="preserve">The interactive roles of nutrient loading and zooplankton grazing in facilitating the expansion of harmful algal blooms caused by the pelagophyte, Aureoumbra lagunensis, to the Indian River Lagoon, FL, USA</w:t>
      </w:r>
      <w:r>
        <w:t xml:space="preserve">.</w:t>
      </w:r>
      <w:r>
        <w:t xml:space="preserve"> </w:t>
      </w:r>
      <w:hyperlink r:id="rId63">
        <w:r>
          <w:rPr>
            <w:rStyle w:val="Hyperlink"/>
          </w:rPr>
          <w:t xml:space="preserve">https://doi.org/10.1016/j.hal.2015.09.005</w:t>
        </w:r>
      </w:hyperlink>
    </w:p>
    <w:bookmarkEnd w:id="64"/>
    <w:bookmarkStart w:id="66" w:name="ref-Kazamia2016"/>
    <w:p>
      <w:pPr>
        <w:pStyle w:val="Bibliography"/>
      </w:pPr>
      <w:r>
        <w:t xml:space="preserve">Kazamia, E., Helliwell, K. E., Purton, S., &amp; Smith, A. G. (2016). How mutualisms arise in phytoplankton communities: building eco-evolutionary principles for aquatic microbes.</w:t>
      </w:r>
      <w:r>
        <w:t xml:space="preserve"> </w:t>
      </w:r>
      <w:r>
        <w:rPr>
          <w:i/>
        </w:rPr>
        <w:t xml:space="preserve">Ecology Letters</w:t>
      </w:r>
      <w:r>
        <w:t xml:space="preserve">,</w:t>
      </w:r>
      <w:r>
        <w:t xml:space="preserve"> </w:t>
      </w:r>
      <w:r>
        <w:rPr>
          <w:i/>
        </w:rPr>
        <w:t xml:space="preserve">19</w:t>
      </w:r>
      <w:r>
        <w:t xml:space="preserve">(7), 810–822.</w:t>
      </w:r>
      <w:r>
        <w:t xml:space="preserve"> </w:t>
      </w:r>
      <w:hyperlink r:id="rId65">
        <w:r>
          <w:rPr>
            <w:rStyle w:val="Hyperlink"/>
          </w:rPr>
          <w:t xml:space="preserve">https://doi.org/10.1111/ele.12615</w:t>
        </w:r>
      </w:hyperlink>
    </w:p>
    <w:bookmarkEnd w:id="66"/>
    <w:bookmarkStart w:id="68" w:name="ref-Fandino2001"/>
    <w:p>
      <w:pPr>
        <w:pStyle w:val="Bibliography"/>
      </w:pPr>
      <w:r>
        <w:t xml:space="preserve">Laura B. Fandino, Lasse Riemann, Grieg F. Steward, Richard A. Long, F. A. (2001). Variations in bacterial community structure during a dinoflagellate bloom analyzed by DGGE and 16S rDNA sequencing.</w:t>
      </w:r>
      <w:r>
        <w:t xml:space="preserve"> </w:t>
      </w:r>
      <w:r>
        <w:rPr>
          <w:i/>
        </w:rPr>
        <w:t xml:space="preserve">Aquat Microb Ecol</w:t>
      </w:r>
      <w:r>
        <w:t xml:space="preserve">,</w:t>
      </w:r>
      <w:r>
        <w:t xml:space="preserve"> </w:t>
      </w:r>
      <w:r>
        <w:rPr>
          <w:i/>
        </w:rPr>
        <w:t xml:space="preserve">23</w:t>
      </w:r>
      <w:r>
        <w:t xml:space="preserve">, 119–130. Retrieved from</w:t>
      </w:r>
      <w:r>
        <w:t xml:space="preserve"> </w:t>
      </w:r>
      <w:hyperlink r:id="rId67">
        <w:r>
          <w:rPr>
            <w:rStyle w:val="Hyperlink"/>
          </w:rPr>
          <w:t xml:space="preserve">https://www.int-res.com/articles/ame/23/a023p119.pdf</w:t>
        </w:r>
      </w:hyperlink>
    </w:p>
    <w:bookmarkEnd w:id="68"/>
    <w:bookmarkStart w:id="70" w:name="ref-Main2015"/>
    <w:p>
      <w:pPr>
        <w:pStyle w:val="Bibliography"/>
      </w:pPr>
      <w:r>
        <w:t xml:space="preserve">Main, C. R., Salvitti, L. R., Whereat, E. B., &amp; Coyne, K. J. (2015). Community-Level and species-specific associations between phytoplankton and particle-associated Vibrio species in delaware’s inland bays.</w:t>
      </w:r>
      <w:r>
        <w:t xml:space="preserve"> </w:t>
      </w:r>
      <w:r>
        <w:rPr>
          <w:i/>
        </w:rPr>
        <w:t xml:space="preserve">Applied and Environmental Microbiology</w:t>
      </w:r>
      <w:r>
        <w:t xml:space="preserve">,</w:t>
      </w:r>
      <w:r>
        <w:t xml:space="preserve"> </w:t>
      </w:r>
      <w:r>
        <w:rPr>
          <w:i/>
        </w:rPr>
        <w:t xml:space="preserve">81</w:t>
      </w:r>
      <w:r>
        <w:t xml:space="preserve">(17), 5703–5713.</w:t>
      </w:r>
      <w:r>
        <w:t xml:space="preserve"> </w:t>
      </w:r>
      <w:hyperlink r:id="rId69">
        <w:r>
          <w:rPr>
            <w:rStyle w:val="Hyperlink"/>
          </w:rPr>
          <w:t xml:space="preserve">https://doi.org/10.1128/AEM.00580-15</w:t>
        </w:r>
      </w:hyperlink>
    </w:p>
    <w:bookmarkEnd w:id="70"/>
    <w:bookmarkStart w:id="72" w:name="ref-Oehrle2017"/>
    <w:p>
      <w:pPr>
        <w:pStyle w:val="Bibliography"/>
      </w:pPr>
      <w:r>
        <w:t xml:space="preserve">Oehrle, S., Rodriguez-Matos, M., Cartamil, M., Zavala, C., &amp; Rein, K. S. (2017).</w:t>
      </w:r>
      <w:r>
        <w:t xml:space="preserve"> </w:t>
      </w:r>
      <w:r>
        <w:rPr>
          <w:i/>
        </w:rPr>
        <w:t xml:space="preserve">Toxin composition of the 2016 Microcystis aeruginosa bloom in the St. Lucie Estuary, Florida</w:t>
      </w:r>
      <w:r>
        <w:t xml:space="preserve">.</w:t>
      </w:r>
      <w:r>
        <w:t xml:space="preserve"> </w:t>
      </w:r>
      <w:hyperlink r:id="rId71">
        <w:r>
          <w:rPr>
            <w:rStyle w:val="Hyperlink"/>
          </w:rPr>
          <w:t xml:space="preserve">https://doi.org/10.1016/j.toxicon.2017.09.005</w:t>
        </w:r>
      </w:hyperlink>
    </w:p>
    <w:bookmarkEnd w:id="72"/>
    <w:bookmarkStart w:id="74" w:name="ref-Phlips2002"/>
    <w:p>
      <w:pPr>
        <w:pStyle w:val="Bibliography"/>
      </w:pPr>
      <w:r>
        <w:t xml:space="preserve">Phlips, E. J., Badylak, S., &amp; Grosskopf, T. (2002). Factors Affecting the Abundance of Phytoplankton in a Restricted Subtropical Lagoon, the Indian River Lagoon, Florida, USA.</w:t>
      </w:r>
      <w:r>
        <w:t xml:space="preserve"> </w:t>
      </w:r>
      <w:r>
        <w:rPr>
          <w:i/>
        </w:rPr>
        <w:t xml:space="preserve">Estuarine, Coastal and Shelf Science</w:t>
      </w:r>
      <w:r>
        <w:t xml:space="preserve">,</w:t>
      </w:r>
      <w:r>
        <w:t xml:space="preserve"> </w:t>
      </w:r>
      <w:r>
        <w:rPr>
          <w:i/>
        </w:rPr>
        <w:t xml:space="preserve">55</w:t>
      </w:r>
      <w:r>
        <w:t xml:space="preserve">, 385–402.</w:t>
      </w:r>
      <w:r>
        <w:t xml:space="preserve"> </w:t>
      </w:r>
      <w:hyperlink r:id="rId73">
        <w:r>
          <w:rPr>
            <w:rStyle w:val="Hyperlink"/>
          </w:rPr>
          <w:t xml:space="preserve">https://doi.org/10.1006/ecss.2001.0912</w:t>
        </w:r>
      </w:hyperlink>
    </w:p>
    <w:bookmarkEnd w:id="74"/>
    <w:bookmarkStart w:id="76" w:name="ref-Ramanan2016"/>
    <w:p>
      <w:pPr>
        <w:pStyle w:val="Bibliography"/>
      </w:pPr>
      <w:r>
        <w:t xml:space="preserve">Ramanan, R., Kim, B.-H., Cho, D.-H., Oh, H.-M., &amp; Kim, H.-S. (2016). Algae-bacteria interactions: Evolution, ecology and emerging applications-NC-ND license (http://creativecommons.org/licenses/by-nc-nd/4.0/).</w:t>
      </w:r>
      <w:r>
        <w:t xml:space="preserve"> </w:t>
      </w:r>
      <w:r>
        <w:rPr>
          <w:i/>
        </w:rPr>
        <w:t xml:space="preserve">Biotechnology Advances</w:t>
      </w:r>
      <w:r>
        <w:t xml:space="preserve">,</w:t>
      </w:r>
      <w:r>
        <w:t xml:space="preserve"> </w:t>
      </w:r>
      <w:r>
        <w:rPr>
          <w:i/>
        </w:rPr>
        <w:t xml:space="preserve">34</w:t>
      </w:r>
      <w:r>
        <w:t xml:space="preserve">, 14–29.</w:t>
      </w:r>
      <w:r>
        <w:t xml:space="preserve"> </w:t>
      </w:r>
      <w:hyperlink r:id="rId75">
        <w:r>
          <w:rPr>
            <w:rStyle w:val="Hyperlink"/>
          </w:rPr>
          <w:t xml:space="preserve">https://doi.org/10.1016/j.biotechadv.2015.12.003</w:t>
        </w:r>
      </w:hyperlink>
    </w:p>
    <w:bookmarkEnd w:id="76"/>
    <w:bookmarkStart w:id="78" w:name="ref-Seong2013"/>
    <w:p>
      <w:pPr>
        <w:pStyle w:val="Bibliography"/>
      </w:pPr>
      <w:r>
        <w:t xml:space="preserve">Seong, K. A., &amp; Jeong, H. J. (2013). Interactions between marine bacteria and red tide organisms in Korean waters.</w:t>
      </w:r>
      <w:r>
        <w:t xml:space="preserve"> </w:t>
      </w:r>
      <w:r>
        <w:rPr>
          <w:i/>
        </w:rPr>
        <w:t xml:space="preserve">Algae</w:t>
      </w:r>
      <w:r>
        <w:t xml:space="preserve">,</w:t>
      </w:r>
      <w:r>
        <w:t xml:space="preserve"> </w:t>
      </w:r>
      <w:r>
        <w:rPr>
          <w:i/>
        </w:rPr>
        <w:t xml:space="preserve">28</w:t>
      </w:r>
      <w:r>
        <w:t xml:space="preserve">(4), 297–305.</w:t>
      </w:r>
      <w:r>
        <w:t xml:space="preserve"> </w:t>
      </w:r>
      <w:hyperlink r:id="rId77">
        <w:r>
          <w:rPr>
            <w:rStyle w:val="Hyperlink"/>
          </w:rPr>
          <w:t xml:space="preserve">https://doi.org/10.4490/algae.2013.28.4.297</w:t>
        </w:r>
      </w:hyperlink>
    </w:p>
    <w:bookmarkEnd w:id="78"/>
    <w:bookmarkStart w:id="80" w:name="ref-Zhou2018"/>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79">
        <w:r>
          <w:rPr>
            <w:rStyle w:val="Hyperlink"/>
          </w:rPr>
          <w:t xml:space="preserve">https://doi.org/10.3389/fmicb.2018.01201</w:t>
        </w:r>
      </w:hyperlink>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73" Target="https://doi.org/10.1006/ecss.2001.0912" TargetMode="External" /><Relationship Type="http://schemas.openxmlformats.org/officeDocument/2006/relationships/hyperlink" Id="rId75" Target="https://doi.org/10.1016/j.biotechadv.2015.12.003" TargetMode="External" /><Relationship Type="http://schemas.openxmlformats.org/officeDocument/2006/relationships/hyperlink" Id="rId63" Target="https://doi.org/10.1016/j.hal.2015.09.005" TargetMode="External" /><Relationship Type="http://schemas.openxmlformats.org/officeDocument/2006/relationships/hyperlink" Id="rId57" Target="https://doi.org/10.1016/j.pbi.2015.07.003" TargetMode="External" /><Relationship Type="http://schemas.openxmlformats.org/officeDocument/2006/relationships/hyperlink" Id="rId71" Target="https://doi.org/10.1016/j.toxicon.2017.09.005" TargetMode="External" /><Relationship Type="http://schemas.openxmlformats.org/officeDocument/2006/relationships/hyperlink" Id="rId65" Target="https://doi.org/10.1111/ele.12615" TargetMode="External" /><Relationship Type="http://schemas.openxmlformats.org/officeDocument/2006/relationships/hyperlink" Id="rId61" Target="https://doi.org/10.1111/j.1574-6941.2010.00914.x" TargetMode="External" /><Relationship Type="http://schemas.openxmlformats.org/officeDocument/2006/relationships/hyperlink" Id="rId69" Target="https://doi.org/10.1128/AEM.00580-15" TargetMode="External" /><Relationship Type="http://schemas.openxmlformats.org/officeDocument/2006/relationships/hyperlink" Id="rId79" Target="https://doi.org/10.3389/fmicb.2018.01201" TargetMode="External" /><Relationship Type="http://schemas.openxmlformats.org/officeDocument/2006/relationships/hyperlink" Id="rId77" Target="https://doi.org/10.4490/algae.2013.28.4.297" TargetMode="External" /><Relationship Type="http://schemas.openxmlformats.org/officeDocument/2006/relationships/hyperlink" Id="rId67"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73" Target="https://doi.org/10.1006/ecss.2001.0912" TargetMode="External" /><Relationship Type="http://schemas.openxmlformats.org/officeDocument/2006/relationships/hyperlink" Id="rId75" Target="https://doi.org/10.1016/j.biotechadv.2015.12.003" TargetMode="External" /><Relationship Type="http://schemas.openxmlformats.org/officeDocument/2006/relationships/hyperlink" Id="rId63" Target="https://doi.org/10.1016/j.hal.2015.09.005" TargetMode="External" /><Relationship Type="http://schemas.openxmlformats.org/officeDocument/2006/relationships/hyperlink" Id="rId57" Target="https://doi.org/10.1016/j.pbi.2015.07.003" TargetMode="External" /><Relationship Type="http://schemas.openxmlformats.org/officeDocument/2006/relationships/hyperlink" Id="rId71" Target="https://doi.org/10.1016/j.toxicon.2017.09.005" TargetMode="External" /><Relationship Type="http://schemas.openxmlformats.org/officeDocument/2006/relationships/hyperlink" Id="rId65" Target="https://doi.org/10.1111/ele.12615" TargetMode="External" /><Relationship Type="http://schemas.openxmlformats.org/officeDocument/2006/relationships/hyperlink" Id="rId61" Target="https://doi.org/10.1111/j.1574-6941.2010.00914.x" TargetMode="External" /><Relationship Type="http://schemas.openxmlformats.org/officeDocument/2006/relationships/hyperlink" Id="rId69" Target="https://doi.org/10.1128/AEM.00580-15" TargetMode="External" /><Relationship Type="http://schemas.openxmlformats.org/officeDocument/2006/relationships/hyperlink" Id="rId79" Target="https://doi.org/10.3389/fmicb.2018.01201" TargetMode="External" /><Relationship Type="http://schemas.openxmlformats.org/officeDocument/2006/relationships/hyperlink" Id="rId77" Target="https://doi.org/10.4490/algae.2013.28.4.297" TargetMode="External" /><Relationship Type="http://schemas.openxmlformats.org/officeDocument/2006/relationships/hyperlink" Id="rId67"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cp:keywords/>
  <dcterms:created xsi:type="dcterms:W3CDTF">2019-12-02T19:48:23Z</dcterms:created>
  <dcterms:modified xsi:type="dcterms:W3CDTF">2019-12-02T19:48:23Z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2019-12-02</vt:lpwstr>
  </property>
  <property fmtid="{D5CDD505-2E9C-101B-9397-08002B2CF9AE}" pid="5" name="documentclass">
    <vt:lpwstr>article</vt:lpwstr>
  </property>
  <property fmtid="{D5CDD505-2E9C-101B-9397-08002B2CF9AE}" pid="6" name="institute">
    <vt:lpwstr>University of Georgia</vt:lpwstr>
  </property>
  <property fmtid="{D5CDD505-2E9C-101B-9397-08002B2CF9AE}" pid="7" name="output">
    <vt:lpwstr/>
  </property>
  <property fmtid="{D5CDD505-2E9C-101B-9397-08002B2CF9AE}" pid="8" name="site">
    <vt:lpwstr>bookdown::bookdown_site</vt:lpwstr>
  </property>
  <property fmtid="{D5CDD505-2E9C-101B-9397-08002B2CF9AE}" pid="9" name="subtitle">
    <vt:lpwstr/>
  </property>
</Properties>
</file>