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2E0318" w:val="clear"/>
            <w:tcMar>
              <w:top w:type="dxa" w:w="420"/>
              <w:left w:type="dxa" w:w="360"/>
              <w:bottom w:type="dxa" w:w="42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68335"/>
                <w:sz w:val="20"/>
                <w:szCs w:val="20"/>
              </w:rPr>
              <w:t xml:space="preserve">AI TRANSFORMATION CHALLENGE 2026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ins</w:t>
            </w:r>
            <w:r>
              <w:rPr>
                <w:rFonts w:ascii="Arial" w:cs="Arial" w:eastAsia="Arial" w:hAnsi="Arial"/>
                <w:b/>
                <w:bCs/>
                <w:color w:val="E6006B"/>
                <w:sz w:val="72"/>
                <w:szCs w:val="72"/>
              </w:rPr>
              <w:t xml:space="preserve">AI</w:t>
            </w: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</w:t>
            </w:r>
          </w:p>
          <w:p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Documentación del Caso de Uso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2400"/>
        <w:gridCol w:w="4560"/>
      </w:tblGrid>
      <w:tr>
        <w:tc>
          <w:tcPr>
            <w:shd w:fill="E600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INSAIT-2026-02</w:t>
            </w:r>
          </w:p>
        </w:tc>
        <w:tc>
          <w:tcPr>
            <w:shd w:fill="B6833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Completo</w:t>
            </w:r>
          </w:p>
        </w:tc>
        <w:tc>
          <w:p/>
        </w:tc>
      </w:tr>
    </w:tbl>
    <w:p>
      <w:pPr>
        <w:spacing w:after="2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E6006B"/>
          <w:sz w:val="24"/>
          <w:szCs w:val="24"/>
        </w:rPr>
        <w:t xml:space="preserve">Caso 02</w:t>
      </w:r>
    </w:p>
    <w:p>
      <w:pPr>
        <w:pBdr>
          <w:bottom w:val="single" w:color="B68335" w:sz="18" w:space="8"/>
        </w:pBdr>
        <w:spacing w:after="60"/>
      </w:pPr>
      <w:r>
        <w:rPr>
          <w:rFonts w:ascii="Arial" w:cs="Arial" w:eastAsia="Arial" w:hAnsi="Arial"/>
          <w:b/>
          <w:bCs/>
          <w:color w:val="4B0929"/>
          <w:sz w:val="48"/>
          <w:szCs w:val="48"/>
        </w:rPr>
        <w:t xml:space="preserve">Copilot de Cumplimiento Regulatorio (CNBV/CONDUSEF)</w:t>
      </w:r>
    </w:p>
    <w:p>
      <w:pPr>
        <w:spacing w:after="220"/>
      </w:pPr>
    </w:p>
    <w:p>
      <w:pPr>
        <w:spacing w:after="200"/>
        <w:jc w:val="both"/>
      </w:pPr>
      <w:r>
        <w:rPr>
          <w:rFonts w:ascii="Arial" w:cs="Arial" w:eastAsia="Arial" w:hAnsi="Arial"/>
          <w:i/>
          <w:iCs/>
          <w:color w:val="3A3340"/>
          <w:sz w:val="22"/>
          <w:szCs w:val="22"/>
        </w:rPr>
        <w:t xml:space="preserve">RAG (Retrieval-Augmented Generation)  ·  Banca — Compliance y auditoría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B68335" w:val="clear"/>
          </w:tcPr>
          <w:p/>
        </w:tc>
        <w:tc>
          <w:tcPr>
            <w:tcW w:type="dxa" w:w="9290"/>
            <w:shd w:fill="4B092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68335"/>
                <w:sz w:val="18"/>
                <w:szCs w:val="18"/>
              </w:rPr>
              <w:t xml:space="preserve">INSAIT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F4EAF0"/>
                <w:sz w:val="20"/>
                <w:szCs w:val="20"/>
              </w:rPr>
              <w:t xml:space="preserve">Un espacio para conectar, conocer y compartir el conocimiento con soluciones tecnológicas potenciadas por la Inteligencia Artificial.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 de IA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RAG (Retrieval-Augmented Generation)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 objetivo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Banca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perfil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Técnico avanzado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Perfiles clave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Agentic AI Engineer (RAG + memoria) · Especialista en regulatoria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estimado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20–25 horas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 — Caso del catálogo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E6006B" w:val="clear"/>
          </w:tcPr>
          <w:p/>
        </w:tc>
        <w:tc>
          <w:tcPr>
            <w:tcW w:type="dxa" w:w="9290"/>
            <w:shd w:fill="F4EA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E6006B"/>
                <w:sz w:val="18"/>
                <w:szCs w:val="18"/>
              </w:rPr>
              <w:t xml:space="preserve">EL RETO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A3340"/>
                <w:sz w:val="20"/>
                <w:szCs w:val="20"/>
              </w:rPr>
              <w:t xml:space="preserve">Crear un asistente experto para el equipo de auditoría interna. Al subir una nueva normativa, el asistente extrae los requisitos clave, los mapea contra las políticas internas vigentes, identifica gaps y propone acciones de remediación con trazabilidad documental.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Identificación del caso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caso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Copilot de Cumplimiento Regulatorio (CNBV/CONDUSEF)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asignado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INSAIT-2026-02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 — Caso del catálogo</w:t>
            </w:r>
          </w:p>
        </w:tc>
      </w:tr>
    </w:tbl>
    <w:p>
      <w:pPr>
        <w:spacing w:after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E6006B"/>
          <w:sz w:val="18"/>
          <w:szCs w:val="18"/>
        </w:rPr>
        <w:t xml:space="preserve">EQUIPO Y MENTORES (A COMPLETAR POR EL EQUIPO)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Equipo participante: integrantes y rol de cada uno.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Perfiles clave sugeridos para este reto: Agentic AI Engineer (RAG + memoria) · Especialista en regulatoria.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Mentor técnico asignado: ____________________.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Mentor de negocio asignado: ____________________.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Fecha de inicio: ____________________.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Categoría y sector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Caso Completo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 objetivo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Banca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 principal de IA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RAG (Retrieval-Augmented Generation)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 predominante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Resumen ejecutivo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Cada nueva circular de la CNBV o disposición de CONDUSEF obliga al equipo de auditoría a leer decenas de páginas, contrastarlas contra las políticas internas y detectar dónde la institución incumple. Hoy es un proceso manual, lento y propenso a omisiones. Este caso propone un copilot basado en RAG que, al ingerir una normativa, extrae los requisitos clave, los mapea contra el cuerpo de políticas internas, identifica gaps y propone acciones de remediación, siempre con cita a la fuente. El prototipo se valida con un interrogatorio en vivo sobre un PDF de políticas simulado.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Problema u oportunidad de negocio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análisis regulatorio en banca es intensivo en lectura experta. Una nueva normativa puede tardar semanas en analizarse e implementarse. El riesgo de omitir un requisito es alto y costoso: sanciones, observaciones de auditoría y reprocesos. Además, la trazabilidad entre 'lo que pide la norma' y 'lo que dice nuestra política' suele vivir en hojas de cálculo dispersas, lo que dificulta demostrar cumplimiento ante un regulador.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Objetivos del caso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Objetivo general: acelerar y dar trazabilidad al análisis de cumplimiento mediante un asistente RAG sobre normativa y políticas internas.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Reducir el tiempo de análisis inicial de una normativa de días a horas.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Lograr ≥ 90% de respuestas con cita verificable a la fuente en el PoC.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Detectar automáticamente gaps entre requisitos normativos y políticas internas sobre un conjunto de prueba.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Alcance funcional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</w:tblPr>
      <w:tblGrid>
        <w:gridCol w:w="4680"/>
        <w:gridCol w:w="4680"/>
      </w:tblGrid>
      <w:tr>
        <w:tc>
          <w:tcPr>
            <w:shd w:fill="E6006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 SE CUBRE</w:t>
            </w:r>
          </w:p>
        </w:tc>
        <w:tc>
          <w:tcPr>
            <w:shd w:fill="3A3340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SE CUBRE</w:t>
            </w:r>
          </w:p>
        </w:tc>
      </w:tr>
      <w:tr>
        <w:tc>
          <w:tcPr>
            <w:shd w:fill="F4EA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Ingesta y chunking de documentos (normativa + políticas)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Indexación vectorial y recuperación semántica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Respuesta con cita a la fuente (documento, sección)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Mapeo requisito-política y detección de gaps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Propuesta de acciones de remediación</w:t>
            </w:r>
          </w:p>
        </w:tc>
        <w:tc>
          <w:tcPr>
            <w:shd w:fill="FB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Conexión a repositorios documentales reales del banco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Interpretación legal vinculante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Actualización automática de las políticas internas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Datos confidenciales reales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Descripción de la solución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copilot indexa dos corpus: la normativa y las políticas internas. Ante una pregunta o al cargar una nueva norma, recupera los fragmentos más relevantes y genera una respuesta fundamentada que cita explícitamente la fuente. Un módulo de mapeo compara los requisitos extraídos de la norma contra las políticas y marca: cubierto, parcial o gap. Para cada gap, el asistente propone una acción de remediación. La clave del valor es la trazabilidad: toda afirmación está respaldada por una cita.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Flujo funcional de la solución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Se cargan los documentos (normativa y/o políticas) al asistente.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sistema fragmenta e indexa el contenido en una base vectorial.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auditor pregunta o solicita el análisis de una nueva norma.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asistente recupera los fragmentos relevantes (retrieval).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LLM genera la respuesta citando documento y sección.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módulo de mapeo contrasta requisitos vs. políticas y marca gaps.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asistente entrega hallazgos + citas + acciones de remediación.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Datos requeridos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PDFs simulados de normativa (estilo circular CNBV) y un manual de políticas internas ficticio. Volumetría: 2–5 documentos, decenas de páginas. Tratamiento: los textos son ficticios, sin datos reales. Campos/estructura clave: id_documento, sección, texto, embedding, tipo (norma/política).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Stack tecnológico propuesto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0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propuesta</w:t>
            </w:r>
          </w:p>
        </w:tc>
        <w:tc>
          <w:tcPr>
            <w:tcW w:type="dxa" w:w="41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FAISS / Chroma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Recuperación semántica local y reproducible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Modelo de embeddings vía API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Calidad de recuperación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LLM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Modelo GenAI (OpenAI)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Generación con citas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Ingesta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PyPDF / Unstructured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Extracción y chunking de PDFs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FastAPI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Orquesta retrieval + generación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Streamlit/React (chat)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Interrogatorio en vivo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Arquitectura de la solución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Pipeline RAG: Ingesta (PDF → chunks) → Embeddings → Vector store. En consulta: pregunta → retrieval top-k → prompt aumentado → LLM → respuesta con citas. Un módulo de mapeo cruza requisitos extraídos contra políticas. Punto de control clave: cada respuesta debe adjuntar las referencias recuperadas para auditar la fidelidad.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Métricas de éxito e indicadores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900"/>
        <w:gridCol w:w="1900"/>
        <w:gridCol w:w="1260"/>
      </w:tblGrid>
      <w:tr>
        <w:trPr>
          <w:tblHeader/>
        </w:trPr>
        <w:tc>
          <w:tcPr>
            <w:tcW w:type="dxa" w:w="26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7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base</w:t>
            </w:r>
          </w:p>
        </w:tc>
        <w:tc>
          <w:tcPr>
            <w:tcW w:type="dxa" w:w="1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PoC</w:t>
            </w:r>
          </w:p>
        </w:tc>
        <w:tc>
          <w:tcPr>
            <w:tcW w:type="dxa" w:w="1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Medición</w:t>
            </w:r>
          </w:p>
        </w:tc>
        <w:tc>
          <w:tcPr>
            <w:tcW w:type="dxa" w:w="12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Tiempo de análisis de una norma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días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horas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Cronometría del PoC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Negocio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Respuestas con cita verificable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baja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≥ 90%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Revisión manual de muestra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Técnica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Precisión de gaps detectados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alta vs. ground truth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Comparación con set anotado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Técnica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Cobertura de requisitos mapeados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manual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completa en el set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Conteo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Negocio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Riesgos, supuestos y dependencias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 / supuesto</w:t>
            </w:r>
          </w:p>
        </w:tc>
        <w:tc>
          <w:tcPr>
            <w:tcW w:type="dxa" w:w="468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 prevista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Alucinación / cita inventada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Forzar respuesta solo desde contexto recuperado; mostrar las fuentes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Chunking pobre que pierde contexto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Probar tamaños de chunk y solapamiento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Ambigüedad regulatoria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Mantener al especialista en regulatoria como validador (human-in-the-loop)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Documentos mal extraídos (escaneos)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Usar OCR/parser robusto y validar muestras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★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Criterios de evaluación · 100 puntos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900"/>
        <w:gridCol w:w="4760"/>
      </w:tblGrid>
      <w:tr>
        <w:trPr>
          <w:tblHeader/>
        </w:trPr>
        <w:tc>
          <w:tcPr>
            <w:tcW w:type="dxa" w:w="5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47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evalúa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Impacto de Negocio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¿Cuánto valor aporta? ¿Resuelve un pain actual?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Diseño Funcional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Qué lógicas de negocio sigue el diseño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Diseño Técnico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Seguridad, arquitectura, esquema de datos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Desarrollo de la solución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Backend / Frontend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Presentación y Storytelling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Claridad, narrativa y defensa ante el jurado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B68335" w:val="clear"/>
          </w:tcPr>
          <w:p/>
        </w:tc>
        <w:tc>
          <w:tcPr>
            <w:tcW w:type="dxa" w:w="9290"/>
            <w:shd w:fill="4B092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68335"/>
                <w:sz w:val="18"/>
                <w:szCs w:val="18"/>
              </w:rPr>
              <w:t xml:space="preserve">HITO DE VALIDACIÓN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F4EAF0"/>
                <w:sz w:val="20"/>
                <w:szCs w:val="20"/>
              </w:rPr>
              <w:t xml:space="preserve">Interrogatorio en tiempo real al asistente usando un PDF simulado de Políticas — el jurado evalúa precisión, citas y trazabilidad.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3A3340"/>
        <w:sz w:val="14"/>
        <w:szCs w:val="14"/>
      </w:rPr>
      <w:t xml:space="preserve">Copilot de Cumplimiento Regulatorio (CNBV/CONDUSEF)</w:t>
    </w:r>
    <w:r>
      <w:rPr>
        <w:rFonts w:ascii="Arial" w:cs="Arial" w:eastAsia="Arial" w:hAnsi="Arial"/>
        <w:color w:val="3A3340"/>
        <w:sz w:val="14"/>
        <w:szCs w:val="14"/>
      </w:rPr>
      <w:t xml:space="preserve">	Minsait, an Indra company  ·  Página </w:t>
    </w:r>
    <w:r>
      <w:rPr>
        <w:rFonts w:ascii="Arial" w:cs="Arial" w:eastAsia="Arial" w:hAnsi="Arial"/>
        <w:color w:val="3A334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68335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4B0929"/>
        <w:sz w:val="16"/>
        <w:szCs w:val="16"/>
      </w:rPr>
      <w:t xml:space="preserve">insAIt · AI Transformation Challenge 2026</w:t>
    </w:r>
    <w:r>
      <w:rPr>
        <w:rFonts w:ascii="Arial" w:cs="Arial" w:eastAsia="Arial" w:hAnsi="Arial"/>
        <w:color w:val="3A3340"/>
        <w:sz w:val="16"/>
        <w:szCs w:val="16"/>
      </w:rPr>
      <w:t xml:space="preserve">	INSAIT-2026-02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E6006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color w:val="B6833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600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3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de Cumplimiento Regulatorio (CNBV/CONDUSEF)</dc:title>
  <dc:creator>Minsait · insAIt</dc:creator>
  <cp:lastModifiedBy>Un-named</cp:lastModifiedBy>
  <cp:revision>1</cp:revision>
  <dcterms:created xsi:type="dcterms:W3CDTF">2026-06-15T20:07:48.424Z</dcterms:created>
  <dcterms:modified xsi:type="dcterms:W3CDTF">2026-06-15T20:07:48.424Z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