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2E0318" w:val="clear"/>
            <w:tcMar>
              <w:top w:type="dxa" w:w="420"/>
              <w:left w:type="dxa" w:w="360"/>
              <w:bottom w:type="dxa" w:w="42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68335"/>
                <w:sz w:val="20"/>
                <w:szCs w:val="20"/>
              </w:rPr>
              <w:t xml:space="preserve">AI TRANSFORMATION CHALLENGE 2026</w:t>
            </w:r>
          </w:p>
          <w:p>
            <w:pPr>
              <w:spacing w:after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ins</w:t>
            </w:r>
            <w:r>
              <w:rPr>
                <w:rFonts w:ascii="Arial" w:cs="Arial" w:eastAsia="Arial" w:hAnsi="Arial"/>
                <w:b/>
                <w:bCs/>
                <w:color w:val="E6006B"/>
                <w:sz w:val="72"/>
                <w:szCs w:val="72"/>
              </w:rPr>
              <w:t xml:space="preserve">AI</w:t>
            </w: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</w:t>
            </w:r>
          </w:p>
          <w:p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Documentación del Caso de Uso</w:t>
            </w:r>
          </w:p>
        </w:tc>
      </w:tr>
    </w:tbl>
    <w:p>
      <w:pPr>
        <w:spacing w:after="3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2400"/>
        <w:gridCol w:w="4560"/>
      </w:tblGrid>
      <w:tr>
        <w:tc>
          <w:tcPr>
            <w:shd w:fill="E600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INSAIT-2026-06</w:t>
            </w:r>
          </w:p>
        </w:tc>
        <w:tc>
          <w:tcPr>
            <w:shd w:fill="B6833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Completo</w:t>
            </w:r>
          </w:p>
        </w:tc>
        <w:tc>
          <w:p/>
        </w:tc>
      </w:tr>
    </w:tbl>
    <w:p>
      <w:pPr>
        <w:spacing w:after="2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E6006B"/>
          <w:sz w:val="24"/>
          <w:szCs w:val="24"/>
        </w:rPr>
        <w:t xml:space="preserve">Caso 06</w:t>
      </w:r>
    </w:p>
    <w:p>
      <w:pPr>
        <w:pBdr>
          <w:bottom w:val="single" w:color="B68335" w:sz="18" w:space="8"/>
        </w:pBdr>
        <w:spacing w:after="60"/>
      </w:pPr>
      <w:r>
        <w:rPr>
          <w:rFonts w:ascii="Arial" w:cs="Arial" w:eastAsia="Arial" w:hAnsi="Arial"/>
          <w:b/>
          <w:bCs/>
          <w:color w:val="4B0929"/>
          <w:sz w:val="48"/>
          <w:szCs w:val="48"/>
        </w:rPr>
        <w:t xml:space="preserve">Asistente de Explicabilidad para el Cliente Final</w:t>
      </w:r>
    </w:p>
    <w:p>
      <w:pPr>
        <w:spacing w:after="220"/>
      </w:pPr>
    </w:p>
    <w:p>
      <w:pPr>
        <w:spacing w:after="200"/>
        <w:jc w:val="both"/>
      </w:pPr>
      <w:r>
        <w:rPr>
          <w:rFonts w:ascii="Arial" w:cs="Arial" w:eastAsia="Arial" w:hAnsi="Arial"/>
          <w:i/>
          <w:iCs/>
          <w:color w:val="3A3340"/>
          <w:sz w:val="22"/>
          <w:szCs w:val="22"/>
        </w:rPr>
        <w:t xml:space="preserve">Explicabilidad de IA (XAI)  ·  Banca / Seguros — Experiencia + Compliance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B68335" w:val="clear"/>
          </w:tcPr>
          <w:p/>
        </w:tc>
        <w:tc>
          <w:tcPr>
            <w:tcW w:type="dxa" w:w="9290"/>
            <w:shd w:fill="4B0929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68335"/>
                <w:sz w:val="18"/>
                <w:szCs w:val="18"/>
              </w:rPr>
              <w:t xml:space="preserve">INSAIT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F4EAF0"/>
                <w:sz w:val="20"/>
                <w:szCs w:val="20"/>
              </w:rPr>
              <w:t xml:space="preserve">Un espacio para conectar, conocer y compartir el conocimiento con soluciones tecnológicas potenciadas por la Inteligencia Artificial.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 de IA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Explicabilidad de IA (XAI)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 objetivo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Banca / Seguros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perfil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Técnico-funcional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Perfiles clave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Frontend Developer · AI Engineer · Diseñador UX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estimado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15–20 horas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 — Caso del catálogo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E6006B" w:val="clear"/>
          </w:tcPr>
          <w:p/>
        </w:tc>
        <w:tc>
          <w:tcPr>
            <w:tcW w:type="dxa" w:w="9290"/>
            <w:shd w:fill="F4EAF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E6006B"/>
                <w:sz w:val="18"/>
                <w:szCs w:val="18"/>
              </w:rPr>
              <w:t xml:space="preserve">EL RETO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A3340"/>
                <w:sz w:val="20"/>
                <w:szCs w:val="20"/>
              </w:rPr>
              <w:t xml:space="preserve">Desarrollar una interfaz que traduzca las decisiones tomadas por algoritmos de ML (rechazo de crédito, ajuste de prima) en explicaciones claras y accionables para el cliente final. Combina SHAP/LIME con LLM para narrativa amable.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Identificación del caso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caso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Asistente de Explicabilidad para el Cliente Final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asignado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INSAIT-2026-06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 — Caso del catálogo</w:t>
            </w:r>
          </w:p>
        </w:tc>
      </w:tr>
    </w:tbl>
    <w:p>
      <w:pPr>
        <w:spacing w:after="12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E6006B"/>
          <w:sz w:val="18"/>
          <w:szCs w:val="18"/>
        </w:rPr>
        <w:t xml:space="preserve">EQUIPO Y MENTORES (A COMPLETAR POR EL EQUIPO)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Equipo participante: integrantes y rol de cada uno.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Perfiles clave sugeridos para este reto: Frontend Developer · AI Engineer · Diseñador UX.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Mentor técnico asignado: ____________________.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Mentor de negocio asignado: ____________________.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Fecha de inicio: ____________________.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Categoría y sector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Caso Completo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 objetivo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Banca / Seguros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 principal de IA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XAI (SHAP/LIME) + GenAI para narrativa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 predominante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Técnico-funcional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Resumen ejecutivo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Cuando un modelo rechaza un crédito o ajusta una prima, el cliente recibe una notificación opaca que no le dice qué hacer para mejorar. Este caso propone un asistente que combina técnicas de explicabilidad (SHAP/LIME) con un LLM que traduce los factores técnicos en una narrativa amable y accionable. El prototipo simula el portal del cliente mostrando una 'Carta de Rechazo Dinámica' con factores que el cliente entiende y puede accionar.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Problema u oportunidad de negocio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Las decisiones automatizadas sin explicación generan frustración, quejas y riesgo regulatorio (derecho del cliente a entender por qué). El cliente no sabe qué variable pesó ni cómo revertir el resultado, lo que erosiona la confianza y aumenta la carga de los canales de atención con reclamos.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Objetivos del caso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Objetivo general: traducir decisiones de ML en explicaciones claras y accionables para el cliente final.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Generar para cada decisión los principales factores con su contribución (SHAP/LIME).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Producir una narrativa comprensible y empática para un cliente no técnico.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Incluir recomendaciones accionables que el cliente pueda seguir.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Alcance funcional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</w:tblPr>
      <w:tblGrid>
        <w:gridCol w:w="4680"/>
        <w:gridCol w:w="4680"/>
      </w:tblGrid>
      <w:tr>
        <w:tc>
          <w:tcPr>
            <w:shd w:fill="E6006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 SE CUBRE</w:t>
            </w:r>
          </w:p>
        </w:tc>
        <w:tc>
          <w:tcPr>
            <w:shd w:fill="3A3340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SE CUBRE</w:t>
            </w:r>
          </w:p>
        </w:tc>
      </w:tr>
      <w:tr>
        <w:tc>
          <w:tcPr>
            <w:shd w:fill="F4EA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Modelo de decisión simulado (rechazo/ajuste)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Cálculo de explicabilidad (SHAP/LIME)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Generación de narrativa con LLM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Interfaz tipo portal del cliente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Carta de Rechazo Dinámica con factores accionables</w:t>
            </w:r>
          </w:p>
        </w:tc>
        <w:tc>
          <w:tcPr>
            <w:shd w:fill="FB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Modelo de riesgo de producción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Envío real de comunicaciones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Datos reales de clientes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Integración con el portal real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Descripción de la solución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Sobre un modelo de decisión simulado, se calculan las contribuciones de cada variable con SHAP/LIME. Esos factores técnicos se pasan a un LLM que redacta una explicación en lenguaje claro, empático y accionable, evitando jerga. La interfaz presenta la decisión, los 3–5 factores principales y recomendaciones concretas ('reduce tu nivel de endeudamiento', 'demuestra ingresos adicionales'). El resultado es una carta dinámica adaptada a cada cliente.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Flujo funcional de la solución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cliente consulta el resultado de su solicitud en el portal.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sistema recupera la decisión del modelo simulado.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Se calculan los factores con SHAP/LIME.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LLM convierte los factores en narrativa clara.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Se generan recomendaciones accionables.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La interfaz muestra la Carta de Rechazo Dinámica.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cliente entiende los motivos y los siguientes pasos.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Datos requeridos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Dataset sintético de decisiones (variables del cliente + resultado) y un modelo entrenado sobre él. Volumetría: 100–500 casos. Tratamiento: data ficticia. Campos clave: features del cliente, decisión, valores SHAP, narrativa.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Stack tecnológico propuesto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0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propuesta</w:t>
            </w:r>
          </w:p>
        </w:tc>
        <w:tc>
          <w:tcPr>
            <w:tcW w:type="dxa" w:w="416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Modelo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Decisión simulada explicable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Explicabilidad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SHAP / LIME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Contribución por variable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Narrativa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Modelo GenAI (OpenAI)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Texto claro y empático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React / Streamlit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Portal del cliente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FastAPI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Orquesta modelo + XAI + LLM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Arquitectura de la solución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Flujo: Modelo (decisión) → módulo XAI (SHAP/LIME → factores) → LLM (factores → narrativa) → Frontend (carta dinámica). El backend coordina las tres etapas. Punto de control: verificar que la narrativa refleje fielmente los factores calculados (consistencia XAI-texto).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Métricas de éxito e indicadores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900"/>
        <w:gridCol w:w="1900"/>
        <w:gridCol w:w="1260"/>
      </w:tblGrid>
      <w:tr>
        <w:trPr>
          <w:tblHeader/>
        </w:trPr>
        <w:tc>
          <w:tcPr>
            <w:tcW w:type="dxa" w:w="26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7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 base</w:t>
            </w:r>
          </w:p>
        </w:tc>
        <w:tc>
          <w:tcPr>
            <w:tcW w:type="dxa" w:w="19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PoC</w:t>
            </w:r>
          </w:p>
        </w:tc>
        <w:tc>
          <w:tcPr>
            <w:tcW w:type="dxa" w:w="19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Medición</w:t>
            </w:r>
          </w:p>
        </w:tc>
        <w:tc>
          <w:tcPr>
            <w:tcW w:type="dxa" w:w="126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Claridad percibida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comunicación opaca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alta (evaluación)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Encuesta/jurado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Negocio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Factores correctos en la carta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n/a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coinciden con SHAP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Técnica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Acciones accionables incluidas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≥ 3 por carta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Inspección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Negocio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Tiempo de generación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n/a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segundos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Cronometría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Riesgos, supuestos y dependencias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 / supuesto</w:t>
            </w:r>
          </w:p>
        </w:tc>
        <w:tc>
          <w:tcPr>
            <w:tcW w:type="dxa" w:w="468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 prevista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Narrativa que contradiga al modelo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Anclar el texto a los valores SHAP; validar consistencia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Tono inadecuado o no empático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Diseñar prompts y revisar con UX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Sobre-simplificación que pierda precisión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Equilibrar claridad y exactitud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Riesgo regulatorio en redacción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Revisión funcional de compliance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★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Criterios de evaluación · 100 puntos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900"/>
        <w:gridCol w:w="4760"/>
      </w:tblGrid>
      <w:tr>
        <w:trPr>
          <w:tblHeader/>
        </w:trPr>
        <w:tc>
          <w:tcPr>
            <w:tcW w:type="dxa" w:w="5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9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476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evalúa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Impacto de Negocio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¿Cuánto valor aporta? ¿Resuelve un pain actual?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Diseño Funcional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Qué lógicas de negocio sigue el diseño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Diseño Técnico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Seguridad, arquitectura, esquema de datos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Desarrollo de la solución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Backend / Frontend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Presentación y Storytelling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Claridad, narrativa y defensa ante el jurado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B68335" w:val="clear"/>
          </w:tcPr>
          <w:p/>
        </w:tc>
        <w:tc>
          <w:tcPr>
            <w:tcW w:type="dxa" w:w="9290"/>
            <w:shd w:fill="4B0929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68335"/>
                <w:sz w:val="18"/>
                <w:szCs w:val="18"/>
              </w:rPr>
              <w:t xml:space="preserve">HITO DE VALIDACIÓN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F4EAF0"/>
                <w:sz w:val="20"/>
                <w:szCs w:val="20"/>
              </w:rPr>
              <w:t xml:space="preserve">Simulación del portal del cliente donde se muestre una Carta de Rechazo Dinámica con factores accionables que el cliente entiende.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3A3340"/>
        <w:sz w:val="14"/>
        <w:szCs w:val="14"/>
      </w:rPr>
      <w:t xml:space="preserve">Asistente de Explicabilidad para el Cliente Final</w:t>
    </w:r>
    <w:r>
      <w:rPr>
        <w:rFonts w:ascii="Arial" w:cs="Arial" w:eastAsia="Arial" w:hAnsi="Arial"/>
        <w:color w:val="3A3340"/>
        <w:sz w:val="14"/>
        <w:szCs w:val="14"/>
      </w:rPr>
      <w:t xml:space="preserve">	Minsait, an Indra company  ·  Página </w:t>
    </w:r>
    <w:r>
      <w:rPr>
        <w:rFonts w:ascii="Arial" w:cs="Arial" w:eastAsia="Arial" w:hAnsi="Arial"/>
        <w:color w:val="3A334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68335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4B0929"/>
        <w:sz w:val="16"/>
        <w:szCs w:val="16"/>
      </w:rPr>
      <w:t xml:space="preserve">insAIt · AI Transformation Challenge 2026</w:t>
    </w:r>
    <w:r>
      <w:rPr>
        <w:rFonts w:ascii="Arial" w:cs="Arial" w:eastAsia="Arial" w:hAnsi="Arial"/>
        <w:color w:val="3A3340"/>
        <w:sz w:val="16"/>
        <w:szCs w:val="16"/>
      </w:rPr>
      <w:t xml:space="preserve">	INSAIT-2026-06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E6006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color w:val="B6833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600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3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Asistente de Explicabilidad para el Cliente Final</dc:title>
  <dc:creator>Minsait · insAIt</dc:creator>
  <cp:lastModifiedBy>Un-named</cp:lastModifiedBy>
  <cp:revision>1</cp:revision>
  <dcterms:created xsi:type="dcterms:W3CDTF">2026-06-15T20:07:48.778Z</dcterms:created>
  <dcterms:modified xsi:type="dcterms:W3CDTF">2026-06-15T20:07:48.778Z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