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2E0318" w:val="clear"/>
            <w:tcMar>
              <w:top w:type="dxa" w:w="420"/>
              <w:left w:type="dxa" w:w="360"/>
              <w:bottom w:type="dxa" w:w="42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68335"/>
                <w:sz w:val="20"/>
                <w:szCs w:val="20"/>
              </w:rPr>
              <w:t xml:space="preserve">AI TRANSFORMATION CHALLENGE 2026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ins</w:t>
            </w:r>
            <w:r>
              <w:rPr>
                <w:rFonts w:ascii="Arial" w:cs="Arial" w:eastAsia="Arial" w:hAnsi="Arial"/>
                <w:b/>
                <w:bCs/>
                <w:color w:val="E6006B"/>
                <w:sz w:val="72"/>
                <w:szCs w:val="72"/>
              </w:rPr>
              <w:t xml:space="preserve">AI</w:t>
            </w: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</w:t>
            </w:r>
          </w:p>
          <w:p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Documentación del Caso de Uso</w:t>
            </w:r>
          </w:p>
        </w:tc>
      </w:tr>
    </w:tbl>
    <w:p>
      <w:pPr>
        <w:spacing w:after="3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2400"/>
        <w:gridCol w:w="4560"/>
      </w:tblGrid>
      <w:tr>
        <w:tc>
          <w:tcPr>
            <w:shd w:fill="E600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INSAIT-2026-07</w:t>
            </w:r>
          </w:p>
        </w:tc>
        <w:tc>
          <w:tcPr>
            <w:shd w:fill="B6833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Completo</w:t>
            </w:r>
          </w:p>
        </w:tc>
        <w:tc>
          <w:p/>
        </w:tc>
      </w:tr>
    </w:tbl>
    <w:p>
      <w:pPr>
        <w:spacing w:after="2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E6006B"/>
          <w:sz w:val="24"/>
          <w:szCs w:val="24"/>
        </w:rPr>
        <w:t xml:space="preserve">Caso 07</w:t>
      </w:r>
    </w:p>
    <w:p>
      <w:pPr>
        <w:pBdr>
          <w:bottom w:val="single" w:color="B68335" w:sz="18" w:space="8"/>
        </w:pBdr>
        <w:spacing w:after="60"/>
      </w:pPr>
      <w:r>
        <w:rPr>
          <w:rFonts w:ascii="Arial" w:cs="Arial" w:eastAsia="Arial" w:hAnsi="Arial"/>
          <w:b/>
          <w:bCs/>
          <w:color w:val="4B0929"/>
          <w:sz w:val="48"/>
          <w:szCs w:val="48"/>
        </w:rPr>
        <w:t xml:space="preserve">Gestor Documental Inteligente</w:t>
      </w:r>
    </w:p>
    <w:p>
      <w:pPr>
        <w:spacing w:after="220"/>
      </w:pPr>
    </w:p>
    <w:p>
      <w:pPr>
        <w:spacing w:after="200"/>
        <w:jc w:val="both"/>
      </w:pPr>
      <w:r>
        <w:rPr>
          <w:rFonts w:ascii="Arial" w:cs="Arial" w:eastAsia="Arial" w:hAnsi="Arial"/>
          <w:i/>
          <w:iCs/>
          <w:color w:val="3A3340"/>
          <w:sz w:val="22"/>
          <w:szCs w:val="22"/>
        </w:rPr>
        <w:t xml:space="preserve">NLP + Document AI + Rule Engine  ·  Banca / Seguros — Onboarding y operación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INSAIT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Un espacio para conectar, conocer y compartir el conocimiento con soluciones tecnológicas potenciadas por la Inteligencia Artificial.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NLP + Document AI + Rule Engine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Banca / Seguros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perfil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Técnico avanzado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Perfiles clave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AI Engineer · NLP Specialist · Data Governance Consultant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estimado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25–30 horas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E6006B" w:val="clear"/>
          </w:tcPr>
          <w:p/>
        </w:tc>
        <w:tc>
          <w:tcPr>
            <w:tcW w:type="dxa" w:w="9290"/>
            <w:shd w:fill="F4EAF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E6006B"/>
                <w:sz w:val="18"/>
                <w:szCs w:val="18"/>
              </w:rPr>
              <w:t xml:space="preserve">EL RETO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3A3340"/>
                <w:sz w:val="20"/>
                <w:szCs w:val="20"/>
              </w:rPr>
              <w:t xml:space="preserve">Desarrollar una plataforma capaz de ingerir expedientes documentales de clientes (IDs, comprobantes, contratos), extraer información estructurada, validar cumplimiento KYC/AML y enrutar al flujo correspondiente con observabilidad y trazabilidad completa.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Identificación del caso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del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Gestor Documental Inteligente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Código asignado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INSAIT-2026-07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 — Caso del catálogo</w:t>
            </w:r>
          </w:p>
        </w:tc>
      </w:tr>
    </w:tbl>
    <w:p>
      <w:pPr>
        <w:spacing w:after="12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E6006B"/>
          <w:sz w:val="18"/>
          <w:szCs w:val="18"/>
        </w:rPr>
        <w:t xml:space="preserve">EQUIPO Y MENTORES (A COMPLETAR POR EL EQUIPO)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Equipo participante: integrantes y rol de cada uno.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Perfiles clave sugeridos para este reto: AI Engineer · NLP Specialist · Data Governance Consultant.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técnico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Mentor de negocio asignado: ____________________.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Fecha de inicio: ____________________.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Categoría y sector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caso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Caso Completo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 objetivo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Banca / Seguros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 principal de IA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EAF0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Document AI + NLP + motor de reglas</w:t>
            </w:r>
          </w:p>
        </w:tc>
      </w:tr>
      <w:tr>
        <w:tc>
          <w:tcPr>
            <w:tcW w:type="dxa" w:w="3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B0929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 predominante</w:t>
            </w:r>
          </w:p>
        </w:tc>
        <w:tc>
          <w:tcPr>
            <w:tcW w:type="dxa" w:w="63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BF5F8" w:val="clear"/>
            <w:tcMar>
              <w:top w:type="dxa" w:w="60"/>
              <w:left w:type="dxa" w:w="14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Resumen ejecutivo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onboarding de clientes implica recibir y revisar manualmente expedientes (identificaciones, comprobantes, contratos), una tarea lenta y propensa a errores. Este caso propone una plataforma que ingiere los documentos, extrae información estructurada con Document AI, valida cumplimiento KYC/AML mediante un motor de reglas y enruta cada expediente al flujo correspondiente, con trazabilidad y observabilidad completas. El prototipo procesa expedientes simulados, detecta inconsistencias, completa campos faltantes y genera alertas.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Problema u oportunidad de negocio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La captura manual de datos de documentos es costosa, lenta y genera errores que se propagan a todo el ciclo de vida del cliente. Las validaciones KYC/AML dependen de revisión humana, lo que alarga el onboarding (días) y aumenta el riesgo de incumplimiento. Además, no existe trazabilidad de qué se validó y por qué.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Objetivos del caso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Objetivo general: automatizar la extracción, validación KYC/AML y enrutamiento de expedientes documentales con trazabilidad completa.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Extraer automáticamente los campos clave de cada documento del expediente.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Validar reglas KYC/AML y marcar inconsistencias en el set de prueba.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Enrutar el expediente y generar alertas, con registro auditable de cada decisión.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Alcance funcional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</w:tblPr>
      <w:tblGrid>
        <w:gridCol w:w="4680"/>
        <w:gridCol w:w="4680"/>
      </w:tblGrid>
      <w:tr>
        <w:tc>
          <w:tcPr>
            <w:shd w:fill="E6006B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SÍ SE CUBRE</w:t>
            </w:r>
          </w:p>
        </w:tc>
        <w:tc>
          <w:tcPr>
            <w:shd w:fill="3A3340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SE CUBRE</w:t>
            </w:r>
          </w:p>
        </w:tc>
      </w:tr>
      <w:tr>
        <w:tc>
          <w:tcPr>
            <w:shd w:fill="F4EAF0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Ingesta de documentos (IDs, comprobantes, contratos)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Extracción de campos estructurados (Document AI/OCR)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Validación KYC/AML por motor de reglas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Detección de inconsistencias y campos faltantes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Enrutamiento y alertas con trazabilidad</w:t>
            </w:r>
          </w:p>
        </w:tc>
        <w:tc>
          <w:tcPr>
            <w:shd w:fill="FB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Conexión a sistemas core/onboarding reales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Verificación biométrica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Documentos con PII real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•  Decisión final de alta del cliente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Descripción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La plataforma recibe el expediente y aplica Document AI/OCR para extraer texto y campos. Un módulo de NLP estructura la información (nombre, identificación, domicilio, montos). El motor de reglas valida cumplimiento KYC/AML (coincidencias, listas, completitud) y detecta inconsistencias entre documentos. Según el resultado, enruta el expediente (aprobado, revisión, rechazo) y dispara alertas. Cada paso queda registrado para auditoría.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Flujo funcional de la solución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Se cargan los documentos del expediente.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Document AI/OCR extrae texto y campos.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módulo NLP estructura la información clave.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El motor de reglas valida KYC/AML y completitud.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Se detectan inconsistencias y campos faltantes.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La plataforma enruta el expediente y genera alertas.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Todo el proceso queda registrado para trazabilidad.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Datos requeridos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Expedientes simulados: imágenes/PDF de IDs ficticios, comprobantes y contratos, más listas de control sintéticas. Volumetría: 10–30 expedientes. Tratamiento: data ficticia, sin PII real. Campos clave: tipo_documento, campos_extraidos, flags_kyc, inconsistencias, ruta.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Stack tecnológico propuesto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0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propuesta</w:t>
            </w:r>
          </w:p>
        </w:tc>
        <w:tc>
          <w:tcPr>
            <w:tcW w:type="dxa" w:w="41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Document AI/OCR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Tesseract / parser de documentos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Extracción de texto y campos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NLP/estructuración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spaCy / LLM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Normalización de campos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Motor de reglas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Python/JSON rules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Validación KYC/AML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FastAPI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Orquestación y enrutamiento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Logging + tablero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Trazabilidad de cada decisión</w:t>
            </w:r>
          </w:p>
        </w:tc>
      </w:tr>
      <w:tr>
        <w:tc>
          <w:tcPr>
            <w:tcW w:type="dxa" w:w="2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Streamlit</w:t>
            </w:r>
          </w:p>
        </w:tc>
        <w:tc>
          <w:tcPr>
            <w:tcW w:type="dxa" w:w="41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Visualización de expedientes y alertas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Arquitectura de la solución</w:t>
            </w:r>
          </w:p>
        </w:tc>
      </w:tr>
    </w:tbl>
    <w:p>
      <w:pPr>
        <w:spacing w:after="100"/>
      </w:pPr>
    </w:p>
    <w:p>
      <w:pPr>
        <w:spacing w:after="140" w:line="280"/>
        <w:jc w:val="both"/>
      </w:pPr>
      <w:r>
        <w:rPr>
          <w:rFonts w:ascii="Arial" w:cs="Arial" w:eastAsia="Arial" w:hAnsi="Arial"/>
          <w:color w:val="3A3340"/>
          <w:sz w:val="21"/>
          <w:szCs w:val="21"/>
        </w:rPr>
        <w:t xml:space="preserve">Pipeline de Document AI: Ingesta → OCR/extracción → estructuración NLP → motor de reglas KYC/AML → enrutador → alertas, con un log transversal de trazabilidad que alimenta un tablero de observabilidad. Punto de control: cada documento y cada validación quedan registrados con resultado y motivo.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Métricas de éxito e indicadores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900"/>
        <w:gridCol w:w="1900"/>
        <w:gridCol w:w="1260"/>
      </w:tblGrid>
      <w:tr>
        <w:trPr>
          <w:tblHeader/>
        </w:trPr>
        <w:tc>
          <w:tcPr>
            <w:tcW w:type="dxa" w:w="26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17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Línea base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PoC</w:t>
            </w:r>
          </w:p>
        </w:tc>
        <w:tc>
          <w:tcPr>
            <w:tcW w:type="dxa" w:w="1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Medición</w:t>
            </w:r>
          </w:p>
        </w:tc>
        <w:tc>
          <w:tcPr>
            <w:tcW w:type="dxa" w:w="12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Tiempo de procesamiento del expediente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días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minutos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Cronometría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Exactitud de extracción de campos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manual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alta vs. ground truth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Comparación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Inconsistencias detectadas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manual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cobertura del set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Pruebas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Técnica</w:t>
            </w:r>
          </w:p>
        </w:tc>
      </w:tr>
      <w:tr>
        <w:tc>
          <w:tcPr>
            <w:tcW w:type="dxa" w:w="26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Trazabilidad de decisiones</w:t>
            </w:r>
          </w:p>
        </w:tc>
        <w:tc>
          <w:tcPr>
            <w:tcW w:type="dxa" w:w="17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parcial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100% registrada</w:t>
            </w:r>
          </w:p>
        </w:tc>
        <w:tc>
          <w:tcPr>
            <w:tcW w:type="dxa" w:w="1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Auditoría del log</w:t>
            </w:r>
          </w:p>
        </w:tc>
        <w:tc>
          <w:tcPr>
            <w:tcW w:type="dxa" w:w="12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Negocio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Riesgos, supuestos y dependencias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 / supuesto</w:t>
            </w:r>
          </w:p>
        </w:tc>
        <w:tc>
          <w:tcPr>
            <w:tcW w:type="dxa" w:w="468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 prevista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OCR de baja calidad en documentos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Preprocesar imágenes; validar muestras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Reglas KYC/AML incompletas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Co-diseñar con mentor de negocio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Variabilidad de formatos documentales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Acotar tipos en el PoC</w:t>
            </w:r>
          </w:p>
        </w:tc>
      </w:tr>
      <w:tr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Falsos positivos en alertas</w:t>
            </w:r>
          </w:p>
        </w:tc>
        <w:tc>
          <w:tcPr>
            <w:tcW w:type="dxa" w:w="468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Calibrar umbrales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"/>
        <w:gridCol w:w="8740"/>
      </w:tblGrid>
      <w:tr>
        <w:tc>
          <w:tcPr>
            <w:tcW w:type="dxa" w:w="620"/>
            <w:shd w:fill="E6006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★</w:t>
            </w:r>
          </w:p>
        </w:tc>
        <w:tc>
          <w:tcPr>
            <w:tcW w:type="dxa" w:w="8740"/>
            <w:shd w:fill="4B0929" w:val="clear"/>
            <w:tcMar>
              <w:top w:type="dxa" w:w="60"/>
              <w:left w:type="dxa" w:w="20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Criterios de evaluación · 100 puntos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900"/>
        <w:gridCol w:w="4760"/>
      </w:tblGrid>
      <w:tr>
        <w:trPr>
          <w:tblHeader/>
        </w:trPr>
        <w:tc>
          <w:tcPr>
            <w:tcW w:type="dxa" w:w="5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  <w:tc>
          <w:tcPr>
            <w:tcW w:type="dxa" w:w="90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</w:t>
            </w:r>
          </w:p>
        </w:tc>
        <w:tc>
          <w:tcPr>
            <w:tcW w:type="dxa" w:w="4760"/>
            <w:shd w:fill="2E031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se evalúa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Impacto de Negocio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10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¿Cuánto valor aporta? ¿Resuelve un pain actual?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Funcional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Qué lógicas de negocio sigue el diseño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Diseño Técnico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15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Seguridad, arquitectura, esquema de datos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Desarrollo de la solución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Backend / Frontend</w:t>
            </w:r>
          </w:p>
        </w:tc>
      </w:tr>
      <w:tr>
        <w:tc>
          <w:tcPr>
            <w:tcW w:type="dxa" w:w="5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Presentación y Storytelling</w:t>
            </w:r>
          </w:p>
        </w:tc>
        <w:tc>
          <w:tcPr>
            <w:tcW w:type="dxa" w:w="90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25</w:t>
            </w:r>
          </w:p>
        </w:tc>
        <w:tc>
          <w:tcPr>
            <w:tcW w:type="dxa" w:w="4760"/>
            <w:tcBorders>
              <w:top w:val="single" w:color="E8D8E2" w:sz="2"/>
              <w:left w:val="single" w:color="E8D8E2" w:sz="2"/>
              <w:bottom w:val="single" w:color="E8D8E2" w:sz="2"/>
              <w:right w:val="single" w:color="E8D8E2" w:sz="2"/>
            </w:tcBorders>
            <w:shd w:fill="FBF5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A3340"/>
                <w:sz w:val="18"/>
                <w:szCs w:val="18"/>
              </w:rPr>
              <w:t xml:space="preserve">Claridad, narrativa y defensa ante el jurado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"/>
        <w:gridCol w:w="9290"/>
      </w:tblGrid>
      <w:tr>
        <w:tc>
          <w:tcPr>
            <w:tcW w:type="dxa" w:w="70"/>
            <w:shd w:fill="B68335" w:val="clear"/>
          </w:tcPr>
          <w:p/>
        </w:tc>
        <w:tc>
          <w:tcPr>
            <w:tcW w:type="dxa" w:w="9290"/>
            <w:shd w:fill="4B0929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68335"/>
                <w:sz w:val="18"/>
                <w:szCs w:val="18"/>
              </w:rPr>
              <w:t xml:space="preserve">HITO DE VALIDACIÓN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F4EAF0"/>
                <w:sz w:val="20"/>
                <w:szCs w:val="20"/>
              </w:rPr>
              <w:t xml:space="preserve">Procesamiento automático de expedientes simulados donde la plataforma identifique inconsistencias, complete campos faltantes y derive alertas.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3A3340"/>
        <w:sz w:val="14"/>
        <w:szCs w:val="14"/>
      </w:rPr>
      <w:t xml:space="preserve">Gestor Documental Inteligente</w:t>
    </w:r>
    <w:r>
      <w:rPr>
        <w:rFonts w:ascii="Arial" w:cs="Arial" w:eastAsia="Arial" w:hAnsi="Arial"/>
        <w:color w:val="3A3340"/>
        <w:sz w:val="14"/>
        <w:szCs w:val="14"/>
      </w:rPr>
      <w:t xml:space="preserve">	Minsait, an Indra company  ·  Página </w:t>
    </w:r>
    <w:r>
      <w:rPr>
        <w:rFonts w:ascii="Arial" w:cs="Arial" w:eastAsia="Arial" w:hAnsi="Arial"/>
        <w:color w:val="3A334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68335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4B0929"/>
        <w:sz w:val="16"/>
        <w:szCs w:val="16"/>
      </w:rPr>
      <w:t xml:space="preserve">insAIt · AI Transformation Challenge 2026</w:t>
    </w:r>
    <w:r>
      <w:rPr>
        <w:rFonts w:ascii="Arial" w:cs="Arial" w:eastAsia="Arial" w:hAnsi="Arial"/>
        <w:color w:val="3A3340"/>
        <w:sz w:val="16"/>
        <w:szCs w:val="16"/>
      </w:rPr>
      <w:t xml:space="preserve">	INSAIT-2026-07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E6006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  <w:rPr>
        <w:color w:val="B6833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600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3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Gestor Documental Inteligente</dc:title>
  <dc:creator>Minsait · insAIt</dc:creator>
  <cp:lastModifiedBy>Un-named</cp:lastModifiedBy>
  <cp:revision>1</cp:revision>
  <dcterms:created xsi:type="dcterms:W3CDTF">2026-06-15T20:07:48.828Z</dcterms:created>
  <dcterms:modified xsi:type="dcterms:W3CDTF">2026-06-15T20:07:48.828Z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