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2123" w14:textId="4A75D713" w:rsidR="00324CF2" w:rsidRPr="00B873C4" w:rsidRDefault="00324CF2" w:rsidP="00B33990">
      <w:pPr>
        <w:pStyle w:val="Oculto-endereamento"/>
        <w:spacing w:before="2040"/>
        <w:ind w:right="-1"/>
        <w:rPr>
          <w:rFonts w:asciiTheme="minorHAnsi" w:hAnsiTheme="minorHAnsi"/>
          <w:lang w:eastAsia="pt-BR"/>
        </w:rPr>
      </w:pPr>
      <w:r w:rsidRPr="00B873C4">
        <w:rPr>
          <w:rFonts w:ascii="Lato" w:hAnsi="Lato"/>
          <w:color w:val="000000" w:themeColor="text1"/>
          <w:spacing w:val="20"/>
          <w:sz w:val="20"/>
          <w:szCs w:val="20"/>
        </w:rPr>
        <w:t xml:space="preserve">AO EXCELENTÍSSIMO </w:t>
      </w:r>
      <w:r w:rsidR="002C0D22" w:rsidRPr="00B873C4">
        <w:rPr>
          <w:rFonts w:ascii="Lato" w:hAnsi="Lato"/>
          <w:color w:val="000000" w:themeColor="text1"/>
          <w:spacing w:val="20"/>
          <w:sz w:val="20"/>
          <w:szCs w:val="20"/>
        </w:rPr>
        <w:t xml:space="preserve">DESEMBARGADOR </w:t>
      </w:r>
      <w:r w:rsidRPr="00B873C4">
        <w:rPr>
          <w:rFonts w:ascii="Lato" w:hAnsi="Lato"/>
          <w:color w:val="000000" w:themeColor="text1"/>
          <w:spacing w:val="20"/>
          <w:sz w:val="20"/>
          <w:szCs w:val="20"/>
        </w:rPr>
        <w:t xml:space="preserve">SENHOR </w:t>
      </w:r>
      <w:r w:rsidR="00B873C4" w:rsidRPr="00B873C4">
        <w:rPr>
          <w:rFonts w:ascii="Lato" w:hAnsi="Lato"/>
          <w:color w:val="000000" w:themeColor="text1"/>
          <w:spacing w:val="20"/>
          <w:sz w:val="20"/>
          <w:szCs w:val="20"/>
        </w:rPr>
        <w:t>P</w:t>
      </w:r>
      <w:r w:rsidRPr="00B873C4">
        <w:rPr>
          <w:rFonts w:ascii="Lato" w:hAnsi="Lato"/>
          <w:color w:val="000000" w:themeColor="text1"/>
          <w:spacing w:val="20"/>
          <w:sz w:val="20"/>
          <w:szCs w:val="20"/>
        </w:rPr>
        <w:t>RESIDENTE DO</w:t>
      </w:r>
      <w:r w:rsidRPr="00B873C4">
        <w:rPr>
          <w:rFonts w:asciiTheme="minorHAnsi" w:hAnsiTheme="minorHAnsi"/>
        </w:rPr>
        <w:t xml:space="preserve"> </w:t>
      </w:r>
      <w:r w:rsidR="00B873C4">
        <w:rPr>
          <w:rFonts w:asciiTheme="minorHAnsi" w:hAnsiTheme="minorHAnsi"/>
        </w:rPr>
        <w:br/>
      </w:r>
      <w:r w:rsidR="00B873C4" w:rsidRPr="00B873C4">
        <w:rPr>
          <w:rFonts w:ascii="Palatino Linotype" w:hAnsi="Palatino Linotype"/>
          <w:b w:val="0"/>
          <w:bCs w:val="0"/>
          <w:i/>
          <w:iCs/>
          <w:color w:val="808080" w:themeColor="background1" w:themeShade="80"/>
          <w:spacing w:val="0"/>
          <w:sz w:val="24"/>
          <w:szCs w:val="24"/>
        </w:rPr>
        <w:t xml:space="preserve">Egrégio Tribunal </w:t>
      </w:r>
      <w:r w:rsidR="00B873C4">
        <w:rPr>
          <w:rFonts w:ascii="Palatino Linotype" w:hAnsi="Palatino Linotype"/>
          <w:b w:val="0"/>
          <w:bCs w:val="0"/>
          <w:i/>
          <w:iCs/>
          <w:color w:val="808080" w:themeColor="background1" w:themeShade="80"/>
          <w:spacing w:val="0"/>
          <w:sz w:val="24"/>
          <w:szCs w:val="24"/>
        </w:rPr>
        <w:t>d</w:t>
      </w:r>
      <w:r w:rsidR="00B873C4" w:rsidRPr="00B873C4">
        <w:rPr>
          <w:rFonts w:ascii="Palatino Linotype" w:hAnsi="Palatino Linotype"/>
          <w:b w:val="0"/>
          <w:bCs w:val="0"/>
          <w:i/>
          <w:iCs/>
          <w:color w:val="808080" w:themeColor="background1" w:themeShade="80"/>
          <w:spacing w:val="0"/>
          <w:sz w:val="24"/>
          <w:szCs w:val="24"/>
        </w:rPr>
        <w:t xml:space="preserve">e Justiça </w:t>
      </w:r>
      <w:r w:rsidR="00B873C4">
        <w:rPr>
          <w:rFonts w:ascii="Palatino Linotype" w:hAnsi="Palatino Linotype"/>
          <w:b w:val="0"/>
          <w:bCs w:val="0"/>
          <w:i/>
          <w:iCs/>
          <w:color w:val="808080" w:themeColor="background1" w:themeShade="80"/>
          <w:spacing w:val="0"/>
          <w:sz w:val="24"/>
          <w:szCs w:val="24"/>
        </w:rPr>
        <w:t>d</w:t>
      </w:r>
      <w:r w:rsidR="00B873C4" w:rsidRPr="00B873C4">
        <w:rPr>
          <w:rFonts w:ascii="Palatino Linotype" w:hAnsi="Palatino Linotype"/>
          <w:b w:val="0"/>
          <w:bCs w:val="0"/>
          <w:i/>
          <w:iCs/>
          <w:color w:val="808080" w:themeColor="background1" w:themeShade="80"/>
          <w:spacing w:val="0"/>
          <w:sz w:val="24"/>
          <w:szCs w:val="24"/>
        </w:rPr>
        <w:t>o Estado De Minas Gerais</w:t>
      </w:r>
    </w:p>
    <w:p w14:paraId="0201FC9C" w14:textId="42C451EA" w:rsidR="00EB7F89" w:rsidRPr="00EB7F89" w:rsidRDefault="008A4C99" w:rsidP="00EB7F89">
      <w:pPr>
        <w:pStyle w:val="Oculto-Qualificaoautor"/>
        <w:spacing w:after="0"/>
        <w:rPr>
          <w:rFonts w:ascii="Palatino Linotype" w:hAnsi="Palatino Linotype"/>
          <w:i/>
          <w:iCs/>
        </w:rPr>
      </w:pPr>
      <w:r w:rsidRPr="002C0D22">
        <w:rPr>
          <w:rFonts w:asciiTheme="minorHAnsi" w:hAnsiTheme="minorHAnsi"/>
          <w:b/>
          <w:bCs/>
          <w:color w:val="4A442A" w:themeColor="background2" w:themeShade="40"/>
        </w:rPr>
        <w:t>Processo</w:t>
      </w:r>
      <w:r w:rsidR="00324CF2" w:rsidRPr="002C0D22">
        <w:rPr>
          <w:rFonts w:asciiTheme="minorHAnsi" w:hAnsiTheme="minorHAnsi"/>
          <w:b/>
          <w:bCs/>
          <w:color w:val="4A442A" w:themeColor="background2" w:themeShade="40"/>
        </w:rPr>
        <w:t xml:space="preserve"> n</w:t>
      </w:r>
      <w:r w:rsidRPr="002C0D22">
        <w:rPr>
          <w:rFonts w:asciiTheme="minorHAnsi" w:hAnsiTheme="minorHAnsi"/>
          <w:b/>
          <w:bCs/>
          <w:color w:val="4A442A" w:themeColor="background2" w:themeShade="40"/>
        </w:rPr>
        <w:t>º</w:t>
      </w:r>
      <w:r w:rsidR="00324CF2" w:rsidRPr="002C0D22">
        <w:rPr>
          <w:rFonts w:asciiTheme="minorHAnsi" w:hAnsiTheme="minorHAnsi"/>
          <w:b/>
          <w:bCs/>
          <w:color w:val="4A442A" w:themeColor="background2" w:themeShade="40"/>
        </w:rPr>
        <w:t xml:space="preserve"> 1.234.567-8.2023.8.13.0024</w:t>
      </w:r>
      <w:r w:rsidR="00EB7F89" w:rsidRPr="002C0D22">
        <w:rPr>
          <w:rFonts w:asciiTheme="minorHAnsi" w:hAnsiTheme="minorHAnsi"/>
          <w:b/>
          <w:bCs/>
          <w:color w:val="4A442A" w:themeColor="background2" w:themeShade="40"/>
        </w:rPr>
        <w:t xml:space="preserve"> | </w:t>
      </w:r>
      <w:r w:rsidR="00EB7F89" w:rsidRPr="00EB7F89">
        <w:rPr>
          <w:rFonts w:ascii="Palatino Linotype" w:hAnsi="Palatino Linotype"/>
          <w:i/>
          <w:iCs/>
        </w:rPr>
        <w:t>Recurso Especial</w:t>
      </w:r>
    </w:p>
    <w:p w14:paraId="3510A87D" w14:textId="0AAA2BAE" w:rsidR="00324CF2" w:rsidRPr="00B873C4" w:rsidRDefault="00B873C4" w:rsidP="00EB7F89">
      <w:pPr>
        <w:pStyle w:val="Oculto-Qualificaoautor"/>
        <w:rPr>
          <w:rFonts w:asciiTheme="minorHAnsi" w:hAnsiTheme="minorHAnsi"/>
        </w:rPr>
      </w:pPr>
      <w:r w:rsidRPr="002C0D22">
        <w:rPr>
          <w:rFonts w:asciiTheme="minorHAnsi" w:hAnsiTheme="minorHAnsi"/>
          <w:b/>
          <w:bCs/>
          <w:color w:val="4A442A" w:themeColor="background2" w:themeShade="40"/>
        </w:rPr>
        <w:t>João Fontes de Almeida</w:t>
      </w:r>
      <w:r w:rsidRPr="00B873C4">
        <w:rPr>
          <w:rFonts w:asciiTheme="minorHAnsi" w:hAnsiTheme="minorHAnsi"/>
        </w:rPr>
        <w:t xml:space="preserve">, brasileiro, motorista de aplicativo, inscrito no CPF sob o </w:t>
      </w:r>
      <w:proofErr w:type="spellStart"/>
      <w:r w:rsidRPr="00B873C4">
        <w:rPr>
          <w:rFonts w:asciiTheme="minorHAnsi" w:hAnsiTheme="minorHAnsi"/>
        </w:rPr>
        <w:t>n.o</w:t>
      </w:r>
      <w:proofErr w:type="spellEnd"/>
      <w:r w:rsidRPr="00B873C4">
        <w:rPr>
          <w:rFonts w:asciiTheme="minorHAnsi" w:hAnsiTheme="minorHAnsi"/>
        </w:rPr>
        <w:t xml:space="preserve"> 123.456.789-00, residente na Rua Garamond, nº 45, bairro Entrelinhas, Belo Horizonte/MG, por seu advogado que esta subscreve, nos autos da ação declaratória de inexigibilidade de débito cumulada com indenização por danos morais que move em face de </w:t>
      </w:r>
      <w:r w:rsidRPr="002C0D22">
        <w:rPr>
          <w:rFonts w:asciiTheme="minorHAnsi" w:hAnsiTheme="minorHAnsi"/>
          <w:b/>
          <w:bCs/>
          <w:color w:val="4A442A" w:themeColor="background2" w:themeShade="40"/>
        </w:rPr>
        <w:t>Banco Glifo Nacional S.A.</w:t>
      </w:r>
      <w:r w:rsidRPr="002C0D22">
        <w:rPr>
          <w:rFonts w:asciiTheme="minorHAnsi" w:hAnsiTheme="minorHAnsi"/>
          <w:color w:val="4A442A" w:themeColor="background2" w:themeShade="40"/>
        </w:rPr>
        <w:t xml:space="preserve">, </w:t>
      </w:r>
      <w:r w:rsidRPr="00B873C4">
        <w:rPr>
          <w:rFonts w:asciiTheme="minorHAnsi" w:hAnsiTheme="minorHAnsi"/>
        </w:rPr>
        <w:t xml:space="preserve">instituição financeira inscrita no CNPJ sob o </w:t>
      </w:r>
      <w:proofErr w:type="spellStart"/>
      <w:r w:rsidRPr="00B873C4">
        <w:rPr>
          <w:rFonts w:asciiTheme="minorHAnsi" w:hAnsiTheme="minorHAnsi"/>
        </w:rPr>
        <w:t>n.o</w:t>
      </w:r>
      <w:proofErr w:type="spellEnd"/>
      <w:r w:rsidRPr="00B873C4">
        <w:rPr>
          <w:rFonts w:asciiTheme="minorHAnsi" w:hAnsiTheme="minorHAnsi"/>
        </w:rPr>
        <w:t xml:space="preserve"> 12.345.678/0001-90, inconformado com o acórdão proferido pela 14ª Câmara Cível, vem, respeitosamente, à presença de Vossa Excelência, com fundamento no art. 105, III, "a", da Constituição Federal e nos arts. 1.029 e seguintes do Código de Processo Civil, interpor o presente</w:t>
      </w:r>
      <w:r w:rsidRPr="00B873C4">
        <w:rPr>
          <w:rFonts w:asciiTheme="minorHAnsi" w:hAnsiTheme="minorHAnsi"/>
        </w:rPr>
        <w:t xml:space="preserve"> </w:t>
      </w:r>
      <w:r w:rsidR="00EB7F89" w:rsidRPr="002C0D22">
        <w:rPr>
          <w:rFonts w:asciiTheme="minorHAnsi" w:hAnsiTheme="minorHAnsi"/>
          <w:b/>
          <w:bCs/>
          <w:color w:val="4A442A" w:themeColor="background2" w:themeShade="40"/>
        </w:rPr>
        <w:t>R</w:t>
      </w:r>
      <w:r w:rsidRPr="002C0D22">
        <w:rPr>
          <w:rFonts w:asciiTheme="minorHAnsi" w:hAnsiTheme="minorHAnsi"/>
          <w:b/>
          <w:bCs/>
          <w:color w:val="4A442A" w:themeColor="background2" w:themeShade="40"/>
        </w:rPr>
        <w:t>ecurso Especial</w:t>
      </w:r>
      <w:r w:rsidR="00EB7F89" w:rsidRPr="002C0D22">
        <w:rPr>
          <w:rFonts w:asciiTheme="minorHAnsi" w:hAnsiTheme="minorHAnsi"/>
          <w:b/>
          <w:bCs/>
          <w:color w:val="4A442A" w:themeColor="background2" w:themeShade="40"/>
        </w:rPr>
        <w:t>,</w:t>
      </w:r>
      <w:r w:rsidR="00EB7F89" w:rsidRPr="002C0D22">
        <w:rPr>
          <w:rFonts w:ascii="Palatino Linotype" w:hAnsi="Palatino Linotype"/>
          <w:b/>
          <w:bCs/>
          <w:i/>
          <w:iCs/>
          <w:color w:val="4A442A" w:themeColor="background2" w:themeShade="40"/>
        </w:rPr>
        <w:t xml:space="preserve"> </w:t>
      </w:r>
      <w:r w:rsidR="00EB7F89" w:rsidRPr="00EB7F89">
        <w:rPr>
          <w:rFonts w:ascii="Palatino Linotype" w:hAnsi="Palatino Linotype"/>
          <w:i/>
          <w:iCs/>
        </w:rPr>
        <w:t>r</w:t>
      </w:r>
      <w:r w:rsidR="00324CF2" w:rsidRPr="00B873C4">
        <w:rPr>
          <w:rFonts w:asciiTheme="minorHAnsi" w:hAnsiTheme="minorHAnsi"/>
        </w:rPr>
        <w:t>equerendo o seu regular processamento e, atendidos os pressupostos de admissibilidade, a remessa das razões anexas ao Superior Tribunal de Justiça, após a intimação da parte recorrida para apresentação de contrarrazões, nos termos do art. 1.030 do CPC.</w:t>
      </w:r>
    </w:p>
    <w:p w14:paraId="79F09B86" w14:textId="6A812CA3" w:rsidR="00324CF2" w:rsidRPr="00EB7F89" w:rsidRDefault="00324CF2" w:rsidP="00EB7F89">
      <w:pPr>
        <w:pStyle w:val="Oculto-Qualificaoautor"/>
        <w:spacing w:before="600"/>
        <w:rPr>
          <w:rFonts w:asciiTheme="minorHAnsi" w:hAnsiTheme="minorHAnsi"/>
        </w:rPr>
      </w:pPr>
      <w:r w:rsidRPr="00B873C4">
        <w:rPr>
          <w:rFonts w:asciiTheme="minorHAnsi" w:hAnsiTheme="minorHAnsi"/>
        </w:rPr>
        <w:t>Belo Horizonte, 18 de março de 2024.</w:t>
      </w:r>
    </w:p>
    <w:p w14:paraId="1FE49879" w14:textId="789A587B" w:rsidR="00FB08DE" w:rsidRPr="002C0D22" w:rsidRDefault="002C0D22" w:rsidP="002C0D22">
      <w:pPr>
        <w:pStyle w:val="Oculto-nomeadvogado"/>
        <w:keepNext/>
        <w:keepLines/>
        <w:spacing w:before="960"/>
        <w:ind w:left="2835"/>
        <w:rPr>
          <w:rFonts w:asciiTheme="minorHAnsi" w:hAnsiTheme="minorHAnsi"/>
          <w:color w:val="4A442A" w:themeColor="background2" w:themeShade="40"/>
        </w:r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0B01BE16" wp14:editId="4AD32CB4">
            <wp:simplePos x="0" y="0"/>
            <wp:positionH relativeFrom="column">
              <wp:posOffset>25400</wp:posOffset>
            </wp:positionH>
            <wp:positionV relativeFrom="paragraph">
              <wp:posOffset>188595</wp:posOffset>
            </wp:positionV>
            <wp:extent cx="1708150" cy="836295"/>
            <wp:effectExtent l="0" t="0" r="0" b="0"/>
            <wp:wrapNone/>
            <wp:docPr id="73230547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5473" name="Imagem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2C0D22">
        <w:rPr>
          <w:rFonts w:asciiTheme="minorHAnsi" w:hAnsiTheme="minorHAnsi"/>
          <w:color w:val="4A442A" w:themeColor="background2" w:themeShade="40"/>
        </w:rPr>
        <w:t xml:space="preserve">Dr. </w:t>
      </w:r>
      <w:r w:rsidR="00E43971" w:rsidRPr="002C0D22">
        <w:rPr>
          <w:rFonts w:asciiTheme="minorHAnsi" w:hAnsiTheme="minorHAnsi"/>
          <w:color w:val="4A442A" w:themeColor="background2" w:themeShade="40"/>
        </w:rPr>
        <w:t>Nome do Advogado</w:t>
      </w:r>
    </w:p>
    <w:p w14:paraId="1FBA178D" w14:textId="145148BD" w:rsidR="00FB08DE" w:rsidRPr="00E43971" w:rsidRDefault="00000000" w:rsidP="002C0D22">
      <w:pPr>
        <w:pStyle w:val="Oculto-OABadvogado"/>
        <w:keepLines/>
        <w:spacing w:after="0"/>
        <w:ind w:left="2835"/>
        <w:rPr>
          <w:rFonts w:asciiTheme="minorHAnsi" w:hAnsiTheme="minorHAnsi"/>
        </w:rPr>
      </w:pPr>
      <w:r w:rsidRPr="00E43971">
        <w:rPr>
          <w:rFonts w:asciiTheme="minorHAnsi" w:hAnsiTheme="minorHAnsi"/>
        </w:rPr>
        <w:t>OAB/</w:t>
      </w:r>
      <w:r w:rsidR="00E43971" w:rsidRPr="00E43971">
        <w:rPr>
          <w:rFonts w:asciiTheme="minorHAnsi" w:hAnsiTheme="minorHAnsi"/>
        </w:rPr>
        <w:t>UF</w:t>
      </w:r>
      <w:r w:rsidRPr="00E43971">
        <w:rPr>
          <w:rFonts w:asciiTheme="minorHAnsi" w:hAnsiTheme="minorHAnsi"/>
        </w:rPr>
        <w:t xml:space="preserve"> 98.765</w:t>
      </w:r>
    </w:p>
    <w:p w14:paraId="6FDAC391" w14:textId="7C41634D" w:rsidR="00B873C4" w:rsidRDefault="00B873C4" w:rsidP="002C0D22">
      <w:pPr>
        <w:pStyle w:val="Oculto-OABadvogado"/>
        <w:keepLines/>
        <w:spacing w:after="0"/>
        <w:jc w:val="center"/>
      </w:pPr>
      <w:r>
        <w:br w:type="page"/>
      </w:r>
    </w:p>
    <w:p w14:paraId="01B4032E" w14:textId="42DF0D02" w:rsidR="00B873C4" w:rsidRDefault="00B873C4">
      <w:pPr>
        <w:pStyle w:val="Oculto-OABadvogado"/>
        <w:keepLines/>
        <w:spacing w:after="0"/>
      </w:pPr>
    </w:p>
    <w:p w14:paraId="22806D23" w14:textId="775BDB72" w:rsidR="00324CF2" w:rsidRPr="002C0D22" w:rsidRDefault="00A74264" w:rsidP="00325F57">
      <w:pPr>
        <w:pStyle w:val="1Ttuloquandohouverdescrio"/>
        <w:spacing w:before="120"/>
        <w:rPr>
          <w:color w:val="4A442A" w:themeColor="background2" w:themeShade="40"/>
          <w:lang w:eastAsia="pt-BR"/>
        </w:rPr>
      </w:pPr>
      <w:r w:rsidRPr="002C0D22">
        <w:rPr>
          <w:color w:val="4A442A" w:themeColor="background2" w:themeShade="40"/>
        </w:rPr>
        <w:t>QUADRO-RESUMO</w:t>
      </w:r>
    </w:p>
    <w:p w14:paraId="3198E3B2" w14:textId="29304EA5" w:rsidR="00324CF2" w:rsidRDefault="001C4613" w:rsidP="00A74264">
      <w:pPr>
        <w:pStyle w:val="11Descriodottulo"/>
        <w:rPr>
          <w:lang w:eastAsia="pt-BR"/>
        </w:rPr>
      </w:pPr>
      <w:r>
        <w:t>C</w:t>
      </w:r>
      <w:r w:rsidR="00A74264" w:rsidRPr="00A74264">
        <w:t>onforme art. 343-A do regimento interno do STJ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700"/>
      </w:tblGrid>
      <w:tr w:rsidR="007840AB" w:rsidRPr="006C4AB7" w14:paraId="0717338C" w14:textId="77777777" w:rsidTr="00D82769">
        <w:trPr>
          <w:tblHeader/>
        </w:trPr>
        <w:tc>
          <w:tcPr>
            <w:tcW w:w="0" w:type="auto"/>
            <w:gridSpan w:val="2"/>
            <w:tcBorders>
              <w:top w:val="single" w:sz="4" w:space="0" w:color="4A442A" w:themeColor="background2" w:themeShade="40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69D0" w14:textId="266BC583" w:rsidR="007840AB" w:rsidRPr="006C4AB7" w:rsidRDefault="001C4613" w:rsidP="007840AB">
            <w:pPr>
              <w:spacing w:before="0"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Resumo da questão submetida ao Superior Tribunal de Justiça</w:t>
            </w:r>
          </w:p>
        </w:tc>
      </w:tr>
      <w:tr w:rsidR="006C4AB7" w:rsidRPr="006C4AB7" w14:paraId="6C04C059" w14:textId="77777777" w:rsidTr="00A74264">
        <w:tc>
          <w:tcPr>
            <w:tcW w:w="1338" w:type="pct"/>
            <w:tcBorders>
              <w:top w:val="single" w:sz="4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7342" w14:textId="77777777" w:rsidR="006C4AB7" w:rsidRPr="00E20F0F" w:rsidRDefault="006C4AB7" w:rsidP="007840AB">
            <w:pPr>
              <w:spacing w:before="12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  <w:t>Controvérsia</w:t>
            </w:r>
          </w:p>
          <w:p w14:paraId="4A63DA80" w14:textId="77777777" w:rsidR="007840AB" w:rsidRPr="00E20F0F" w:rsidRDefault="007840AB" w:rsidP="007840AB">
            <w:pPr>
              <w:spacing w:before="12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</w:p>
          <w:p w14:paraId="20213350" w14:textId="77777777" w:rsidR="007840AB" w:rsidRPr="00E20F0F" w:rsidRDefault="007840AB" w:rsidP="007840AB">
            <w:pPr>
              <w:spacing w:before="12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</w:p>
        </w:tc>
        <w:tc>
          <w:tcPr>
            <w:tcW w:w="3662" w:type="pct"/>
            <w:tcBorders>
              <w:top w:val="single" w:sz="4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A5968" w14:textId="52D5DE1E" w:rsidR="006C4AB7" w:rsidRPr="00E20F0F" w:rsidRDefault="00414740" w:rsidP="00E20F0F">
            <w:pPr>
              <w:spacing w:before="120" w:after="40" w:line="288" w:lineRule="auto"/>
              <w:jc w:val="left"/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>Se</w:t>
            </w:r>
            <w:r w:rsidR="006C4AB7" w:rsidRPr="00E20F0F"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 a manutenção, por aproximadamente 86 dias, de inscrição fundada em dívida já quitada pode ser considerada mero aborrecimento e submetida à Súmula 385/STJ, embora inexista outra anotação legítima em nome do consumidor.</w:t>
            </w:r>
          </w:p>
        </w:tc>
      </w:tr>
      <w:tr w:rsidR="006C4AB7" w:rsidRPr="006C4AB7" w14:paraId="72F34F04" w14:textId="77777777" w:rsidTr="00A74264">
        <w:tc>
          <w:tcPr>
            <w:tcW w:w="1338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400CF" w14:textId="77777777" w:rsidR="006C4AB7" w:rsidRPr="00E20F0F" w:rsidRDefault="006C4AB7" w:rsidP="007840AB">
            <w:pPr>
              <w:spacing w:before="4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  <w:t>Fundamentos de fato</w:t>
            </w:r>
          </w:p>
        </w:tc>
        <w:tc>
          <w:tcPr>
            <w:tcW w:w="3662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FBD05" w14:textId="77777777" w:rsidR="006C4AB7" w:rsidRPr="00E20F0F" w:rsidRDefault="006C4AB7" w:rsidP="00E20F0F">
            <w:pPr>
              <w:spacing w:before="40" w:after="40" w:line="288" w:lineRule="auto"/>
              <w:jc w:val="left"/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>O empréstimo pessoal nº 4821-7 foi integralmente quitado em 08/11/2023. Apesar disso, a inscrição negativa permaneceu nos cadastros de proteção ao crédito até 02/02/2024, quando foi excluída por determinação judicial. No período, o recorrente não possuía outra restrição legítima.</w:t>
            </w:r>
          </w:p>
        </w:tc>
      </w:tr>
      <w:tr w:rsidR="006C4AB7" w:rsidRPr="006C4AB7" w14:paraId="11AB5A49" w14:textId="77777777" w:rsidTr="007840AB">
        <w:tc>
          <w:tcPr>
            <w:tcW w:w="1338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B435C" w14:textId="77777777" w:rsidR="006C4AB7" w:rsidRPr="00E20F0F" w:rsidRDefault="006C4AB7" w:rsidP="007840AB">
            <w:pPr>
              <w:spacing w:before="4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  <w:t>Fundamentos de direito</w:t>
            </w:r>
          </w:p>
        </w:tc>
        <w:tc>
          <w:tcPr>
            <w:tcW w:w="36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42AD0" w14:textId="77777777" w:rsidR="006C4AB7" w:rsidRPr="00E20F0F" w:rsidRDefault="006C4AB7" w:rsidP="00E20F0F">
            <w:pPr>
              <w:spacing w:before="40" w:after="40" w:line="288" w:lineRule="auto"/>
              <w:jc w:val="left"/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>Quitada a obrigação, a manutenção da inscrição viola o dever de veracidade dos cadastros de consumo (art. 43, §1º, do CDC). Inexistindo anotação legítima anterior, não incide a Súmula 385/STJ. A manutenção indevida do registro configura ato ilícito e gera o dever de indenizar (arts. 186 e 927 do CC).</w:t>
            </w:r>
          </w:p>
        </w:tc>
      </w:tr>
      <w:tr w:rsidR="006C4AB7" w:rsidRPr="006C4AB7" w14:paraId="6B520BC8" w14:textId="77777777" w:rsidTr="00A74264">
        <w:tc>
          <w:tcPr>
            <w:tcW w:w="1338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36B7F" w14:textId="77777777" w:rsidR="006C4AB7" w:rsidRPr="00E20F0F" w:rsidRDefault="006C4AB7" w:rsidP="007840AB">
            <w:pPr>
              <w:spacing w:before="4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  <w:t>Decisão impugnada</w:t>
            </w:r>
          </w:p>
        </w:tc>
        <w:tc>
          <w:tcPr>
            <w:tcW w:w="3662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FE430" w14:textId="77777777" w:rsidR="006C4AB7" w:rsidRPr="00E20F0F" w:rsidRDefault="006C4AB7" w:rsidP="00E20F0F">
            <w:pPr>
              <w:spacing w:before="40" w:after="40" w:line="288" w:lineRule="auto"/>
              <w:jc w:val="left"/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>Acórdão da 14ª Câmara Cível do TJMG que reformou a sentença de procedência e afastou a indenização por dano moral, qualificando a manutenção da inscrição como mero aborrecimento e aplicando a Súmula 385/STJ.</w:t>
            </w:r>
          </w:p>
        </w:tc>
      </w:tr>
      <w:tr w:rsidR="006C4AB7" w:rsidRPr="006C4AB7" w14:paraId="56167231" w14:textId="77777777" w:rsidTr="007840AB">
        <w:tc>
          <w:tcPr>
            <w:tcW w:w="1338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EBB8" w14:textId="77777777" w:rsidR="006C4AB7" w:rsidRPr="00E20F0F" w:rsidRDefault="006C4AB7" w:rsidP="007840AB">
            <w:pPr>
              <w:spacing w:before="4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  <w:t>Dispositivos invocados</w:t>
            </w:r>
          </w:p>
        </w:tc>
        <w:tc>
          <w:tcPr>
            <w:tcW w:w="36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1D99E" w14:textId="77777777" w:rsidR="006C4AB7" w:rsidRPr="00E20F0F" w:rsidRDefault="006C4AB7" w:rsidP="00E20F0F">
            <w:pPr>
              <w:spacing w:before="40" w:after="40" w:line="288" w:lineRule="auto"/>
              <w:jc w:val="left"/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>Art. 43, §1º, do CDC; arts. 186 e 927 do Código Civil; art. 1.025 do CPC; art. 105, III, "a", da CF.</w:t>
            </w:r>
          </w:p>
        </w:tc>
      </w:tr>
      <w:tr w:rsidR="006C4AB7" w:rsidRPr="006C4AB7" w14:paraId="254B7C34" w14:textId="77777777" w:rsidTr="00BC2A82">
        <w:tc>
          <w:tcPr>
            <w:tcW w:w="1338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79BF1" w14:textId="77777777" w:rsidR="006C4AB7" w:rsidRPr="00E20F0F" w:rsidRDefault="006C4AB7" w:rsidP="007840AB">
            <w:pPr>
              <w:spacing w:before="4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  <w:t>Pedidos</w:t>
            </w:r>
          </w:p>
        </w:tc>
        <w:tc>
          <w:tcPr>
            <w:tcW w:w="3662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633BC" w14:textId="77777777" w:rsidR="006C4AB7" w:rsidRPr="00E20F0F" w:rsidRDefault="006C4AB7" w:rsidP="00E20F0F">
            <w:pPr>
              <w:spacing w:before="40" w:after="40" w:line="288" w:lineRule="auto"/>
              <w:jc w:val="left"/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>Conhecimento e provimento do recurso para reformar o acórdão recorrido e restabelecer a sentença quanto ao reconhecimento da inexigibilidade do débito após a quitação e à condenação por dano moral.</w:t>
            </w:r>
          </w:p>
        </w:tc>
      </w:tr>
      <w:tr w:rsidR="006C4AB7" w:rsidRPr="006C4AB7" w14:paraId="25648776" w14:textId="77777777" w:rsidTr="00BC2A82">
        <w:trPr>
          <w:trHeight w:val="20"/>
        </w:trPr>
        <w:tc>
          <w:tcPr>
            <w:tcW w:w="1338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A69D" w14:textId="77777777" w:rsidR="006C4AB7" w:rsidRPr="00E20F0F" w:rsidRDefault="006C4AB7" w:rsidP="007840AB">
            <w:pPr>
              <w:spacing w:before="40" w:after="40" w:line="264" w:lineRule="auto"/>
              <w:jc w:val="left"/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b/>
                <w:bCs/>
                <w:kern w:val="0"/>
                <w:lang w:eastAsia="pt-BR"/>
                <w14:ligatures w14:val="none"/>
              </w:rPr>
              <w:t>Admissibilidade</w:t>
            </w:r>
          </w:p>
        </w:tc>
        <w:tc>
          <w:tcPr>
            <w:tcW w:w="36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CB911" w14:textId="77777777" w:rsidR="006C4AB7" w:rsidRPr="00E20F0F" w:rsidRDefault="006C4AB7" w:rsidP="00E20F0F">
            <w:pPr>
              <w:spacing w:before="40" w:after="40" w:line="288" w:lineRule="auto"/>
              <w:jc w:val="left"/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20F0F">
              <w:rPr>
                <w:rFonts w:asciiTheme="minorHAnsi" w:eastAsia="Times New Roman" w:hAnsiTheme="minorHAnsi" w:cs="Times New Roman"/>
                <w:kern w:val="0"/>
                <w:sz w:val="21"/>
                <w:szCs w:val="21"/>
                <w:lang w:eastAsia="pt-BR"/>
                <w14:ligatures w14:val="none"/>
              </w:rPr>
              <w:t>Questão federal submetida ao Tribunal de origem e objeto de embargos de declaração (art. 1.025 do CPC; Súmula 98/STJ). Controvérsia exclusivamente jurídica — requalificação de fatos expressamente delineados no acórdão, sem necessidade de reexame probatório (Súmula 7/STJ inaplicável).</w:t>
            </w:r>
          </w:p>
        </w:tc>
      </w:tr>
    </w:tbl>
    <w:p w14:paraId="2950FE18" w14:textId="77777777" w:rsidR="00324CF2" w:rsidRDefault="00324CF2" w:rsidP="00665D11">
      <w:pPr>
        <w:pStyle w:val="1Ttuloquandohouverdescrio"/>
        <w:rPr>
          <w:color w:val="4A442A" w:themeColor="background2" w:themeShade="40"/>
          <w:lang w:eastAsia="pt-BR"/>
        </w:rPr>
      </w:pPr>
      <w:r>
        <w:rPr>
          <w:color w:val="4A442A" w:themeColor="background2" w:themeShade="40"/>
        </w:rPr>
        <w:lastRenderedPageBreak/>
        <w:t xml:space="preserve">A QUESTÃO SUBMETIDA AO SUPERIOR TRIBUNAL DE JUSTIÇA </w:t>
      </w:r>
    </w:p>
    <w:p w14:paraId="476C77CB" w14:textId="5F9A51BD" w:rsidR="009C0394" w:rsidRPr="00B03F58" w:rsidRDefault="007D7B40" w:rsidP="00847FDC">
      <w:pPr>
        <w:pStyle w:val="11Descriodottulo"/>
      </w:pPr>
      <w:r w:rsidRPr="007D7B40">
        <w:t xml:space="preserve">Delimitação da controvérsia </w:t>
      </w:r>
      <w:r w:rsidR="009A1910">
        <w:t xml:space="preserve">- </w:t>
      </w:r>
      <w:r w:rsidRPr="007D7B40">
        <w:t>exclusivamente jurídica</w:t>
      </w:r>
    </w:p>
    <w:p w14:paraId="31FCB59B" w14:textId="5F005DCC" w:rsidR="00A74264" w:rsidRDefault="00A74264" w:rsidP="00324CF2">
      <w:pPr>
        <w:pStyle w:val="3Corpocomnumerao"/>
        <w:rPr>
          <w:lang w:eastAsia="pt-BR"/>
        </w:rPr>
      </w:pPr>
      <w:r>
        <w:t>Colendo Superior Tribunal de Justiça, Egrégia Turma, Doutos Ministros</w:t>
      </w:r>
      <w:r>
        <w:t>:</w:t>
      </w:r>
    </w:p>
    <w:p w14:paraId="2B30455E" w14:textId="0BE02BCB" w:rsidR="00324CF2" w:rsidRDefault="00324CF2" w:rsidP="00324CF2">
      <w:pPr>
        <w:pStyle w:val="3Corpocomnumerao"/>
        <w:rPr>
          <w:lang w:eastAsia="pt-BR"/>
        </w:rPr>
      </w:pPr>
      <w:r w:rsidRPr="001C4613">
        <w:rPr>
          <w:b/>
          <w:bCs/>
        </w:rPr>
        <w:t>A controvérsia é exclusivamente jurídica:</w:t>
      </w:r>
      <w:r>
        <w:t xml:space="preserve"> a manutenção, por aproximadamente 86 dias, de inscrição fundada em dívida já quitada pode ser tratada como mero aborrecimento e submetida à Súmula 385/STJ quando o consumidor não possui nenhuma outra anotação legítima?</w:t>
      </w:r>
    </w:p>
    <w:p w14:paraId="643ECF06" w14:textId="5B615269" w:rsidR="00324CF2" w:rsidRDefault="00324CF2" w:rsidP="00324CF2">
      <w:pPr>
        <w:pStyle w:val="3Corpocomnumerao"/>
        <w:rPr>
          <w:lang w:eastAsia="pt-BR"/>
        </w:rPr>
      </w:pPr>
      <w:r>
        <w:t>O acórdão recorrido respondeu afirmativamente. Ao fazê-lo, afastou o dever de veracidade previsto no art. 43, par. 1o, do Código de Defesa do Consumidor e aplicou a Súmula 385/STJ fora da hipótese que justifica a incidência do enunciado. O problema, portanto, não está na reabertura dos fatos, mas na consequência jurídica atribuída a fatos já definidos pela Corte de origem.</w:t>
      </w:r>
    </w:p>
    <w:p w14:paraId="6062A92B" w14:textId="77777777" w:rsidR="00324CF2" w:rsidRDefault="00324CF2" w:rsidP="00324CF2">
      <w:pPr>
        <w:pStyle w:val="3Corpocomnumerao"/>
        <w:rPr>
          <w:lang w:eastAsia="pt-BR"/>
        </w:rPr>
      </w:pPr>
      <w:r>
        <w:t>Três premissas são suficientes para o julgamento do recurso: a dívida foi integralmente quitada em 08/11/2023; a inscrição permaneceu nos cadastros de proteção ao crédito até 02/02/2024; e o recorrente não possuía outra restrição legítima no período. Esses pontos não são objeto de rediscussão no presente recurso.</w:t>
      </w:r>
    </w:p>
    <w:p w14:paraId="073BABE3" w14:textId="77777777" w:rsidR="00324CF2" w:rsidRDefault="00324CF2" w:rsidP="00324CF2">
      <w:pPr>
        <w:pStyle w:val="3Corpocomnumerao"/>
        <w:rPr>
          <w:lang w:eastAsia="pt-BR"/>
        </w:rPr>
      </w:pPr>
      <w:r>
        <w:t>O que se submete ao Superior Tribunal de Justiça é saber se, diante dessas premissas, a manutenção da negativação ainda poderia ser considerada lícita ou juridicamente incapaz de gerar reparação. A resposta, com a devida vênia, é negativa.</w:t>
      </w:r>
    </w:p>
    <w:p w14:paraId="06E2CA0B" w14:textId="600890C5" w:rsidR="00FB08DE" w:rsidRDefault="00C44C93" w:rsidP="00665D11">
      <w:pPr>
        <w:pStyle w:val="1Ttuloquandohouverdescrio"/>
        <w:rPr>
          <w:color w:val="4A442A" w:themeColor="background2" w:themeShade="40"/>
        </w:rPr>
      </w:pPr>
      <w:r w:rsidRPr="006B4E75">
        <w:rPr>
          <w:color w:val="4A442A" w:themeColor="background2" w:themeShade="40"/>
        </w:rPr>
        <w:t>OS FATOS RELEVANTES AO JULGAMENTO DO RECURSO</w:t>
      </w:r>
    </w:p>
    <w:p w14:paraId="2FA2B016" w14:textId="4DB87C00" w:rsidR="007D7B40" w:rsidRPr="007D7B40" w:rsidRDefault="007D7B40" w:rsidP="00443CEA">
      <w:pPr>
        <w:pStyle w:val="11Descriodottulo"/>
      </w:pPr>
      <w:r w:rsidRPr="007D7B40">
        <w:t>Contratação, renegociação e quitação integral do empréstimo pessoal nº 4821-7 em 08/11/2023</w:t>
      </w:r>
      <w:r w:rsidR="00DB0DE4">
        <w:t xml:space="preserve">, com </w:t>
      </w:r>
      <w:r w:rsidR="00DB0DE4" w:rsidRPr="00DB0DE4">
        <w:t>Manutenção indevida da inscrição negativa por 86 dias após a quitação</w:t>
      </w:r>
    </w:p>
    <w:p w14:paraId="68200425" w14:textId="77777777" w:rsidR="00324CF2" w:rsidRDefault="00324CF2" w:rsidP="00324CF2">
      <w:pPr>
        <w:pStyle w:val="3Corpocomnumerao"/>
        <w:rPr>
          <w:lang w:eastAsia="pt-BR"/>
        </w:rPr>
      </w:pPr>
      <w:r>
        <w:t xml:space="preserve">Em 12 de maio de 2022, o recorrente celebrou com a recorrida o contrato de empréstimo pessoal </w:t>
      </w:r>
      <w:proofErr w:type="spellStart"/>
      <w:r>
        <w:t>n.o</w:t>
      </w:r>
      <w:proofErr w:type="spellEnd"/>
      <w:r>
        <w:t xml:space="preserve"> 4821-7, no valor de R$ 8.400,00, a ser pago em vinte e quatro parcelas. Após dificuldades financeiras e a renegociação do contrato, o saldo remanescente de R$ 3.210,00 foi integralmente pago em </w:t>
      </w:r>
      <w:r>
        <w:rPr>
          <w:b/>
          <w:bCs/>
        </w:rPr>
        <w:t>08 de novembro de 2023</w:t>
      </w:r>
      <w:r>
        <w:t>, com o reconhecimento da quitação pela própria instituição financeira em seus sistemas.</w:t>
      </w:r>
    </w:p>
    <w:p w14:paraId="7439F0D3" w14:textId="77777777" w:rsidR="00324CF2" w:rsidRDefault="00324CF2" w:rsidP="00324CF2">
      <w:pPr>
        <w:pStyle w:val="3Corpocomnumerao"/>
        <w:rPr>
          <w:lang w:eastAsia="pt-BR"/>
        </w:rPr>
      </w:pPr>
      <w:r>
        <w:t xml:space="preserve">A partir da quitação, deixou de existir a causa que justificava a inscrição negativa. Apesar disso, o nome do recorrente permaneceu nos cadastros da Serasa e do SPC até </w:t>
      </w:r>
      <w:r>
        <w:rPr>
          <w:b/>
          <w:bCs/>
        </w:rPr>
        <w:lastRenderedPageBreak/>
        <w:t>02 de fevereiro de 2024</w:t>
      </w:r>
      <w:r>
        <w:t>, por aproximadamente 86 dias após o pagamento. A exclusão somente ocorreu após determinação liminar do juízo de primeiro grau.</w:t>
      </w:r>
    </w:p>
    <w:p w14:paraId="7E775201" w14:textId="77777777" w:rsidR="00324CF2" w:rsidRDefault="00324CF2" w:rsidP="00324CF2">
      <w:pPr>
        <w:pStyle w:val="3Corpocomnumerao"/>
        <w:rPr>
          <w:lang w:eastAsia="pt-BR"/>
        </w:rPr>
      </w:pPr>
      <w:r>
        <w:t>Durante todo esse período, o recorrente não possuía outra dívida vencida e não paga ou inscrição legítima capaz de justificar a restrição de seu crédito. A controvérsia decorre, assim, de uma sequência fática objetiva: a obrigação foi extinta pelo pagamento, mas a informação negativa permaneceu disponível ao mercado por quase três meses.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743"/>
        <w:gridCol w:w="2854"/>
      </w:tblGrid>
      <w:tr w:rsidR="00B9300A" w:rsidRPr="00B9300A" w14:paraId="71EE9782" w14:textId="77777777" w:rsidTr="00376C64">
        <w:trPr>
          <w:tblHeader/>
        </w:trPr>
        <w:tc>
          <w:tcPr>
            <w:tcW w:w="0" w:type="auto"/>
            <w:tcBorders>
              <w:top w:val="single" w:sz="4" w:space="0" w:color="4A442A" w:themeColor="background2" w:themeShade="40"/>
              <w:bottom w:val="single" w:sz="4" w:space="0" w:color="4A442A" w:themeColor="background2" w:themeShade="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B7EC2" w14:textId="77777777" w:rsidR="00B9300A" w:rsidRPr="00B9300A" w:rsidRDefault="00B9300A" w:rsidP="00B9300A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4" w:space="0" w:color="4A442A" w:themeColor="background2" w:themeShade="40"/>
              <w:bottom w:val="single" w:sz="4" w:space="0" w:color="4A442A" w:themeColor="background2" w:themeShade="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AC905" w14:textId="77777777" w:rsidR="00B9300A" w:rsidRPr="00B9300A" w:rsidRDefault="00B9300A" w:rsidP="00B9300A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Fato</w:t>
            </w:r>
          </w:p>
        </w:tc>
        <w:tc>
          <w:tcPr>
            <w:tcW w:w="0" w:type="auto"/>
            <w:tcBorders>
              <w:top w:val="single" w:sz="4" w:space="0" w:color="4A442A" w:themeColor="background2" w:themeShade="40"/>
              <w:bottom w:val="single" w:sz="4" w:space="0" w:color="4A442A" w:themeColor="background2" w:themeShade="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EA64D" w14:textId="77777777" w:rsidR="00B9300A" w:rsidRPr="00B9300A" w:rsidRDefault="00B9300A" w:rsidP="00B9300A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Documento/Obs.</w:t>
            </w:r>
          </w:p>
        </w:tc>
      </w:tr>
      <w:tr w:rsidR="00B9300A" w:rsidRPr="00B9300A" w14:paraId="277D48E3" w14:textId="77777777" w:rsidTr="00376C64">
        <w:tc>
          <w:tcPr>
            <w:tcW w:w="0" w:type="auto"/>
            <w:tcBorders>
              <w:top w:val="single" w:sz="4" w:space="0" w:color="4A442A" w:themeColor="background2" w:themeShade="40"/>
            </w:tcBorders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3757A0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12/05/2022</w:t>
            </w:r>
          </w:p>
        </w:tc>
        <w:tc>
          <w:tcPr>
            <w:tcW w:w="0" w:type="auto"/>
            <w:tcBorders>
              <w:top w:val="single" w:sz="4" w:space="0" w:color="4A442A" w:themeColor="background2" w:themeShade="40"/>
            </w:tcBorders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989A4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 xml:space="preserve">Contratação do empréstimo pessoal </w:t>
            </w:r>
            <w:proofErr w:type="spellStart"/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n.o</w:t>
            </w:r>
            <w:proofErr w:type="spellEnd"/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 xml:space="preserve"> 4821-7 (R$ 8.400,00 / 24 parcelas)</w:t>
            </w:r>
          </w:p>
        </w:tc>
        <w:tc>
          <w:tcPr>
            <w:tcW w:w="0" w:type="auto"/>
            <w:tcBorders>
              <w:top w:val="single" w:sz="4" w:space="0" w:color="4A442A" w:themeColor="background2" w:themeShade="40"/>
            </w:tcBorders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21D5D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  <w:tr w:rsidR="00B9300A" w:rsidRPr="00B9300A" w14:paraId="3F525989" w14:textId="77777777" w:rsidTr="00376C64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0F95D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08/11/2023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B65A9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Quitação integral do saldo remanescente (R$ 3.210,00) - reconhecida pelo banco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7EE6C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Comprovante de pagamento</w:t>
            </w:r>
          </w:p>
        </w:tc>
      </w:tr>
      <w:tr w:rsidR="00B9300A" w:rsidRPr="00B9300A" w14:paraId="3EE93658" w14:textId="77777777" w:rsidTr="00376C64"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1AE5E" w14:textId="1A1ADAE9" w:rsidR="00B9300A" w:rsidRPr="00B9300A" w:rsidRDefault="00376C64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86 dias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B1E92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Manutenção indevida da inscrição negativa (Serasa/SPC) - aprox. 86 dias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609963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Extratos cadastrais</w:t>
            </w:r>
          </w:p>
        </w:tc>
      </w:tr>
      <w:tr w:rsidR="00B9300A" w:rsidRPr="00B9300A" w14:paraId="50619B13" w14:textId="77777777" w:rsidTr="00376C64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37EC5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02/02/2024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3428D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Exclusão da inscrição por determinação judicial (liminar)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D0625" w14:textId="77777777" w:rsidR="00B9300A" w:rsidRPr="00B9300A" w:rsidRDefault="00B9300A" w:rsidP="00376C64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B9300A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Decisão liminar do juízo de 1o grau</w:t>
            </w:r>
          </w:p>
        </w:tc>
      </w:tr>
    </w:tbl>
    <w:p w14:paraId="17D16A70" w14:textId="77777777" w:rsidR="00324CF2" w:rsidRPr="00325F57" w:rsidRDefault="00324CF2" w:rsidP="00324CF2">
      <w:pPr>
        <w:pStyle w:val="3Corpocomnumerao"/>
        <w:rPr>
          <w:b/>
          <w:bCs/>
          <w:lang w:eastAsia="pt-BR"/>
        </w:rPr>
      </w:pPr>
      <w:r>
        <w:t xml:space="preserve">Não se discute neste recurso se a dívida foi paga, quando ocorreu a quitação ou por quanto tempo a inscrição permaneceu ativa. A controvérsia começa exatamente onde termina a discussão sobre os fatos: </w:t>
      </w:r>
      <w:r w:rsidRPr="00325F57">
        <w:rPr>
          <w:b/>
          <w:bCs/>
        </w:rPr>
        <w:t>qual é a consequência jurídica da manutenção de uma inscrição negativa fundada em obrigação já extinta pelo pagamento?</w:t>
      </w:r>
    </w:p>
    <w:p w14:paraId="0EC71411" w14:textId="77777777" w:rsidR="0017513B" w:rsidRDefault="0017513B" w:rsidP="00665D11">
      <w:pPr>
        <w:pStyle w:val="1Ttuloquandohouverdescrio"/>
        <w:rPr>
          <w:color w:val="4A442A" w:themeColor="background2" w:themeShade="40"/>
        </w:rPr>
      </w:pPr>
      <w:r>
        <w:rPr>
          <w:color w:val="4A442A" w:themeColor="background2" w:themeShade="40"/>
        </w:rPr>
        <w:t>ADMISSIBILIDADE</w:t>
      </w:r>
    </w:p>
    <w:p w14:paraId="357F9BEF" w14:textId="4316781B" w:rsidR="00FB08DE" w:rsidRPr="00847FDC" w:rsidRDefault="00DB0DE4" w:rsidP="00847FDC">
      <w:pPr>
        <w:pStyle w:val="11Descriodottulo"/>
      </w:pPr>
      <w:r w:rsidRPr="00DB0DE4">
        <w:t xml:space="preserve">Demonstração dos pressupostos de admissibilidade recursal: prequestionamento </w:t>
      </w:r>
      <w:r>
        <w:br/>
      </w:r>
      <w:r w:rsidRPr="00DB0DE4">
        <w:t>atendido e ausência de óbice na Súmula 7/STJ.</w:t>
      </w:r>
    </w:p>
    <w:p w14:paraId="3CC4D175" w14:textId="262E4E11" w:rsidR="00324CF2" w:rsidRDefault="00324CF2" w:rsidP="00324CF2">
      <w:pPr>
        <w:pStyle w:val="3Corpocomnumerao"/>
        <w:rPr>
          <w:lang w:eastAsia="pt-BR"/>
        </w:rPr>
      </w:pPr>
      <w:r>
        <w:t>A controvérsia federal foi submetida à Corte de origem e está diretamente relacionada aos fundamentos adotados pelo acórdão recorrido. Ao afastar a reparação por dano moral e aplicar a Súmula 385/STJ à manutenção da inscrição após a quitação, o Tribunal de origem definiu as consequências jurídicas atribuídas ao registro negativo e ao dever de veracidade dos cadastros de consumo.</w:t>
      </w:r>
    </w:p>
    <w:p w14:paraId="0AAFCF0E" w14:textId="54076AFF" w:rsidR="00324CF2" w:rsidRDefault="00324CF2" w:rsidP="00324CF2">
      <w:pPr>
        <w:pStyle w:val="3Corpocomnumerao"/>
        <w:rPr>
          <w:lang w:eastAsia="pt-BR"/>
        </w:rPr>
      </w:pPr>
      <w:r>
        <w:t xml:space="preserve">Por cautela, o recorrente opôs embargos de declaração e provocou manifestação específica sobre os dispositivos federais invocados neste recurso. Ainda que se </w:t>
      </w:r>
      <w:r>
        <w:lastRenderedPageBreak/>
        <w:t xml:space="preserve">entenda ausente pronunciamento expresso sobre algum deles, a matéria deve ser considerada incluída no acórdão, nos termos do </w:t>
      </w:r>
      <w:r>
        <w:rPr>
          <w:b/>
          <w:bCs/>
        </w:rPr>
        <w:t>art. 1.025 do CPC</w:t>
      </w:r>
      <w:r w:rsidR="00325F57">
        <w:t>.</w:t>
      </w:r>
    </w:p>
    <w:p w14:paraId="6DC5DA2A" w14:textId="77777777" w:rsidR="00324CF2" w:rsidRDefault="00324CF2" w:rsidP="00324CF2">
      <w:pPr>
        <w:pStyle w:val="3Corpocomnumerao"/>
        <w:rPr>
          <w:lang w:eastAsia="pt-BR"/>
        </w:rPr>
      </w:pPr>
      <w:r>
        <w:t>A oposição dos embargos com finalidade de prequestionamento, ademais, não possui caráter protelatório, conforme orientação consolidada na Súmula 98/STJ. Está atendido, portanto, o requisito do prequestionamento.</w:t>
      </w:r>
    </w:p>
    <w:p w14:paraId="428FE93B" w14:textId="67151CFC" w:rsidR="00FB08DE" w:rsidRPr="00847FDC" w:rsidRDefault="00115F84" w:rsidP="00847FDC">
      <w:pPr>
        <w:pStyle w:val="2Subttulo"/>
      </w:pPr>
      <w:r w:rsidRPr="00115F84">
        <w:t>Inaplicabilidade da Súmula 7/STJ — requalificação jurídica de fatos expressamente delineados no acórdão, sem reexame probatório</w:t>
      </w:r>
      <w:r>
        <w:t xml:space="preserve"> </w:t>
      </w:r>
    </w:p>
    <w:p w14:paraId="2BA09820" w14:textId="77777777" w:rsidR="00324CF2" w:rsidRDefault="00324CF2" w:rsidP="00324CF2">
      <w:pPr>
        <w:pStyle w:val="3Corpocomnumerao"/>
        <w:rPr>
          <w:lang w:eastAsia="pt-BR"/>
        </w:rPr>
      </w:pPr>
      <w:r>
        <w:t>A incidência da Súmula 7/STJ deve ser afastada porque o recorrente não pretende modificar nenhuma das premissas fáticas estabelecidas na origem. Não se questiona a ocorrência da quitação, a data do pagamento, o período de manutenção da inscrição ou a inexistência de outra anotação legítima.</w:t>
      </w:r>
    </w:p>
    <w:p w14:paraId="50A70742" w14:textId="77777777" w:rsidR="00324CF2" w:rsidRDefault="00324CF2" w:rsidP="00324CF2">
      <w:pPr>
        <w:pStyle w:val="3Corpocomnumerao"/>
        <w:rPr>
          <w:lang w:eastAsia="pt-BR"/>
        </w:rPr>
      </w:pPr>
      <w:r>
        <w:t>O recurso discute apenas as consequências jurídicas desses fatos: se a manutenção do registro após a quitação viola o dever de veracidade previsto no art. 43, par. 1o, do CDC e se a Súmula 385/STJ pode ser aplicada quando inexiste inscrição legítima anterior.</w:t>
      </w:r>
    </w:p>
    <w:p w14:paraId="7EC3DE78" w14:textId="77777777" w:rsidR="00324CF2" w:rsidRDefault="00324CF2" w:rsidP="00324CF2">
      <w:pPr>
        <w:pStyle w:val="3Corpocomnumerao"/>
        <w:rPr>
          <w:lang w:eastAsia="pt-BR"/>
        </w:rPr>
      </w:pPr>
      <w:r>
        <w:t>Uma coisa seria reexaminar o conjunto probatório para concluir que a dívida foi efetivamente quitada. Outra, inteiramente distinta, é definir as consequências jurídicas de uma quitação já reconhecida pela Corte de origem. É apenas essa segunda questão que se submete ao Superior Tribunal de Justiça.</w:t>
      </w:r>
    </w:p>
    <w:p w14:paraId="21948B36" w14:textId="77777777" w:rsidR="00324CF2" w:rsidRDefault="00324CF2" w:rsidP="00B8599C">
      <w:pPr>
        <w:pStyle w:val="3Corpocomnumerao"/>
        <w:spacing w:before="240" w:after="600"/>
        <w:rPr>
          <w:lang w:eastAsia="pt-BR"/>
        </w:rPr>
      </w:pPr>
      <w:r>
        <w:t xml:space="preserve">Pretende-se, portanto, a </w:t>
      </w:r>
      <w:r>
        <w:rPr>
          <w:b/>
          <w:bCs/>
        </w:rPr>
        <w:t>requalificação jurídica de fatos expressamente delineados no acórdão recorrido</w:t>
      </w:r>
      <w:r>
        <w:t>, providência que não exige a reabertura do conjunto probatório e, por isso, não encontra óbice na Súmula 7/STJ.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4290"/>
      </w:tblGrid>
      <w:tr w:rsidR="00627D53" w:rsidRPr="00627D53" w14:paraId="1BC98FA7" w14:textId="77777777" w:rsidTr="00E36798">
        <w:trPr>
          <w:tblHeader/>
        </w:trPr>
        <w:tc>
          <w:tcPr>
            <w:tcW w:w="2655" w:type="pct"/>
            <w:tcBorders>
              <w:top w:val="single" w:sz="4" w:space="0" w:color="4A442A" w:themeColor="background2" w:themeShade="40"/>
              <w:bottom w:val="single" w:sz="4" w:space="0" w:color="4A442A" w:themeColor="background2" w:themeShade="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77C8" w14:textId="1A0769F3" w:rsidR="00627D53" w:rsidRPr="00627D53" w:rsidRDefault="00627D53" w:rsidP="00F25A86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 xml:space="preserve">O recurso </w:t>
            </w:r>
            <w:r w:rsidR="00E36798" w:rsidRPr="00E36798">
              <w:rPr>
                <w:rFonts w:ascii="Cambria" w:eastAsia="Times New Roman" w:hAnsi="Cambria" w:cs="Times New Roman"/>
                <w:b/>
                <w:bCs/>
                <w:i/>
                <w:iCs/>
                <w:kern w:val="0"/>
                <w:lang w:eastAsia="pt-BR"/>
                <w14:ligatures w14:val="none"/>
              </w:rPr>
              <w:t>não</w:t>
            </w:r>
            <w:r w:rsidRPr="00627D53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 xml:space="preserve"> discute (fato incontroverso)</w:t>
            </w:r>
          </w:p>
        </w:tc>
        <w:tc>
          <w:tcPr>
            <w:tcW w:w="2345" w:type="pct"/>
            <w:tcBorders>
              <w:top w:val="single" w:sz="4" w:space="0" w:color="4A442A" w:themeColor="background2" w:themeShade="40"/>
              <w:bottom w:val="single" w:sz="4" w:space="0" w:color="4A442A" w:themeColor="background2" w:themeShade="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FCCA" w14:textId="77777777" w:rsidR="00627D53" w:rsidRPr="00627D53" w:rsidRDefault="00627D53" w:rsidP="00F25A86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O recurso discute (questão jurídica)</w:t>
            </w:r>
          </w:p>
        </w:tc>
      </w:tr>
      <w:tr w:rsidR="00627D53" w:rsidRPr="00627D53" w14:paraId="009C4966" w14:textId="77777777" w:rsidTr="00E36798">
        <w:tc>
          <w:tcPr>
            <w:tcW w:w="2655" w:type="pct"/>
            <w:tcBorders>
              <w:top w:val="single" w:sz="4" w:space="0" w:color="4A442A" w:themeColor="background2" w:themeShade="4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8AAFA" w14:textId="77777777" w:rsidR="00627D53" w:rsidRPr="00627D53" w:rsidRDefault="00627D53" w:rsidP="00E36798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Se a dívida foi efetivamente quitada</w:t>
            </w:r>
          </w:p>
        </w:tc>
        <w:tc>
          <w:tcPr>
            <w:tcW w:w="2345" w:type="pct"/>
            <w:tcBorders>
              <w:top w:val="single" w:sz="4" w:space="0" w:color="4A442A" w:themeColor="background2" w:themeShade="40"/>
            </w:tcBorders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E3F0DD" w14:textId="0D1747FF" w:rsidR="00627D53" w:rsidRPr="00627D53" w:rsidRDefault="00627D53" w:rsidP="00E36798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Se a manutenção do registro após a quitação viola o art. 43, §1</w:t>
            </w:r>
            <w:r w:rsidR="00E36798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º</w:t>
            </w:r>
            <w:r w:rsidRPr="00627D53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, do CDC</w:t>
            </w:r>
          </w:p>
        </w:tc>
      </w:tr>
      <w:tr w:rsidR="00627D53" w:rsidRPr="00627D53" w14:paraId="234E29C2" w14:textId="77777777" w:rsidTr="00E36798">
        <w:tc>
          <w:tcPr>
            <w:tcW w:w="2655" w:type="pct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86BE1" w14:textId="77777777" w:rsidR="00627D53" w:rsidRPr="00627D53" w:rsidRDefault="00627D53" w:rsidP="00E36798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A data do pagamento ou o tempo de permanência da inscrição</w:t>
            </w:r>
          </w:p>
        </w:tc>
        <w:tc>
          <w:tcPr>
            <w:tcW w:w="2345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F5574" w14:textId="77777777" w:rsidR="00627D53" w:rsidRPr="00627D53" w:rsidRDefault="00627D53" w:rsidP="00E36798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Se a Súmula 385/STJ incide quando inexiste inscrição legítima anterior</w:t>
            </w:r>
          </w:p>
        </w:tc>
      </w:tr>
      <w:tr w:rsidR="00627D53" w:rsidRPr="00627D53" w14:paraId="5DAF8405" w14:textId="77777777" w:rsidTr="00E36798">
        <w:tc>
          <w:tcPr>
            <w:tcW w:w="2655" w:type="pct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A4B4D9" w14:textId="77777777" w:rsidR="00627D53" w:rsidRPr="00627D53" w:rsidRDefault="00627D53" w:rsidP="00E36798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A existência de outras dívidas (premissa já fixada pela origem)</w:t>
            </w:r>
          </w:p>
        </w:tc>
        <w:tc>
          <w:tcPr>
            <w:tcW w:w="2345" w:type="pct"/>
            <w:shd w:val="clear" w:color="auto" w:fill="F9F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A933E" w14:textId="77777777" w:rsidR="00627D53" w:rsidRPr="00627D53" w:rsidRDefault="00627D53" w:rsidP="00E36798">
            <w:pPr>
              <w:spacing w:before="80" w:after="8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627D53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A consequência jurídica de fatos já delineados pelo acórdão</w:t>
            </w:r>
          </w:p>
        </w:tc>
      </w:tr>
    </w:tbl>
    <w:p w14:paraId="079B274F" w14:textId="77777777" w:rsidR="00324CF2" w:rsidRDefault="00324CF2">
      <w:pPr>
        <w:pStyle w:val="2Subttulo"/>
        <w:rPr>
          <w:lang w:eastAsia="pt-BR"/>
        </w:rPr>
      </w:pPr>
      <w:r>
        <w:lastRenderedPageBreak/>
        <w:t>A Manutenção da Inscrição Após a Quitação Viola o Art. 43, par. 1o, do CDC</w:t>
      </w:r>
    </w:p>
    <w:p w14:paraId="530FE809" w14:textId="77777777" w:rsidR="00324CF2" w:rsidRDefault="00324CF2" w:rsidP="00324CF2">
      <w:pPr>
        <w:pStyle w:val="3Corpocomnumerao"/>
        <w:rPr>
          <w:lang w:eastAsia="pt-BR"/>
        </w:rPr>
      </w:pPr>
      <w:r>
        <w:t>O art. 43, par. 1o, do Código de Defesa do Consumidor estabelece que os dados constantes dos cadastros de consumo devem ser objetivos, claros e verdadeiros. O dever de veracidade não constitui simples recomendação dirigida aos responsáveis pelos registros, mas condição de licitude da informação mantida nos cadastros de proteção ao crédito.</w:t>
      </w:r>
    </w:p>
    <w:p w14:paraId="4A6A175B" w14:textId="13B3C72A" w:rsidR="00324CF2" w:rsidRPr="00B8599C" w:rsidRDefault="00324CF2" w:rsidP="00B8599C">
      <w:pPr>
        <w:pStyle w:val="4Citao0"/>
        <w:rPr>
          <w:lang w:eastAsia="pt-BR"/>
        </w:rPr>
      </w:pPr>
      <w:r w:rsidRPr="00B8599C">
        <w:t xml:space="preserve">Os cadastros e dados de consumidores devem ser </w:t>
      </w:r>
      <w:r w:rsidRPr="00B8599C">
        <w:rPr>
          <w:i/>
          <w:iCs/>
        </w:rPr>
        <w:t>objetivos, claros, verdadeiros e em linguagem de fácil compreensão</w:t>
      </w:r>
      <w:r w:rsidRPr="00B8599C">
        <w:t>, não podendo conter informações negativas referentes a período superior a cinco anos.</w:t>
      </w:r>
    </w:p>
    <w:p w14:paraId="2A73539F" w14:textId="44169F23" w:rsidR="00324CF2" w:rsidRPr="00B8599C" w:rsidRDefault="00324CF2" w:rsidP="00B8599C">
      <w:pPr>
        <w:pStyle w:val="41Citao-informaes"/>
        <w:rPr>
          <w:lang w:eastAsia="pt-BR"/>
        </w:rPr>
      </w:pPr>
      <w:r w:rsidRPr="00B8599C">
        <w:t>Art. 43, par. 1</w:t>
      </w:r>
      <w:r w:rsidR="00B8599C">
        <w:t>º,</w:t>
      </w:r>
      <w:r w:rsidRPr="00B8599C">
        <w:t xml:space="preserve"> do Código de Defesa do Consumidor</w:t>
      </w:r>
    </w:p>
    <w:p w14:paraId="22A72FA5" w14:textId="7CA036ED" w:rsidR="00324CF2" w:rsidRDefault="00324CF2" w:rsidP="00324CF2">
      <w:pPr>
        <w:pStyle w:val="3Corpocomnumerao"/>
        <w:rPr>
          <w:lang w:eastAsia="pt-BR"/>
        </w:rPr>
      </w:pPr>
      <w:r>
        <w:t>Enquanto existe obrigação vencida e não paga, a inscrição retrata uma situação jurídica existente. Com a quitação, porém, desaparece a causa que conferia veracidade à informação negativa. A manutenção do registro passa, então, a comunicar ao mercado uma condição que já não existe: a de que o consumidor permanece inadimplente.</w:t>
      </w:r>
    </w:p>
    <w:p w14:paraId="34A97119" w14:textId="7A9B045C" w:rsidR="00324CF2" w:rsidRDefault="001408A7" w:rsidP="00324CF2">
      <w:pPr>
        <w:pStyle w:val="3Corpocomnumerao"/>
        <w:rPr>
          <w:lang w:eastAsia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7E402AF" wp14:editId="1E8BF74D">
                <wp:simplePos x="0" y="0"/>
                <wp:positionH relativeFrom="column">
                  <wp:posOffset>5866544</wp:posOffset>
                </wp:positionH>
                <wp:positionV relativeFrom="paragraph">
                  <wp:posOffset>3629</wp:posOffset>
                </wp:positionV>
                <wp:extent cx="884542" cy="1302553"/>
                <wp:effectExtent l="0" t="0" r="0" b="0"/>
                <wp:wrapNone/>
                <wp:docPr id="1138117247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42" cy="1302553"/>
                        </a:xfrm>
                        <a:prstGeom prst="rect">
                          <a:avLst/>
                        </a:prstGeom>
                        <a:solidFill>
                          <a:srgbClr val="F9F8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732B9" id="Retângulo 12" o:spid="_x0000_s1026" style="position:absolute;margin-left:461.95pt;margin-top:.3pt;width:69.65pt;height:102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" fillcolor="#f9f8f5" stroked="f" strokeweight="2pt"/>
            </w:pict>
          </mc:Fallback>
        </mc:AlternateContent>
      </w:r>
      <w:r w:rsidR="00324CF2">
        <w:t xml:space="preserve">Foi exatamente o que ocorreu no caso. </w:t>
      </w:r>
      <w:r w:rsidR="00324CF2" w:rsidRPr="00B8599C">
        <w:rPr>
          <w:b/>
          <w:bCs/>
        </w:rPr>
        <w:t>A dívida foi integralmente quitada em 08/11/2023 e, ainda assim, por aproximadamente 86 dias, os cadastros de proteção ao crédito continuaram informando que o recorrente se encontrava inadimplente.</w:t>
      </w:r>
      <w:r w:rsidR="00324CF2">
        <w:t xml:space="preserve"> A exclusão da anotação não ocorreu espontaneamente, sendo necessária determinação judicial para que, em 02/02/2024, a informação fosse finalmente retirada.</w:t>
      </w:r>
    </w:p>
    <w:p w14:paraId="01253CC7" w14:textId="77777777" w:rsidR="00324CF2" w:rsidRDefault="00324CF2" w:rsidP="00324CF2">
      <w:pPr>
        <w:pStyle w:val="3Corpocomnumerao"/>
        <w:rPr>
          <w:lang w:eastAsia="pt-BR"/>
        </w:rPr>
      </w:pPr>
      <w:r>
        <w:t xml:space="preserve">O acórdão recorrido, ao tratar essa permanência como mero aborrecimento, esvaziou o dever de veracidade previsto no art. 43, par. 1o, do CDC. A questão não está na legitimidade originária da inscrição, que poderia subsistir enquanto a obrigação permanecesse inadimplida, mas em sua </w:t>
      </w:r>
      <w:r>
        <w:rPr>
          <w:b/>
          <w:bCs/>
        </w:rPr>
        <w:t>manutenção após a extinção da dívida</w:t>
      </w:r>
      <w:r>
        <w:t>.</w:t>
      </w:r>
    </w:p>
    <w:p w14:paraId="3C1E71DF" w14:textId="77777777" w:rsidR="00324CF2" w:rsidRDefault="00324CF2" w:rsidP="00324CF2">
      <w:pPr>
        <w:pStyle w:val="3Corpocomnumerao"/>
        <w:rPr>
          <w:lang w:eastAsia="pt-BR"/>
        </w:rPr>
      </w:pPr>
      <w:r>
        <w:t>Reconhecido o pagamento, desapareceu o suporte jurídico da informação negativa. Sua permanência nos cadastros por quase três meses, portanto, configura violação direta ao art. 43, par. 1o, do Código de Defesa do Consumidor.</w:t>
      </w:r>
    </w:p>
    <w:p w14:paraId="4518A31B" w14:textId="77777777" w:rsidR="001408A7" w:rsidRDefault="00AF1EAF" w:rsidP="00665D11">
      <w:pPr>
        <w:pStyle w:val="1Ttuloquandohouverdescrio"/>
        <w:rPr>
          <w:color w:val="4A442A" w:themeColor="background2" w:themeShade="40"/>
          <w:lang w:eastAsia="pt-BR"/>
        </w:rPr>
      </w:pPr>
      <w:r>
        <w:rPr>
          <w:color w:val="4A442A" w:themeColor="background2" w:themeShade="40"/>
        </w:rPr>
        <w:lastRenderedPageBreak/>
        <w:t xml:space="preserve">A SÚMULA 385/STJ </w:t>
      </w:r>
      <w:r w:rsidRPr="00AF1EAF">
        <w:rPr>
          <w:color w:val="4A442A" w:themeColor="background2" w:themeShade="40"/>
        </w:rPr>
        <w:t>NÃO</w:t>
      </w:r>
      <w:r>
        <w:rPr>
          <w:color w:val="4A442A" w:themeColor="background2" w:themeShade="40"/>
        </w:rPr>
        <w:t xml:space="preserve"> INCIDE </w:t>
      </w:r>
    </w:p>
    <w:p w14:paraId="558EB1AD" w14:textId="388C750D" w:rsidR="00324CF2" w:rsidRDefault="001408A7" w:rsidP="001408A7">
      <w:pPr>
        <w:pStyle w:val="11Descriodottulo"/>
        <w:rPr>
          <w:lang w:eastAsia="pt-BR"/>
        </w:rPr>
      </w:pPr>
      <w:r>
        <w:t>Na ausência de inscrição legítima anterior</w:t>
      </w:r>
    </w:p>
    <w:p w14:paraId="5687F654" w14:textId="77777777" w:rsidR="00324CF2" w:rsidRDefault="00324CF2" w:rsidP="00324CF2">
      <w:pPr>
        <w:pStyle w:val="3Corpocomnumerao"/>
        <w:rPr>
          <w:lang w:eastAsia="pt-BR"/>
        </w:rPr>
      </w:pPr>
      <w:r>
        <w:t xml:space="preserve">O acórdão recorrido afastou a reparação com fundamento na Súmula 385/STJ. O enunciado, contudo, parte de uma premissa específica: a </w:t>
      </w:r>
      <w:r>
        <w:rPr>
          <w:b/>
          <w:bCs/>
        </w:rPr>
        <w:t>existência de inscrição legítima preexistente</w:t>
      </w:r>
      <w:r>
        <w:t>.</w:t>
      </w:r>
    </w:p>
    <w:p w14:paraId="2CF1ABA4" w14:textId="77777777" w:rsidR="00324CF2" w:rsidRDefault="00324CF2" w:rsidP="00324CF2">
      <w:pPr>
        <w:pStyle w:val="3Corpocomnumerao"/>
        <w:rPr>
          <w:lang w:eastAsia="pt-BR"/>
        </w:rPr>
      </w:pPr>
      <w:r>
        <w:t>A lógica do verbete é objetiva. Quando o consumidor já possui anotação legítima anterior, a inscrição posteriormente questionada não é considerada causa autônoma do abalo ao crédito para fins de indenização por dano moral, ressalvado o direito ao cancelamento. Essa, porém, não é a situação dos autos.</w:t>
      </w:r>
    </w:p>
    <w:p w14:paraId="55A76124" w14:textId="77777777" w:rsidR="00324CF2" w:rsidRDefault="00324CF2" w:rsidP="00BF2A9F">
      <w:pPr>
        <w:pStyle w:val="3Corpocomnumerao"/>
        <w:spacing w:after="360"/>
        <w:rPr>
          <w:lang w:eastAsia="pt-BR"/>
        </w:rPr>
      </w:pPr>
      <w:r>
        <w:t>A Corte de origem reconheceu que o recorrente não possuía outra restrição legítima durante o período discutido. Falta, portanto, a própria premissa necessária à incidência da Súmula 385/STJ.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5585"/>
      </w:tblGrid>
      <w:tr w:rsidR="00286F68" w:rsidRPr="00286F68" w14:paraId="097FC859" w14:textId="77777777" w:rsidTr="001408A7">
        <w:trPr>
          <w:tblHeader/>
        </w:trPr>
        <w:tc>
          <w:tcPr>
            <w:tcW w:w="0" w:type="auto"/>
            <w:tcBorders>
              <w:top w:val="single" w:sz="4" w:space="0" w:color="4A442A" w:themeColor="background2" w:themeShade="40"/>
              <w:bottom w:val="single" w:sz="4" w:space="0" w:color="4A442A" w:themeColor="background2" w:themeShade="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96601" w14:textId="77777777" w:rsidR="00286F68" w:rsidRPr="00286F68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286F68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Etapa lógica</w:t>
            </w:r>
          </w:p>
        </w:tc>
        <w:tc>
          <w:tcPr>
            <w:tcW w:w="0" w:type="auto"/>
            <w:tcBorders>
              <w:top w:val="single" w:sz="4" w:space="0" w:color="4A442A" w:themeColor="background2" w:themeShade="40"/>
              <w:bottom w:val="single" w:sz="4" w:space="0" w:color="4A442A" w:themeColor="background2" w:themeShade="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1420" w14:textId="77777777" w:rsidR="00286F68" w:rsidRPr="00286F68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286F68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Conteúdo</w:t>
            </w:r>
          </w:p>
        </w:tc>
      </w:tr>
      <w:tr w:rsidR="00286F68" w:rsidRPr="00286F68" w14:paraId="4364494D" w14:textId="77777777" w:rsidTr="001408A7">
        <w:tc>
          <w:tcPr>
            <w:tcW w:w="0" w:type="auto"/>
            <w:tcBorders>
              <w:top w:val="single" w:sz="4" w:space="0" w:color="4A442A" w:themeColor="background2" w:themeShade="4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5C511" w14:textId="77777777" w:rsidR="00286F68" w:rsidRPr="00286F68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286F68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Pressuposto da Súmula 385/STJ</w:t>
            </w:r>
          </w:p>
        </w:tc>
        <w:tc>
          <w:tcPr>
            <w:tcW w:w="0" w:type="auto"/>
            <w:tcBorders>
              <w:top w:val="single" w:sz="4" w:space="0" w:color="4A442A" w:themeColor="background2" w:themeShade="4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5E2A2" w14:textId="77777777" w:rsidR="00286F68" w:rsidRPr="00286F68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286F68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Inscrição legítima preexistente</w:t>
            </w:r>
          </w:p>
        </w:tc>
      </w:tr>
      <w:tr w:rsidR="00286F68" w:rsidRPr="00286F68" w14:paraId="2400C099" w14:textId="77777777" w:rsidTr="00BF2A9F"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CF0C0" w14:textId="77777777" w:rsidR="00286F68" w:rsidRPr="00BC2A82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BC2A82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Premissa do caso concreto</w:t>
            </w:r>
          </w:p>
        </w:tc>
        <w:tc>
          <w:tcPr>
            <w:tcW w:w="0" w:type="auto"/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CF786" w14:textId="77777777" w:rsidR="00286F68" w:rsidRPr="00BC2A82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</w:pPr>
            <w:r w:rsidRPr="00BC2A82">
              <w:rPr>
                <w:rFonts w:ascii="Cambria" w:eastAsia="Times New Roman" w:hAnsi="Cambria" w:cs="Times New Roman"/>
                <w:b/>
                <w:bCs/>
                <w:kern w:val="0"/>
                <w:lang w:eastAsia="pt-BR"/>
                <w14:ligatures w14:val="none"/>
              </w:rPr>
              <w:t>Inexistência de outra inscrição legítima</w:t>
            </w:r>
          </w:p>
        </w:tc>
      </w:tr>
      <w:tr w:rsidR="00286F68" w:rsidRPr="00286F68" w14:paraId="69565B8A" w14:textId="77777777">
        <w:tc>
          <w:tcPr>
            <w:tcW w:w="0" w:type="auto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97D3B" w14:textId="77777777" w:rsidR="00286F68" w:rsidRPr="00286F68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286F68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Consequência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761D7E" w14:textId="77777777" w:rsidR="00286F68" w:rsidRPr="00286F68" w:rsidRDefault="00286F68" w:rsidP="00286F68">
            <w:pPr>
              <w:spacing w:before="0" w:after="0" w:line="240" w:lineRule="auto"/>
              <w:jc w:val="left"/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</w:pPr>
            <w:r w:rsidRPr="00286F68">
              <w:rPr>
                <w:rFonts w:ascii="Cambria" w:eastAsia="Times New Roman" w:hAnsi="Cambria" w:cs="Times New Roman"/>
                <w:kern w:val="0"/>
                <w:lang w:eastAsia="pt-BR"/>
                <w14:ligatures w14:val="none"/>
              </w:rPr>
              <w:t>O enunciado não incide - dever de indenizar subsiste</w:t>
            </w:r>
          </w:p>
        </w:tc>
      </w:tr>
    </w:tbl>
    <w:p w14:paraId="0F8A9BDE" w14:textId="77777777" w:rsidR="00324CF2" w:rsidRDefault="00324CF2" w:rsidP="00BF2A9F">
      <w:pPr>
        <w:pStyle w:val="3Corpocomnumerao"/>
        <w:spacing w:before="480"/>
        <w:rPr>
          <w:lang w:eastAsia="pt-BR"/>
        </w:rPr>
      </w:pPr>
      <w:r>
        <w:t>Aplicar a Súmula 385/STJ apesar da inexistência de anotação legítima anterior significa ampliar o enunciado para hipótese distinta daquela que fundamenta sua incidência. Não se pretende, aqui, reinterpretar provas ou investigar a existência de outros débitos, pois a ausência de outra restrição legítima constitui premissa fática já estabelecida.</w:t>
      </w:r>
    </w:p>
    <w:p w14:paraId="46AA5474" w14:textId="77777777" w:rsidR="00324CF2" w:rsidRDefault="00324CF2" w:rsidP="00324CF2">
      <w:pPr>
        <w:pStyle w:val="3Corpocomnumerao"/>
        <w:rPr>
          <w:lang w:eastAsia="pt-BR"/>
        </w:rPr>
      </w:pPr>
      <w:r>
        <w:t xml:space="preserve">A questão é estritamente jurídica: </w:t>
      </w:r>
      <w:r>
        <w:rPr>
          <w:b/>
          <w:bCs/>
        </w:rPr>
        <w:t>ausente o pressuposto de incidência do enunciado, a Súmula 385/STJ não pode ser utilizada para afastar o dever de indenizar</w:t>
      </w:r>
      <w:r>
        <w:t>. Ao decidir de forma diversa, o acórdão recorrido atribuiu aos fatos reconhecidos consequência jurídica incompatível com o próprio campo de incidência da súmula.</w:t>
      </w:r>
    </w:p>
    <w:p w14:paraId="2FEBFCA8" w14:textId="73D54152" w:rsidR="00324CF2" w:rsidRDefault="00AF1EAF" w:rsidP="00665D11">
      <w:pPr>
        <w:pStyle w:val="1Ttuloquandohouverdescrio"/>
        <w:rPr>
          <w:color w:val="4A442A" w:themeColor="background2" w:themeShade="40"/>
          <w:lang w:eastAsia="pt-BR"/>
        </w:rPr>
      </w:pPr>
      <w:r>
        <w:rPr>
          <w:color w:val="4A442A" w:themeColor="background2" w:themeShade="40"/>
        </w:rPr>
        <w:t xml:space="preserve">A MANUTENÇÃO </w:t>
      </w:r>
      <w:r w:rsidRPr="00AF1EAF">
        <w:rPr>
          <w:color w:val="4A442A" w:themeColor="background2" w:themeShade="40"/>
        </w:rPr>
        <w:t>INDEVIDA</w:t>
      </w:r>
      <w:r>
        <w:rPr>
          <w:color w:val="4A442A" w:themeColor="background2" w:themeShade="40"/>
        </w:rPr>
        <w:t xml:space="preserve"> DA INSCRIÇÃO GERA O DEVER DE </w:t>
      </w:r>
      <w:r w:rsidRPr="00443CEA">
        <w:rPr>
          <w:color w:val="4A442A" w:themeColor="background2" w:themeShade="40"/>
        </w:rPr>
        <w:t>INDENIZAR</w:t>
      </w:r>
    </w:p>
    <w:p w14:paraId="321B423D" w14:textId="77777777" w:rsidR="00324CF2" w:rsidRDefault="00324CF2" w:rsidP="00324CF2">
      <w:pPr>
        <w:pStyle w:val="3Corpocomnumerao"/>
        <w:rPr>
          <w:lang w:eastAsia="pt-BR"/>
        </w:rPr>
      </w:pPr>
      <w:r>
        <w:t xml:space="preserve">Afastada a incidência da Súmula 385/STJ, a controvérsia deve ser examinada a partir de uma sequência objetiva: a dívida foi quitada, desapareceu a causa que legitimava a </w:t>
      </w:r>
      <w:r>
        <w:lastRenderedPageBreak/>
        <w:t>inscrição e, apesar disso, a informação negativa permaneceu disponível ao mercado por aproximadamente 86 dias.</w:t>
      </w:r>
    </w:p>
    <w:p w14:paraId="438C2680" w14:textId="77777777" w:rsidR="00324CF2" w:rsidRDefault="00324CF2" w:rsidP="00324CF2">
      <w:pPr>
        <w:pStyle w:val="3Corpocomnumerao"/>
        <w:rPr>
          <w:lang w:eastAsia="pt-BR"/>
        </w:rPr>
      </w:pPr>
      <w:r>
        <w:t>Os arts. 186 e 927 do Código Civil estabelecem o dever de reparar o dano causado por ato ilícito. No caso, o ilícito decorre da manutenção, por quase três meses, de informação negativa que já não correspondia à realidade jurídica da obrigação.</w:t>
      </w:r>
    </w:p>
    <w:p w14:paraId="16B7075E" w14:textId="77777777" w:rsidR="00324CF2" w:rsidRDefault="00324CF2" w:rsidP="00324CF2">
      <w:pPr>
        <w:pStyle w:val="3Corpocomnumerao"/>
        <w:rPr>
          <w:lang w:eastAsia="pt-BR"/>
        </w:rPr>
      </w:pPr>
      <w:r>
        <w:t>Não se trata de simples falha interna da instituição financeira ou de inconveniente incapaz de produzir efeitos externos. A finalidade dos cadastros de proteção ao crédito é justamente comunicar a terceiros a situação creditícia do consumidor. Uma inscrição negativa informa ao mercado que determinada pessoa se encontra inadimplente e interfere, por sua própria natureza, na avaliação de risco realizada por instituições e fornecedores.</w:t>
      </w:r>
    </w:p>
    <w:p w14:paraId="08B1529D" w14:textId="0C2E71A0" w:rsidR="00324CF2" w:rsidRDefault="00236E1C" w:rsidP="00324CF2">
      <w:pPr>
        <w:pStyle w:val="3Corpocomnumerao"/>
        <w:rPr>
          <w:lang w:eastAsia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08CE7C6" wp14:editId="76E6B2F7">
                <wp:simplePos x="0" y="0"/>
                <wp:positionH relativeFrom="column">
                  <wp:posOffset>5810885</wp:posOffset>
                </wp:positionH>
                <wp:positionV relativeFrom="paragraph">
                  <wp:posOffset>1245870</wp:posOffset>
                </wp:positionV>
                <wp:extent cx="884542" cy="1174750"/>
                <wp:effectExtent l="0" t="0" r="0" b="6350"/>
                <wp:wrapNone/>
                <wp:docPr id="411264630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42" cy="1174750"/>
                        </a:xfrm>
                        <a:prstGeom prst="rect">
                          <a:avLst/>
                        </a:prstGeom>
                        <a:solidFill>
                          <a:srgbClr val="F9F8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BDA91" id="Retângulo 12" o:spid="_x0000_s1026" style="position:absolute;margin-left:457.55pt;margin-top:98.1pt;width:69.65pt;height:92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" fillcolor="#f9f8f5" stroked="f" strokeweight="2pt"/>
            </w:pict>
          </mc:Fallback>
        </mc:AlternateContent>
      </w:r>
      <w:r w:rsidR="00324CF2">
        <w:t>Quando essa informação é falsa, a restrição também é indevida. Por isso, a manutenção indevida do nome do consumidor em cadastro de inadimplentes, inexistente inscrição legítima anterior, configura lesão indenizável independentemente da demonstração de sofrimento íntimo ou de consequência excepcional adicional.</w:t>
      </w:r>
    </w:p>
    <w:p w14:paraId="30EEEC90" w14:textId="6905522D" w:rsidR="00324CF2" w:rsidRDefault="00324CF2" w:rsidP="00324CF2">
      <w:pPr>
        <w:pStyle w:val="3Corpocomnumerao"/>
        <w:rPr>
          <w:lang w:eastAsia="pt-BR"/>
        </w:rPr>
      </w:pPr>
      <w:r w:rsidRPr="00236E1C">
        <w:rPr>
          <w:b/>
          <w:bCs/>
        </w:rPr>
        <w:t>O acórdão recorrido, ao qualificar a situação como mero aborrecimento, exigiu do recorrente uma demonstração adicional incompatível com a própria natureza da lesão.</w:t>
      </w:r>
      <w:r>
        <w:t xml:space="preserve"> E, ainda que se exigisse a identificação de repercussão concreta, os autos registram a </w:t>
      </w:r>
      <w:r>
        <w:rPr>
          <w:b/>
          <w:bCs/>
        </w:rPr>
        <w:t>recusa de proposta de financiamento de veículo</w:t>
      </w:r>
      <w:r>
        <w:t xml:space="preserve"> durante o período em que a anotação permaneceu ativa.</w:t>
      </w:r>
    </w:p>
    <w:p w14:paraId="0F7C7F85" w14:textId="77777777" w:rsidR="00324CF2" w:rsidRDefault="00324CF2" w:rsidP="00324CF2">
      <w:pPr>
        <w:pStyle w:val="3Corpocomnumerao"/>
        <w:rPr>
          <w:lang w:eastAsia="pt-BR"/>
        </w:rPr>
      </w:pPr>
      <w:r>
        <w:t>Esse elemento apenas reforça a existência da lesão, mas não constitui fundamento indispensável ao dever de indenizar. A tese recursal está fundada na manutenção indevida da inscrição após a quitação e na inexistência de anotação legítima anterior, premissas suficientes para o reconhecimento da violação aos arts. 186 e 927 do Código Civil.</w:t>
      </w:r>
    </w:p>
    <w:p w14:paraId="5FB00C3C" w14:textId="77777777" w:rsidR="00324CF2" w:rsidRDefault="00324CF2" w:rsidP="00324CF2">
      <w:pPr>
        <w:pStyle w:val="3Corpocomnumerao"/>
        <w:rPr>
          <w:lang w:eastAsia="pt-BR"/>
        </w:rPr>
      </w:pPr>
      <w:r>
        <w:t>Ao afastar a reparação apesar dessas circunstâncias, o acórdão recorrido negou vigência aos dispositivos federais invocados.</w:t>
      </w:r>
    </w:p>
    <w:p w14:paraId="494303CD" w14:textId="43423B4F" w:rsidR="00324CF2" w:rsidRDefault="00D022A7" w:rsidP="00665D11">
      <w:pPr>
        <w:pStyle w:val="1Ttuloquandohouverdescrio"/>
        <w:rPr>
          <w:color w:val="4A442A" w:themeColor="background2" w:themeShade="40"/>
          <w:lang w:eastAsia="pt-BR"/>
        </w:rPr>
      </w:pPr>
      <w:r>
        <w:rPr>
          <w:color w:val="4A442A" w:themeColor="background2" w:themeShade="40"/>
        </w:rPr>
        <w:lastRenderedPageBreak/>
        <w:t xml:space="preserve">CONCLUSÃO: </w:t>
      </w:r>
      <w:r w:rsidR="00BF2A9F">
        <w:rPr>
          <w:color w:val="4A442A" w:themeColor="background2" w:themeShade="40"/>
        </w:rPr>
        <w:t xml:space="preserve">OS TRÊS </w:t>
      </w:r>
      <w:r>
        <w:rPr>
          <w:color w:val="4A442A" w:themeColor="background2" w:themeShade="40"/>
        </w:rPr>
        <w:t>PONTOS QUE LEVAM AO PROVIMENTO</w:t>
      </w:r>
    </w:p>
    <w:p w14:paraId="36CCD3DD" w14:textId="2EE9CEF6" w:rsidR="00324CF2" w:rsidRDefault="00324CF2" w:rsidP="00D022A7">
      <w:pPr>
        <w:pStyle w:val="3Corpocomnumerao"/>
        <w:numPr>
          <w:ilvl w:val="0"/>
          <w:numId w:val="10"/>
        </w:numPr>
        <w:ind w:left="0"/>
        <w:rPr>
          <w:lang w:eastAsia="pt-BR"/>
        </w:rPr>
      </w:pPr>
      <w:r>
        <w:rPr>
          <w:b/>
          <w:bCs/>
        </w:rPr>
        <w:t>Primeiro</w:t>
      </w:r>
      <w:r>
        <w:t>, quitada a dívida, a manutenção da inscrição viola o dever de veracidade previsto no art. 43, par. 1</w:t>
      </w:r>
      <w:r w:rsidR="00D022A7">
        <w:t>º</w:t>
      </w:r>
      <w:r>
        <w:t>, do CDC, pois a informação negativa deixa de corresponder à realidade no momento em que a obrigação é integralmente paga.</w:t>
      </w:r>
    </w:p>
    <w:p w14:paraId="20F2299F" w14:textId="77777777" w:rsidR="00324CF2" w:rsidRDefault="00324CF2" w:rsidP="00D022A7">
      <w:pPr>
        <w:pStyle w:val="6Bullets"/>
        <w:rPr>
          <w:lang w:eastAsia="pt-BR"/>
        </w:rPr>
      </w:pPr>
      <w:r>
        <w:rPr>
          <w:b/>
          <w:bCs/>
        </w:rPr>
        <w:t>Segundo</w:t>
      </w:r>
      <w:r>
        <w:t xml:space="preserve">, </w:t>
      </w:r>
      <w:r w:rsidRPr="00D022A7">
        <w:t>inexistindo</w:t>
      </w:r>
      <w:r>
        <w:t xml:space="preserve"> inscrição legítima anterior, não incide a Súmula 385/STJ. O acórdão recorrido aplicou o enunciado apesar da ausência de seu pressuposto fundamental e, com isso, atribuiu aos fatos consequência jurídica incompatível com o campo de incidência do verbete.</w:t>
      </w:r>
    </w:p>
    <w:p w14:paraId="13E4C7C0" w14:textId="77777777" w:rsidR="00324CF2" w:rsidRDefault="00324CF2" w:rsidP="00D022A7">
      <w:pPr>
        <w:pStyle w:val="3Corpocomnumerao"/>
        <w:numPr>
          <w:ilvl w:val="0"/>
          <w:numId w:val="10"/>
        </w:numPr>
        <w:ind w:left="0"/>
        <w:rPr>
          <w:lang w:eastAsia="pt-BR"/>
        </w:rPr>
      </w:pPr>
      <w:r>
        <w:rPr>
          <w:b/>
          <w:bCs/>
        </w:rPr>
        <w:t>Terceiro</w:t>
      </w:r>
      <w:r>
        <w:t>, a manutenção indevida da inscrição gera o dever de indenizar. Configurado o ato ilícito e afastada a existência de anotação legítima preexistente, os arts. 186 e 927 do Código Civil impõem a reparação decorrente da restrição indevida ao crédito.</w:t>
      </w:r>
    </w:p>
    <w:p w14:paraId="6903B3C7" w14:textId="77777777" w:rsidR="00324CF2" w:rsidRDefault="00324CF2" w:rsidP="0028506A">
      <w:pPr>
        <w:pStyle w:val="3Corpocomnumerao"/>
        <w:rPr>
          <w:lang w:eastAsia="pt-BR"/>
        </w:rPr>
      </w:pPr>
      <w:r w:rsidRPr="00BC2A82">
        <w:rPr>
          <w:b/>
          <w:bCs/>
        </w:rPr>
        <w:t>Nenhuma dessas conclusões exige reexame de provas.</w:t>
      </w:r>
      <w:r>
        <w:t xml:space="preserve"> O que se requer é apenas a atribuição das consequências jurídicas adequadas aos fatos já definidos pelo Tribunal de origem.</w:t>
      </w:r>
    </w:p>
    <w:p w14:paraId="4F4EA444" w14:textId="7CFE5AC6" w:rsidR="00FB08DE" w:rsidRDefault="00BF2A9F" w:rsidP="00665D11">
      <w:pPr>
        <w:pStyle w:val="1Ttuloquandohouverdescrio"/>
        <w:rPr>
          <w:color w:val="4A442A" w:themeColor="background2" w:themeShade="40"/>
        </w:rPr>
      </w:pPr>
      <w:r w:rsidRPr="00BF2A9F">
        <w:rPr>
          <w:color w:val="4A442A" w:themeColor="background2" w:themeShade="40"/>
        </w:rPr>
        <w:t>PEDIDOS</w:t>
      </w:r>
    </w:p>
    <w:p w14:paraId="56F7E34D" w14:textId="77777777" w:rsidR="00324CF2" w:rsidRDefault="00324CF2" w:rsidP="0028506A">
      <w:pPr>
        <w:pStyle w:val="3Corpocomnumerao"/>
        <w:rPr>
          <w:lang w:eastAsia="pt-BR"/>
        </w:rPr>
      </w:pPr>
      <w:r>
        <w:t>Diante do exposto, o recorrente requer:</w:t>
      </w:r>
    </w:p>
    <w:p w14:paraId="0FC6158A" w14:textId="77777777" w:rsidR="00FB08DE" w:rsidRPr="0028506A" w:rsidRDefault="00000000">
      <w:pPr>
        <w:pStyle w:val="5Listaalfabtica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28506A">
        <w:rPr>
          <w:rFonts w:asciiTheme="minorHAnsi" w:hAnsiTheme="minorHAnsi"/>
          <w:sz w:val="24"/>
          <w:szCs w:val="24"/>
        </w:rPr>
        <w:t>O conhecimento do presente recurso especial, por estarem presentes os pressupostos de admissibilidade;</w:t>
      </w:r>
    </w:p>
    <w:p w14:paraId="7C7E40F6" w14:textId="77777777" w:rsidR="00324CF2" w:rsidRPr="0028506A" w:rsidRDefault="00324CF2">
      <w:pPr>
        <w:pStyle w:val="5Listaalfabtica"/>
        <w:numPr>
          <w:ilvl w:val="0"/>
          <w:numId w:val="7"/>
        </w:numPr>
        <w:tabs>
          <w:tab w:val="clear" w:pos="1880"/>
        </w:tabs>
        <w:rPr>
          <w:rFonts w:asciiTheme="minorHAnsi" w:hAnsiTheme="minorHAnsi"/>
          <w:sz w:val="24"/>
          <w:szCs w:val="24"/>
        </w:rPr>
      </w:pPr>
      <w:r w:rsidRPr="0028506A">
        <w:rPr>
          <w:rFonts w:asciiTheme="minorHAnsi" w:hAnsiTheme="minorHAnsi"/>
          <w:sz w:val="24"/>
          <w:szCs w:val="24"/>
        </w:rPr>
        <w:t xml:space="preserve">No mérito, o seu </w:t>
      </w:r>
      <w:r w:rsidRPr="0028506A">
        <w:rPr>
          <w:rFonts w:asciiTheme="minorHAnsi" w:hAnsiTheme="minorHAnsi"/>
          <w:b/>
          <w:bCs/>
          <w:sz w:val="24"/>
          <w:szCs w:val="24"/>
        </w:rPr>
        <w:t>provimento</w:t>
      </w:r>
      <w:r w:rsidRPr="0028506A">
        <w:rPr>
          <w:rFonts w:asciiTheme="minorHAnsi" w:hAnsiTheme="minorHAnsi"/>
          <w:sz w:val="24"/>
          <w:szCs w:val="24"/>
        </w:rPr>
        <w:t>, para reconhecer a violação ao art. 43, par. 1o, do Código de Defesa do Consumidor e aos arts. 186 e 927 do Código Civil, bem como afastar a incidência da Súmula 385/STJ;</w:t>
      </w:r>
    </w:p>
    <w:p w14:paraId="1F51928D" w14:textId="77777777" w:rsidR="00324CF2" w:rsidRPr="0028506A" w:rsidRDefault="00324CF2">
      <w:pPr>
        <w:pStyle w:val="5Listaalfabtica"/>
        <w:numPr>
          <w:ilvl w:val="0"/>
          <w:numId w:val="7"/>
        </w:numPr>
        <w:tabs>
          <w:tab w:val="clear" w:pos="1880"/>
        </w:tabs>
        <w:rPr>
          <w:rFonts w:asciiTheme="minorHAnsi" w:hAnsiTheme="minorHAnsi"/>
          <w:sz w:val="24"/>
          <w:szCs w:val="24"/>
        </w:rPr>
      </w:pPr>
      <w:r w:rsidRPr="0028506A">
        <w:rPr>
          <w:rFonts w:asciiTheme="minorHAnsi" w:hAnsiTheme="minorHAnsi"/>
          <w:sz w:val="24"/>
          <w:szCs w:val="24"/>
        </w:rPr>
        <w:t>Em consequência, a reforma do acórdão recorrido e o restabelecimento da sentença quanto ao reconhecimento da inexigibilidade do débito após a quitação e à condenação da recorrida ao pagamento de indenização por dano moral;</w:t>
      </w:r>
    </w:p>
    <w:p w14:paraId="087CB7D1" w14:textId="77777777" w:rsidR="00324CF2" w:rsidRPr="0028506A" w:rsidRDefault="00324CF2">
      <w:pPr>
        <w:pStyle w:val="5Listaalfabtica"/>
        <w:numPr>
          <w:ilvl w:val="0"/>
          <w:numId w:val="7"/>
        </w:numPr>
        <w:tabs>
          <w:tab w:val="clear" w:pos="1880"/>
        </w:tabs>
        <w:rPr>
          <w:rFonts w:asciiTheme="minorHAnsi" w:hAnsiTheme="minorHAnsi"/>
          <w:sz w:val="24"/>
          <w:szCs w:val="24"/>
        </w:rPr>
      </w:pPr>
      <w:r w:rsidRPr="0028506A">
        <w:rPr>
          <w:rFonts w:asciiTheme="minorHAnsi" w:hAnsiTheme="minorHAnsi"/>
          <w:sz w:val="24"/>
          <w:szCs w:val="24"/>
        </w:rPr>
        <w:t>A condenação da recorrida ao pagamento das custas e honorários advocatícios, observada a disciplina do art. 85 do Código de Processo Civil.</w:t>
      </w:r>
    </w:p>
    <w:p w14:paraId="7AAAD23E" w14:textId="382F2E89" w:rsidR="00324CF2" w:rsidRPr="0028506A" w:rsidRDefault="00324CF2" w:rsidP="0028506A">
      <w:pPr>
        <w:pStyle w:val="3Corpocomnumerao"/>
        <w:numPr>
          <w:ilvl w:val="0"/>
          <w:numId w:val="0"/>
        </w:numPr>
        <w:spacing w:before="480"/>
      </w:pPr>
      <w:r w:rsidRPr="0028506A">
        <w:t>Belo Horizonte, 18 de março de 2024.</w:t>
      </w:r>
    </w:p>
    <w:p w14:paraId="37CD548B" w14:textId="05190DA6" w:rsidR="0028506A" w:rsidRPr="002C0D22" w:rsidRDefault="00325F57" w:rsidP="00665D11">
      <w:pPr>
        <w:pStyle w:val="Oculto-nomeadvogado"/>
        <w:keepNext/>
        <w:keepLines/>
        <w:spacing w:before="600"/>
        <w:ind w:left="2835"/>
        <w:rPr>
          <w:rFonts w:asciiTheme="minorHAnsi" w:hAnsiTheme="minorHAnsi"/>
          <w:color w:val="4A442A" w:themeColor="background2" w:themeShade="40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23038393" wp14:editId="3BC53EE7">
            <wp:simplePos x="0" y="0"/>
            <wp:positionH relativeFrom="column">
              <wp:posOffset>-31750</wp:posOffset>
            </wp:positionH>
            <wp:positionV relativeFrom="paragraph">
              <wp:posOffset>23495</wp:posOffset>
            </wp:positionV>
            <wp:extent cx="1708150" cy="836295"/>
            <wp:effectExtent l="0" t="0" r="0" b="0"/>
            <wp:wrapNone/>
            <wp:docPr id="139255601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5473" name="Imagem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06A" w:rsidRPr="002C0D22">
        <w:rPr>
          <w:rFonts w:asciiTheme="minorHAnsi" w:hAnsiTheme="minorHAnsi"/>
          <w:color w:val="4A442A" w:themeColor="background2" w:themeShade="40"/>
        </w:rPr>
        <w:t>Dr. Nome do Advogado</w:t>
      </w:r>
    </w:p>
    <w:p w14:paraId="0A81721D" w14:textId="0440B6C5" w:rsidR="0028506A" w:rsidRDefault="0028506A" w:rsidP="00325F57">
      <w:pPr>
        <w:pStyle w:val="Oculto-OABadvogado"/>
        <w:keepLines/>
        <w:spacing w:after="0"/>
        <w:ind w:left="2835"/>
      </w:pPr>
      <w:r w:rsidRPr="00E43971">
        <w:rPr>
          <w:rFonts w:asciiTheme="minorHAnsi" w:hAnsiTheme="minorHAnsi"/>
        </w:rPr>
        <w:t>OAB/UF 98.765</w:t>
      </w:r>
      <w:r>
        <w:br w:type="page"/>
      </w:r>
    </w:p>
    <w:sectPr w:rsidR="0028506A" w:rsidSect="00325F5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559" w:right="1559" w:bottom="1559" w:left="1559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E1C2" w14:textId="77777777" w:rsidR="001023FF" w:rsidRDefault="001023FF">
      <w:pPr>
        <w:spacing w:before="0" w:after="0" w:line="240" w:lineRule="auto"/>
      </w:pPr>
      <w:r>
        <w:separator/>
      </w:r>
    </w:p>
  </w:endnote>
  <w:endnote w:type="continuationSeparator" w:id="0">
    <w:p w14:paraId="536C9858" w14:textId="77777777" w:rsidR="001023FF" w:rsidRDefault="001023F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charset w:val="00"/>
    <w:family w:val="auto"/>
    <w:pitch w:val="variable"/>
    <w:sig w:usb0="6000028F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ource Serif Pro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72B8F" w14:textId="143D6180" w:rsidR="00B331B5" w:rsidRDefault="00414740" w:rsidP="005B382D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B27838A" wp14:editId="590DE234">
              <wp:simplePos x="0" y="0"/>
              <wp:positionH relativeFrom="column">
                <wp:posOffset>-1162050</wp:posOffset>
              </wp:positionH>
              <wp:positionV relativeFrom="paragraph">
                <wp:posOffset>269875</wp:posOffset>
              </wp:positionV>
              <wp:extent cx="952500" cy="279400"/>
              <wp:effectExtent l="0" t="0" r="0" b="6350"/>
              <wp:wrapNone/>
              <wp:docPr id="121196378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00" cy="279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8DA14F" id="Retângulo 9" o:spid="_x0000_s1026" style="position:absolute;margin-left:-91.5pt;margin-top:21.25pt;width:75pt;height:2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" fillcolor="#eeece1 [3214]" stroked="f" strokeweight="2pt"/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56EE86D5" wp14:editId="597EFCE2">
              <wp:simplePos x="0" y="0"/>
              <wp:positionH relativeFrom="column">
                <wp:posOffset>-71120</wp:posOffset>
              </wp:positionH>
              <wp:positionV relativeFrom="paragraph">
                <wp:posOffset>191135</wp:posOffset>
              </wp:positionV>
              <wp:extent cx="4663440" cy="464820"/>
              <wp:effectExtent l="0" t="0" r="0" b="0"/>
              <wp:wrapNone/>
              <wp:docPr id="17792274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3440" cy="464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2CF1CE" w14:textId="77777777" w:rsidR="00B331B5" w:rsidRPr="00443CEA" w:rsidRDefault="00000000" w:rsidP="00391083">
                          <w:pPr>
                            <w:tabs>
                              <w:tab w:val="left" w:pos="142"/>
                            </w:tabs>
                            <w:spacing w:before="0" w:after="0" w:line="240" w:lineRule="auto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4A442A" w:themeColor="background2" w:themeShade="40"/>
                              <w:sz w:val="16"/>
                              <w:szCs w:val="16"/>
                            </w:rPr>
                          </w:pPr>
                          <w:r w:rsidRPr="00443CEA">
                            <w:rPr>
                              <w:rFonts w:ascii="Montserrat" w:hAnsi="Montserrat" w:cstheme="minorHAnsi"/>
                              <w:b/>
                              <w:bCs/>
                              <w:color w:val="4A442A" w:themeColor="background2" w:themeShade="40"/>
                              <w:sz w:val="16"/>
                              <w:szCs w:val="16"/>
                            </w:rPr>
                            <w:t>www.seusite.com.br</w:t>
                          </w:r>
                        </w:p>
                        <w:p w14:paraId="3C453CD5" w14:textId="77777777" w:rsidR="00B331B5" w:rsidRPr="00C95A14" w:rsidRDefault="00000000" w:rsidP="004E5D33">
                          <w:pPr>
                            <w:tabs>
                              <w:tab w:val="left" w:pos="142"/>
                            </w:tabs>
                            <w:spacing w:before="60" w:after="0" w:line="240" w:lineRule="auto"/>
                            <w:jc w:val="left"/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</w:pP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contato@seuescritorio.com.br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|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 xml:space="preserve">(21) 91234-5678 </w:t>
                          </w:r>
                        </w:p>
                        <w:p w14:paraId="473B9EC8" w14:textId="77777777" w:rsidR="00B331B5" w:rsidRPr="0009462B" w:rsidRDefault="00B331B5" w:rsidP="004E5D33">
                          <w:pPr>
                            <w:spacing w:before="40" w:after="40"/>
                            <w:jc w:val="left"/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E86D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5.6pt;margin-top:15.05pt;width:367.2pt;height:36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" filled="f" stroked="f" strokeweight=".5pt">
              <v:textbox>
                <w:txbxContent>
                  <w:p w14:paraId="292CF1CE" w14:textId="77777777" w:rsidR="00B331B5" w:rsidRPr="00443CEA" w:rsidRDefault="00000000" w:rsidP="00391083">
                    <w:pPr>
                      <w:tabs>
                        <w:tab w:val="left" w:pos="142"/>
                      </w:tabs>
                      <w:spacing w:before="0" w:after="0" w:line="240" w:lineRule="auto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4A442A" w:themeColor="background2" w:themeShade="40"/>
                        <w:sz w:val="16"/>
                        <w:szCs w:val="16"/>
                      </w:rPr>
                    </w:pPr>
                    <w:r w:rsidRPr="00443CEA">
                      <w:rPr>
                        <w:rFonts w:ascii="Montserrat" w:hAnsi="Montserrat" w:cstheme="minorHAnsi"/>
                        <w:b/>
                        <w:bCs/>
                        <w:color w:val="4A442A" w:themeColor="background2" w:themeShade="40"/>
                        <w:sz w:val="16"/>
                        <w:szCs w:val="16"/>
                      </w:rPr>
                      <w:t>www.seusite.com.br</w:t>
                    </w:r>
                  </w:p>
                  <w:p w14:paraId="3C453CD5" w14:textId="77777777" w:rsidR="00B331B5" w:rsidRPr="00C95A14" w:rsidRDefault="00000000" w:rsidP="004E5D33">
                    <w:pPr>
                      <w:tabs>
                        <w:tab w:val="left" w:pos="142"/>
                      </w:tabs>
                      <w:spacing w:before="60" w:after="0" w:line="240" w:lineRule="auto"/>
                      <w:jc w:val="left"/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</w:pP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contato@seuescritorio.com.br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|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 xml:space="preserve">(21) 91234-5678 </w:t>
                    </w:r>
                  </w:p>
                  <w:p w14:paraId="473B9EC8" w14:textId="77777777" w:rsidR="00B331B5" w:rsidRPr="0009462B" w:rsidRDefault="00B331B5" w:rsidP="004E5D33">
                    <w:pPr>
                      <w:spacing w:before="40" w:after="40"/>
                      <w:jc w:val="left"/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A8F05A9" w14:textId="26A49D90" w:rsidR="00B331B5" w:rsidRDefault="00000000" w:rsidP="005B382D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CDFC19F" wp14:editId="6795D56F">
              <wp:simplePos x="0" y="0"/>
              <wp:positionH relativeFrom="margin">
                <wp:align>right</wp:align>
              </wp:positionH>
              <wp:positionV relativeFrom="paragraph">
                <wp:posOffset>201295</wp:posOffset>
              </wp:positionV>
              <wp:extent cx="731520" cy="190500"/>
              <wp:effectExtent l="0" t="0" r="0" b="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190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60C80E" w14:textId="77777777" w:rsidR="00B331B5" w:rsidRPr="0095165C" w:rsidRDefault="00000000" w:rsidP="0009462B">
                          <w:pPr>
                            <w:spacing w:before="0" w:after="0"/>
                            <w:jc w:val="righ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1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2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DFC19F" id="Caixa de Texto 13" o:spid="_x0000_s1027" type="#_x0000_t202" style="position:absolute;left:0;text-align:left;margin-left:6.4pt;margin-top:15.85pt;width:57.6pt;height:15pt;z-index:251654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1tGAIAADI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" filled="f" stroked="f" strokeweight=".5pt">
              <v:textbox>
                <w:txbxContent>
                  <w:p w14:paraId="2660C80E" w14:textId="77777777" w:rsidR="00B331B5" w:rsidRPr="0095165C" w:rsidRDefault="00000000" w:rsidP="0009462B">
                    <w:pPr>
                      <w:spacing w:before="0" w:after="0"/>
                      <w:jc w:val="righ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PAGE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1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 xml:space="preserve"> / 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NUMPAGES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2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4EC3" w14:textId="74DE7E3D" w:rsidR="00B331B5" w:rsidRDefault="00443CEA" w:rsidP="007A6B7B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69DDE9A" wp14:editId="3ABD99D4">
              <wp:simplePos x="0" y="0"/>
              <wp:positionH relativeFrom="column">
                <wp:posOffset>-1066800</wp:posOffset>
              </wp:positionH>
              <wp:positionV relativeFrom="paragraph">
                <wp:posOffset>208915</wp:posOffset>
              </wp:positionV>
              <wp:extent cx="952500" cy="279400"/>
              <wp:effectExtent l="0" t="0" r="0" b="6350"/>
              <wp:wrapNone/>
              <wp:docPr id="122849752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00" cy="279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FD1D79" id="Retângulo 9" o:spid="_x0000_s1026" style="position:absolute;margin-left:-84pt;margin-top:16.45pt;width:75pt;height:2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" fillcolor="#eeece1 [3214]" stroked="f" strokeweight="2pt"/>
          </w:pict>
        </mc:Fallback>
      </mc:AlternateContent>
    </w:r>
  </w:p>
  <w:p w14:paraId="22A794AA" w14:textId="77777777" w:rsidR="00B331B5" w:rsidRDefault="00000000" w:rsidP="007A6B7B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DE56EF" wp14:editId="518A7952">
              <wp:simplePos x="0" y="0"/>
              <wp:positionH relativeFrom="margin">
                <wp:align>left</wp:align>
              </wp:positionH>
              <wp:positionV relativeFrom="paragraph">
                <wp:posOffset>4445</wp:posOffset>
              </wp:positionV>
              <wp:extent cx="4781550" cy="426720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1550" cy="426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1BAB34" w14:textId="77777777" w:rsidR="00B331B5" w:rsidRPr="00443CEA" w:rsidRDefault="00000000" w:rsidP="00BF4535">
                          <w:pPr>
                            <w:tabs>
                              <w:tab w:val="left" w:pos="142"/>
                            </w:tabs>
                            <w:spacing w:before="0" w:after="0" w:line="240" w:lineRule="auto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4A442A" w:themeColor="background2" w:themeShade="40"/>
                              <w:sz w:val="16"/>
                              <w:szCs w:val="16"/>
                            </w:rPr>
                          </w:pPr>
                          <w:r w:rsidRPr="00443CEA">
                            <w:rPr>
                              <w:rFonts w:ascii="Montserrat" w:hAnsi="Montserrat" w:cstheme="minorHAnsi"/>
                              <w:b/>
                              <w:bCs/>
                              <w:color w:val="4A442A" w:themeColor="background2" w:themeShade="40"/>
                              <w:sz w:val="16"/>
                              <w:szCs w:val="16"/>
                            </w:rPr>
                            <w:t>Rua Cândido Portinari, 100, sala 201, Vila Progresso, Niterói - RJ | CEP 24320000</w:t>
                          </w:r>
                        </w:p>
                        <w:p w14:paraId="2A83D3EA" w14:textId="77777777" w:rsidR="00B331B5" w:rsidRPr="00C95A14" w:rsidRDefault="00000000" w:rsidP="00BF4535">
                          <w:pPr>
                            <w:tabs>
                              <w:tab w:val="left" w:pos="142"/>
                            </w:tabs>
                            <w:spacing w:before="60" w:after="0" w:line="240" w:lineRule="auto"/>
                            <w:jc w:val="left"/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</w:pP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contato@seuescritorio.com.br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|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 xml:space="preserve">(21) 91234-5678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DE56EF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8" type="#_x0000_t202" style="position:absolute;left:0;text-align:left;margin-left:0;margin-top:.35pt;width:376.5pt;height:33.6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wMeGgIAADMEAAAOAAAAZHJzL2Uyb0RvYy54bWysU01vGyEQvVfqf0Dc6/W6tpO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" filled="f" stroked="f" strokeweight=".5pt">
              <v:textbox>
                <w:txbxContent>
                  <w:p w14:paraId="721BAB34" w14:textId="77777777" w:rsidR="00B331B5" w:rsidRPr="00443CEA" w:rsidRDefault="00000000" w:rsidP="00BF4535">
                    <w:pPr>
                      <w:tabs>
                        <w:tab w:val="left" w:pos="142"/>
                      </w:tabs>
                      <w:spacing w:before="0" w:after="0" w:line="240" w:lineRule="auto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4A442A" w:themeColor="background2" w:themeShade="40"/>
                        <w:sz w:val="16"/>
                        <w:szCs w:val="16"/>
                      </w:rPr>
                    </w:pPr>
                    <w:r w:rsidRPr="00443CEA">
                      <w:rPr>
                        <w:rFonts w:ascii="Montserrat" w:hAnsi="Montserrat" w:cstheme="minorHAnsi"/>
                        <w:b/>
                        <w:bCs/>
                        <w:color w:val="4A442A" w:themeColor="background2" w:themeShade="40"/>
                        <w:sz w:val="16"/>
                        <w:szCs w:val="16"/>
                      </w:rPr>
                      <w:t>Rua Cândido Portinari, 100, sala 201, Vila Progresso, Niterói - RJ | CEP 24320000</w:t>
                    </w:r>
                  </w:p>
                  <w:p w14:paraId="2A83D3EA" w14:textId="77777777" w:rsidR="00B331B5" w:rsidRPr="00C95A14" w:rsidRDefault="00000000" w:rsidP="00BF4535">
                    <w:pPr>
                      <w:tabs>
                        <w:tab w:val="left" w:pos="142"/>
                      </w:tabs>
                      <w:spacing w:before="60" w:after="0" w:line="240" w:lineRule="auto"/>
                      <w:jc w:val="left"/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</w:pP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contato@seuescritorio.com.br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|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 xml:space="preserve">(21) 91234-5678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447E6F3" wp14:editId="30EA69B4">
              <wp:simplePos x="0" y="0"/>
              <wp:positionH relativeFrom="margin">
                <wp:align>right</wp:align>
              </wp:positionH>
              <wp:positionV relativeFrom="paragraph">
                <wp:posOffset>170815</wp:posOffset>
              </wp:positionV>
              <wp:extent cx="731520" cy="190500"/>
              <wp:effectExtent l="0" t="0" r="0" b="0"/>
              <wp:wrapNone/>
              <wp:docPr id="2022556159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190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BB81F4" w14:textId="77777777" w:rsidR="00B331B5" w:rsidRPr="0095165C" w:rsidRDefault="00000000" w:rsidP="00E25C91">
                          <w:pPr>
                            <w:spacing w:before="0" w:after="0"/>
                            <w:jc w:val="righ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1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2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47E6F3" id="_x0000_s1029" type="#_x0000_t202" style="position:absolute;left:0;text-align:left;margin-left:6.4pt;margin-top:13.45pt;width:57.6pt;height:15pt;z-index: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nMcGwIAADI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" filled="f" stroked="f" strokeweight=".5pt">
              <v:textbox>
                <w:txbxContent>
                  <w:p w14:paraId="39BB81F4" w14:textId="77777777" w:rsidR="00B331B5" w:rsidRPr="0095165C" w:rsidRDefault="00000000" w:rsidP="00E25C91">
                    <w:pPr>
                      <w:spacing w:before="0" w:after="0"/>
                      <w:jc w:val="righ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PAGE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1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 xml:space="preserve"> / 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NUMPAGES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2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C899" w14:textId="77777777" w:rsidR="001023FF" w:rsidRDefault="001023FF">
      <w:pPr>
        <w:spacing w:before="0" w:after="0" w:line="240" w:lineRule="auto"/>
      </w:pPr>
      <w:r>
        <w:separator/>
      </w:r>
    </w:p>
  </w:footnote>
  <w:footnote w:type="continuationSeparator" w:id="0">
    <w:p w14:paraId="493356F4" w14:textId="77777777" w:rsidR="001023FF" w:rsidRDefault="001023F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A596" w14:textId="4005CC24" w:rsidR="00B331B5" w:rsidRDefault="00D82769" w:rsidP="00302E8A">
    <w:pPr>
      <w:pStyle w:val="Cabealho"/>
      <w:tabs>
        <w:tab w:val="clear" w:pos="8504"/>
        <w:tab w:val="right" w:pos="8503"/>
      </w:tabs>
    </w:pPr>
    <w:r>
      <w:rPr>
        <w:noProof/>
      </w:rPr>
      <w:drawing>
        <wp:anchor distT="0" distB="0" distL="114300" distR="114300" simplePos="0" relativeHeight="251663872" behindDoc="0" locked="0" layoutInCell="1" allowOverlap="1" wp14:anchorId="39756183" wp14:editId="290FA602">
          <wp:simplePos x="0" y="0"/>
          <wp:positionH relativeFrom="column">
            <wp:posOffset>2597785</wp:posOffset>
          </wp:positionH>
          <wp:positionV relativeFrom="paragraph">
            <wp:posOffset>-202565</wp:posOffset>
          </wp:positionV>
          <wp:extent cx="330200" cy="411922"/>
          <wp:effectExtent l="0" t="0" r="0" b="7620"/>
          <wp:wrapNone/>
          <wp:docPr id="2018204630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11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2E4D" w14:textId="70C5165C" w:rsidR="00B331B5" w:rsidRPr="00C95A14" w:rsidRDefault="00B331B5" w:rsidP="00C95A14">
    <w:pPr>
      <w:pStyle w:val="Cabealho"/>
    </w:pPr>
  </w:p>
  <w:p w14:paraId="6CDB0B20" w14:textId="53F7BF62" w:rsidR="00B331B5" w:rsidRPr="00C95A14" w:rsidRDefault="00B33990" w:rsidP="00C95A14">
    <w:pPr>
      <w:pStyle w:val="Cabealh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0FE13E0B" wp14:editId="76655758">
          <wp:simplePos x="0" y="0"/>
          <wp:positionH relativeFrom="column">
            <wp:posOffset>635</wp:posOffset>
          </wp:positionH>
          <wp:positionV relativeFrom="paragraph">
            <wp:posOffset>149860</wp:posOffset>
          </wp:positionV>
          <wp:extent cx="1833112" cy="501650"/>
          <wp:effectExtent l="0" t="0" r="0" b="0"/>
          <wp:wrapNone/>
          <wp:docPr id="68792842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3112" cy="50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6F"/>
    <w:multiLevelType w:val="multilevel"/>
    <w:tmpl w:val="7D1869D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F338A6"/>
    <w:multiLevelType w:val="hybridMultilevel"/>
    <w:tmpl w:val="F2A683FE"/>
    <w:lvl w:ilvl="0" w:tplc="0CA467B6">
      <w:start w:val="1"/>
      <w:numFmt w:val="bullet"/>
      <w:pStyle w:val="Oculto-bulletsresumoinicial"/>
      <w:lvlText w:val=""/>
      <w:lvlJc w:val="left"/>
      <w:pPr>
        <w:ind w:left="720" w:hanging="360"/>
      </w:pPr>
      <w:rPr>
        <w:rFonts w:ascii="Symbol" w:hAnsi="Symbol" w:hint="default"/>
        <w:color w:val="7F7F7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239E8"/>
    <w:multiLevelType w:val="hybridMultilevel"/>
    <w:tmpl w:val="4970B15C"/>
    <w:lvl w:ilvl="0" w:tplc="A62ED18C">
      <w:start w:val="1"/>
      <w:numFmt w:val="decimal"/>
      <w:pStyle w:val="3Corpocomnumerao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162D5"/>
    <w:multiLevelType w:val="hybridMultilevel"/>
    <w:tmpl w:val="86305DE0"/>
    <w:lvl w:ilvl="0" w:tplc="F5B49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D6E92"/>
    <w:multiLevelType w:val="hybridMultilevel"/>
    <w:tmpl w:val="F8A20642"/>
    <w:lvl w:ilvl="0" w:tplc="87F063BE">
      <w:start w:val="1"/>
      <w:numFmt w:val="bullet"/>
      <w:pStyle w:val="Oculto-informaocomplementardetabelaparaprintscreen"/>
      <w:lvlText w:val=""/>
      <w:lvlJc w:val="left"/>
      <w:pPr>
        <w:ind w:left="720" w:hanging="360"/>
      </w:pPr>
      <w:rPr>
        <w:rFonts w:ascii="Symbol" w:hAnsi="Symbol" w:hint="default"/>
        <w:color w:val="7F7F7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008B7"/>
    <w:multiLevelType w:val="hybridMultilevel"/>
    <w:tmpl w:val="000060C2"/>
    <w:lvl w:ilvl="0" w:tplc="4F606D02">
      <w:start w:val="1"/>
      <w:numFmt w:val="upperRoman"/>
      <w:pStyle w:val="51Listaalgarismoromano"/>
      <w:lvlText w:val="%1."/>
      <w:lvlJc w:val="left"/>
      <w:pPr>
        <w:ind w:left="501" w:hanging="360"/>
      </w:pPr>
      <w:rPr>
        <w:rFonts w:hint="default"/>
        <w:b w:val="0"/>
        <w:bCs w:val="0"/>
        <w:i w:val="0"/>
        <w:iCs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581" w:hanging="360"/>
      </w:pPr>
    </w:lvl>
    <w:lvl w:ilvl="2" w:tplc="FFFFFFFF" w:tentative="1">
      <w:start w:val="1"/>
      <w:numFmt w:val="lowerRoman"/>
      <w:lvlText w:val="%3."/>
      <w:lvlJc w:val="right"/>
      <w:pPr>
        <w:ind w:left="2301" w:hanging="180"/>
      </w:pPr>
    </w:lvl>
    <w:lvl w:ilvl="3" w:tplc="FFFFFFFF" w:tentative="1">
      <w:start w:val="1"/>
      <w:numFmt w:val="decimal"/>
      <w:lvlText w:val="%4."/>
      <w:lvlJc w:val="left"/>
      <w:pPr>
        <w:ind w:left="3021" w:hanging="360"/>
      </w:pPr>
    </w:lvl>
    <w:lvl w:ilvl="4" w:tplc="FFFFFFFF" w:tentative="1">
      <w:start w:val="1"/>
      <w:numFmt w:val="lowerLetter"/>
      <w:lvlText w:val="%5."/>
      <w:lvlJc w:val="left"/>
      <w:pPr>
        <w:ind w:left="3741" w:hanging="360"/>
      </w:pPr>
    </w:lvl>
    <w:lvl w:ilvl="5" w:tplc="FFFFFFFF" w:tentative="1">
      <w:start w:val="1"/>
      <w:numFmt w:val="lowerRoman"/>
      <w:lvlText w:val="%6."/>
      <w:lvlJc w:val="right"/>
      <w:pPr>
        <w:ind w:left="4461" w:hanging="180"/>
      </w:pPr>
    </w:lvl>
    <w:lvl w:ilvl="6" w:tplc="FFFFFFFF" w:tentative="1">
      <w:start w:val="1"/>
      <w:numFmt w:val="decimal"/>
      <w:lvlText w:val="%7."/>
      <w:lvlJc w:val="left"/>
      <w:pPr>
        <w:ind w:left="5181" w:hanging="360"/>
      </w:pPr>
    </w:lvl>
    <w:lvl w:ilvl="7" w:tplc="FFFFFFFF" w:tentative="1">
      <w:start w:val="1"/>
      <w:numFmt w:val="lowerLetter"/>
      <w:lvlText w:val="%8."/>
      <w:lvlJc w:val="left"/>
      <w:pPr>
        <w:ind w:left="5901" w:hanging="360"/>
      </w:pPr>
    </w:lvl>
    <w:lvl w:ilvl="8" w:tplc="FFFFFFFF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6" w15:restartNumberingAfterBreak="0">
    <w:nsid w:val="551C51DD"/>
    <w:multiLevelType w:val="hybridMultilevel"/>
    <w:tmpl w:val="4418C1A4"/>
    <w:lvl w:ilvl="0" w:tplc="2A2AF2A4">
      <w:start w:val="1"/>
      <w:numFmt w:val="lowerLetter"/>
      <w:pStyle w:val="5Listaalfabtica"/>
      <w:lvlText w:val="%1."/>
      <w:lvlJc w:val="left"/>
      <w:pPr>
        <w:ind w:left="501" w:hanging="360"/>
      </w:pPr>
      <w:rPr>
        <w:rFonts w:ascii="Montserrat SemiBold" w:hAnsi="Montserrat SemiBold" w:hint="default"/>
        <w:b w:val="0"/>
        <w:bCs w:val="0"/>
        <w:i w:val="0"/>
        <w:iCs w:val="0"/>
        <w:color w:val="auto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7" w15:restartNumberingAfterBreak="0">
    <w:nsid w:val="60A0373F"/>
    <w:multiLevelType w:val="multilevel"/>
    <w:tmpl w:val="54A48066"/>
    <w:lvl w:ilvl="0">
      <w:start w:val="1"/>
      <w:numFmt w:val="lowerLetter"/>
      <w:lvlText w:val="%1."/>
      <w:lvlJc w:val="left"/>
      <w:pPr>
        <w:ind w:left="567" w:hanging="56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39A4F23"/>
    <w:multiLevelType w:val="hybridMultilevel"/>
    <w:tmpl w:val="3E7EEB4C"/>
    <w:lvl w:ilvl="0" w:tplc="83B2BCB6">
      <w:start w:val="1"/>
      <w:numFmt w:val="bullet"/>
      <w:pStyle w:val="6Bullets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4A442A" w:themeColor="background2" w:themeShade="40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71071"/>
    <w:multiLevelType w:val="hybridMultilevel"/>
    <w:tmpl w:val="E2AC8BD2"/>
    <w:lvl w:ilvl="0" w:tplc="7EFC321A">
      <w:start w:val="1"/>
      <w:numFmt w:val="upperRoman"/>
      <w:pStyle w:val="1Ttuloquandohouverdescrio"/>
      <w:lvlText w:val="%1."/>
      <w:lvlJc w:val="left"/>
      <w:pPr>
        <w:ind w:left="720" w:hanging="360"/>
      </w:pPr>
      <w:rPr>
        <w:rFonts w:ascii="Palatino Linotype" w:hAnsi="Palatino Linotype" w:hint="default"/>
        <w:b/>
        <w:bCs/>
        <w:i w:val="0"/>
        <w:iCs w:val="0"/>
        <w:color w:val="4A442A" w:themeColor="background2" w:themeShade="4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58997">
    <w:abstractNumId w:val="0"/>
  </w:num>
  <w:num w:numId="2" w16cid:durableId="1181234273">
    <w:abstractNumId w:val="6"/>
  </w:num>
  <w:num w:numId="3" w16cid:durableId="2000964767">
    <w:abstractNumId w:val="1"/>
  </w:num>
  <w:num w:numId="4" w16cid:durableId="304551468">
    <w:abstractNumId w:val="4"/>
  </w:num>
  <w:num w:numId="5" w16cid:durableId="478228290">
    <w:abstractNumId w:val="3"/>
  </w:num>
  <w:num w:numId="6" w16cid:durableId="167527134">
    <w:abstractNumId w:val="5"/>
  </w:num>
  <w:num w:numId="7" w16cid:durableId="1378779103">
    <w:abstractNumId w:val="7"/>
  </w:num>
  <w:num w:numId="8" w16cid:durableId="1385330578">
    <w:abstractNumId w:val="9"/>
  </w:num>
  <w:num w:numId="9" w16cid:durableId="725488781">
    <w:abstractNumId w:val="2"/>
  </w:num>
  <w:num w:numId="10" w16cid:durableId="82143005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3FF"/>
    <w:rsid w:val="00115F84"/>
    <w:rsid w:val="001172D8"/>
    <w:rsid w:val="001408A7"/>
    <w:rsid w:val="0015074B"/>
    <w:rsid w:val="0017513B"/>
    <w:rsid w:val="001C4613"/>
    <w:rsid w:val="00236E1C"/>
    <w:rsid w:val="00271A15"/>
    <w:rsid w:val="00280CF4"/>
    <w:rsid w:val="0028506A"/>
    <w:rsid w:val="00286F68"/>
    <w:rsid w:val="0029639D"/>
    <w:rsid w:val="002C0D22"/>
    <w:rsid w:val="00324CF2"/>
    <w:rsid w:val="00325F57"/>
    <w:rsid w:val="00326F90"/>
    <w:rsid w:val="0033731B"/>
    <w:rsid w:val="00376C64"/>
    <w:rsid w:val="00414740"/>
    <w:rsid w:val="00443CEA"/>
    <w:rsid w:val="00585266"/>
    <w:rsid w:val="0060103F"/>
    <w:rsid w:val="00627D53"/>
    <w:rsid w:val="00665D11"/>
    <w:rsid w:val="006B226B"/>
    <w:rsid w:val="006B4E75"/>
    <w:rsid w:val="006C4AB7"/>
    <w:rsid w:val="006E7735"/>
    <w:rsid w:val="00724456"/>
    <w:rsid w:val="007840AB"/>
    <w:rsid w:val="00795B41"/>
    <w:rsid w:val="007B0DEB"/>
    <w:rsid w:val="007D7B40"/>
    <w:rsid w:val="007F6E95"/>
    <w:rsid w:val="00836E7B"/>
    <w:rsid w:val="00847FDC"/>
    <w:rsid w:val="008A4C99"/>
    <w:rsid w:val="008D2D38"/>
    <w:rsid w:val="009A1910"/>
    <w:rsid w:val="009C0394"/>
    <w:rsid w:val="00A221A0"/>
    <w:rsid w:val="00A365E1"/>
    <w:rsid w:val="00A74264"/>
    <w:rsid w:val="00AA1D8D"/>
    <w:rsid w:val="00AA35E7"/>
    <w:rsid w:val="00AB3EEB"/>
    <w:rsid w:val="00AF1EAF"/>
    <w:rsid w:val="00B03F58"/>
    <w:rsid w:val="00B331B5"/>
    <w:rsid w:val="00B33990"/>
    <w:rsid w:val="00B47730"/>
    <w:rsid w:val="00B64C7B"/>
    <w:rsid w:val="00B8599C"/>
    <w:rsid w:val="00B873C4"/>
    <w:rsid w:val="00B9300A"/>
    <w:rsid w:val="00BC2A82"/>
    <w:rsid w:val="00BF2A9F"/>
    <w:rsid w:val="00C009F3"/>
    <w:rsid w:val="00C44C93"/>
    <w:rsid w:val="00CB0664"/>
    <w:rsid w:val="00D022A7"/>
    <w:rsid w:val="00D82769"/>
    <w:rsid w:val="00DB0DE4"/>
    <w:rsid w:val="00E20F0F"/>
    <w:rsid w:val="00E36798"/>
    <w:rsid w:val="00E43971"/>
    <w:rsid w:val="00EB7F89"/>
    <w:rsid w:val="00F57EBF"/>
    <w:rsid w:val="00FB08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C879C7"/>
  <w14:defaultImageDpi w14:val="330"/>
  <w15:docId w15:val="{39816089-C9BE-48B3-9535-053D21FA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1083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F7F7F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F7F7F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F7F7F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F7F7F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F7F7F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1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F7F7F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F7F7F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1FD"/>
  </w:style>
  <w:style w:type="paragraph" w:styleId="Rodap">
    <w:name w:val="footer"/>
    <w:basedOn w:val="Normal"/>
    <w:link w:val="Rodap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01FD"/>
  </w:style>
  <w:style w:type="table" w:styleId="Tabelacomgrade">
    <w:name w:val="Table Grid"/>
    <w:basedOn w:val="Tabelanormal"/>
    <w:uiPriority w:val="39"/>
    <w:rsid w:val="006D3D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D183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83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B52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B52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B52B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B52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52B7"/>
    <w:rPr>
      <w:b/>
      <w:bCs/>
      <w:sz w:val="20"/>
      <w:szCs w:val="20"/>
    </w:rPr>
  </w:style>
  <w:style w:type="paragraph" w:customStyle="1" w:styleId="1Ttuloquandohouverdescrio">
    <w:name w:val="1. Título (quando houver descrição)"/>
    <w:basedOn w:val="Normal"/>
    <w:next w:val="11Descriodottulo"/>
    <w:link w:val="1TtuloquandohouverdescrioChar"/>
    <w:qFormat/>
    <w:rsid w:val="00665D11"/>
    <w:pPr>
      <w:keepNext/>
      <w:keepLines/>
      <w:numPr>
        <w:numId w:val="8"/>
      </w:numPr>
      <w:spacing w:before="480" w:after="20" w:line="240" w:lineRule="auto"/>
      <w:ind w:left="0" w:hanging="426"/>
      <w:jc w:val="center"/>
    </w:pPr>
    <w:rPr>
      <w:rFonts w:ascii="Lato" w:hAnsi="Lato"/>
      <w:b/>
      <w:bCs/>
      <w:color w:val="4A442A" w:themeColor="background2" w:themeShade="40"/>
      <w:spacing w:val="20"/>
      <w:sz w:val="20"/>
      <w:szCs w:val="20"/>
    </w:rPr>
  </w:style>
  <w:style w:type="character" w:customStyle="1" w:styleId="1TtuloquandohouverdescrioChar">
    <w:name w:val="1. Título (quando houver descrição) Char"/>
    <w:basedOn w:val="Fontepargpadro"/>
    <w:link w:val="1Ttuloquandohouverdescrio"/>
    <w:rsid w:val="00665D11"/>
    <w:rPr>
      <w:rFonts w:ascii="Lato" w:hAnsi="Lato"/>
      <w:b/>
      <w:bCs/>
      <w:color w:val="4A442A" w:themeColor="background2" w:themeShade="40"/>
      <w:spacing w:val="20"/>
      <w:sz w:val="20"/>
      <w:szCs w:val="20"/>
    </w:rPr>
  </w:style>
  <w:style w:type="paragraph" w:customStyle="1" w:styleId="2Subttulo">
    <w:name w:val="2. Subtítulo"/>
    <w:basedOn w:val="11Descriodottulo"/>
    <w:next w:val="3Corposemnumerao"/>
    <w:link w:val="2SubttuloChar"/>
    <w:qFormat/>
    <w:rsid w:val="00847FDC"/>
    <w:pPr>
      <w:pBdr>
        <w:top w:val="single" w:sz="4" w:space="1" w:color="auto"/>
        <w:bottom w:val="single" w:sz="4" w:space="1" w:color="auto"/>
      </w:pBdr>
    </w:pPr>
    <w:rPr>
      <w:color w:val="auto"/>
    </w:rPr>
  </w:style>
  <w:style w:type="character" w:customStyle="1" w:styleId="2SubttuloChar">
    <w:name w:val="2. Subtítulo Char"/>
    <w:basedOn w:val="Fontepargpadro"/>
    <w:link w:val="2Subttulo"/>
    <w:rsid w:val="00847FDC"/>
    <w:rPr>
      <w:rFonts w:ascii="Palatino Linotype" w:hAnsi="Palatino Linotype"/>
      <w:i/>
      <w:iCs/>
      <w:sz w:val="24"/>
      <w:szCs w:val="24"/>
    </w:rPr>
  </w:style>
  <w:style w:type="paragraph" w:customStyle="1" w:styleId="3Corposemnumerao">
    <w:name w:val="3 Corpo sem numeração"/>
    <w:basedOn w:val="Normal"/>
    <w:link w:val="3CorposemnumeraoChar"/>
    <w:qFormat/>
    <w:rsid w:val="00B03F58"/>
    <w:pPr>
      <w:spacing w:before="280" w:after="280" w:line="312" w:lineRule="auto"/>
    </w:pPr>
    <w:rPr>
      <w:rFonts w:ascii="Lato" w:hAnsi="Lato"/>
    </w:rPr>
  </w:style>
  <w:style w:type="character" w:customStyle="1" w:styleId="3CorposemnumeraoChar">
    <w:name w:val="3 Corpo sem numeração Char"/>
    <w:basedOn w:val="Fontepargpadro"/>
    <w:link w:val="3Corposemnumerao"/>
    <w:rsid w:val="00B03F58"/>
    <w:rPr>
      <w:rFonts w:ascii="Lato" w:hAnsi="Lato"/>
    </w:rPr>
  </w:style>
  <w:style w:type="paragraph" w:customStyle="1" w:styleId="5Listaalfabtica">
    <w:name w:val="5. Lista alfabética"/>
    <w:basedOn w:val="PargrafodaLista"/>
    <w:link w:val="5ListaalfabticaChar"/>
    <w:qFormat/>
    <w:rsid w:val="00B2105E"/>
    <w:pPr>
      <w:numPr>
        <w:numId w:val="2"/>
      </w:numPr>
      <w:tabs>
        <w:tab w:val="left" w:pos="1880"/>
      </w:tabs>
      <w:spacing w:before="120" w:after="120"/>
      <w:ind w:left="567" w:hanging="567"/>
      <w:contextualSpacing w:val="0"/>
    </w:pPr>
    <w:rPr>
      <w:rFonts w:ascii="Source Serif Pro" w:hAnsi="Source Serif Pro"/>
      <w:sz w:val="23"/>
      <w:szCs w:val="23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9108A"/>
  </w:style>
  <w:style w:type="character" w:customStyle="1" w:styleId="5ListaalfabticaChar">
    <w:name w:val="5. Lista alfabética Char"/>
    <w:basedOn w:val="PargrafodaListaChar"/>
    <w:link w:val="5Listaalfabtica"/>
    <w:rsid w:val="00B2105E"/>
    <w:rPr>
      <w:rFonts w:ascii="Source Serif Pro" w:hAnsi="Source Serif Pro"/>
      <w:sz w:val="23"/>
      <w:szCs w:val="23"/>
    </w:rPr>
  </w:style>
  <w:style w:type="paragraph" w:customStyle="1" w:styleId="4Citao0">
    <w:name w:val="4. Citação"/>
    <w:basedOn w:val="Normal"/>
    <w:link w:val="4CitaoChar0"/>
    <w:qFormat/>
    <w:rsid w:val="00B8599C"/>
    <w:pPr>
      <w:tabs>
        <w:tab w:val="left" w:pos="1880"/>
        <w:tab w:val="left" w:pos="2552"/>
      </w:tabs>
      <w:spacing w:before="0" w:after="0"/>
      <w:ind w:left="2126"/>
    </w:pPr>
    <w:rPr>
      <w:rFonts w:asciiTheme="minorHAnsi" w:hAnsiTheme="minorHAnsi"/>
      <w:sz w:val="21"/>
      <w:szCs w:val="21"/>
    </w:rPr>
  </w:style>
  <w:style w:type="character" w:customStyle="1" w:styleId="4CitaoChar0">
    <w:name w:val="4. Citação Char"/>
    <w:basedOn w:val="Fontepargpadro"/>
    <w:link w:val="4Citao0"/>
    <w:rsid w:val="00B8599C"/>
    <w:rPr>
      <w:rFonts w:asciiTheme="minorHAnsi" w:hAnsiTheme="minorHAnsi"/>
      <w:sz w:val="21"/>
      <w:szCs w:val="21"/>
    </w:rPr>
  </w:style>
  <w:style w:type="paragraph" w:customStyle="1" w:styleId="11Descriodottulo">
    <w:name w:val="1.1 Descrição do título"/>
    <w:next w:val="3Corposemnumerao"/>
    <w:qFormat/>
    <w:rsid w:val="00847FDC"/>
    <w:pPr>
      <w:keepNext/>
      <w:spacing w:before="40" w:after="280"/>
      <w:jc w:val="center"/>
    </w:pPr>
    <w:rPr>
      <w:rFonts w:ascii="Palatino Linotype" w:hAnsi="Palatino Linotype"/>
      <w:i/>
      <w:iCs/>
      <w:color w:val="808080" w:themeColor="background1" w:themeShade="80"/>
      <w:sz w:val="24"/>
      <w:szCs w:val="24"/>
    </w:rPr>
  </w:style>
  <w:style w:type="character" w:styleId="Forte">
    <w:name w:val="Strong"/>
    <w:basedOn w:val="Fontepargpadro"/>
    <w:uiPriority w:val="22"/>
    <w:rsid w:val="006A15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11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6Bullets">
    <w:name w:val="6 Bullets"/>
    <w:basedOn w:val="3Corpocomnumerao"/>
    <w:link w:val="6BulletsChar"/>
    <w:qFormat/>
    <w:rsid w:val="00D022A7"/>
    <w:pPr>
      <w:numPr>
        <w:numId w:val="10"/>
      </w:numPr>
      <w:ind w:left="0"/>
    </w:pPr>
  </w:style>
  <w:style w:type="paragraph" w:customStyle="1" w:styleId="Oculto-Qualificaoautor">
    <w:name w:val="Oculto - Qualificação autor"/>
    <w:link w:val="Oculto-QualificaoautorChar"/>
    <w:rsid w:val="00D12304"/>
    <w:pPr>
      <w:spacing w:before="1080" w:after="360" w:line="312" w:lineRule="auto"/>
    </w:pPr>
    <w:rPr>
      <w:rFonts w:ascii="Source Serif Pro" w:hAnsi="Source Serif Pro"/>
      <w:sz w:val="23"/>
      <w:szCs w:val="23"/>
    </w:rPr>
  </w:style>
  <w:style w:type="character" w:customStyle="1" w:styleId="Oculto-QualificaoautorChar">
    <w:name w:val="Oculto - Qualificação autor Char"/>
    <w:basedOn w:val="3CorposemnumeraoChar"/>
    <w:link w:val="Oculto-Qualificaoautor"/>
    <w:rsid w:val="00D12304"/>
    <w:rPr>
      <w:rFonts w:ascii="Source Serif Pro" w:hAnsi="Source Serif Pro"/>
      <w:sz w:val="23"/>
      <w:szCs w:val="23"/>
    </w:rPr>
  </w:style>
  <w:style w:type="paragraph" w:customStyle="1" w:styleId="Oculto-Nomedaaolinha2">
    <w:name w:val="Oculto - Nome da ação linha 2"/>
    <w:basedOn w:val="Oculto-nomedaaolinha1"/>
    <w:link w:val="Oculto-Nomedaaolinha2Char"/>
    <w:rsid w:val="00EE39C3"/>
    <w:rPr>
      <w:b w:val="0"/>
      <w:bCs w:val="0"/>
      <w:i/>
      <w:iCs/>
    </w:rPr>
  </w:style>
  <w:style w:type="character" w:customStyle="1" w:styleId="Oculto-Nomedaaolinha2Char">
    <w:name w:val="Oculto - Nome da ação linha 2 Char"/>
    <w:basedOn w:val="3CorposemnumeraoChar"/>
    <w:link w:val="Oculto-Nomedaaolinha2"/>
    <w:rsid w:val="00EE39C3"/>
    <w:rPr>
      <w:rFonts w:ascii="Source Serif Pro" w:hAnsi="Source Serif Pro"/>
      <w:i/>
      <w:iCs/>
      <w:color w:val="000000" w:themeColor="text1"/>
      <w:sz w:val="23"/>
      <w:szCs w:val="23"/>
    </w:rPr>
  </w:style>
  <w:style w:type="paragraph" w:customStyle="1" w:styleId="Oculto-qualificaodoru">
    <w:name w:val="Oculto - qualificação do réu"/>
    <w:basedOn w:val="Oculto-Qualificaoautor"/>
    <w:link w:val="Oculto-qualificaodoruChar"/>
    <w:rsid w:val="00D12304"/>
    <w:pPr>
      <w:spacing w:before="480"/>
    </w:pPr>
  </w:style>
  <w:style w:type="character" w:customStyle="1" w:styleId="Oculto-qualificaodoruChar">
    <w:name w:val="Oculto - qualificação do réu Char"/>
    <w:basedOn w:val="Oculto-QualificaoautorChar"/>
    <w:link w:val="Oculto-qualificaodoru"/>
    <w:rsid w:val="00D12304"/>
    <w:rPr>
      <w:rFonts w:ascii="Source Serif Pro" w:hAnsi="Source Serif Pro"/>
      <w:sz w:val="23"/>
      <w:szCs w:val="23"/>
    </w:rPr>
  </w:style>
  <w:style w:type="paragraph" w:customStyle="1" w:styleId="Oculto-Cabealhosntese">
    <w:name w:val="Oculto - Cabeçalho síntese"/>
    <w:link w:val="Oculto-CabealhosnteseChar"/>
    <w:rsid w:val="009A26D7"/>
    <w:pPr>
      <w:spacing w:before="120" w:after="120" w:line="240" w:lineRule="auto"/>
      <w:jc w:val="center"/>
    </w:pPr>
    <w:rPr>
      <w:b/>
      <w:bCs/>
      <w:sz w:val="23"/>
      <w:szCs w:val="23"/>
    </w:rPr>
  </w:style>
  <w:style w:type="character" w:customStyle="1" w:styleId="Oculto-CabealhosnteseChar">
    <w:name w:val="Oculto - Cabeçalho síntese Char"/>
    <w:basedOn w:val="3CorposemnumeraoChar"/>
    <w:link w:val="Oculto-Cabealhosntese"/>
    <w:rsid w:val="009A26D7"/>
    <w:rPr>
      <w:rFonts w:ascii="Source Serif Pro" w:hAnsi="Source Serif Pro"/>
      <w:b/>
      <w:bCs/>
      <w:sz w:val="23"/>
      <w:szCs w:val="23"/>
    </w:rPr>
  </w:style>
  <w:style w:type="paragraph" w:customStyle="1" w:styleId="Oculto-bulletsresumoinicial">
    <w:name w:val="Oculto - bullets resumo inicial"/>
    <w:link w:val="Oculto-bulletsresumoinicialChar"/>
    <w:rsid w:val="00A309E9"/>
    <w:pPr>
      <w:numPr>
        <w:numId w:val="3"/>
      </w:numPr>
      <w:spacing w:before="200" w:after="200" w:line="240" w:lineRule="auto"/>
      <w:ind w:left="425" w:hanging="425"/>
    </w:pPr>
    <w:rPr>
      <w:rFonts w:ascii="Source Serif Pro" w:hAnsi="Source Serif Pro"/>
      <w:sz w:val="23"/>
      <w:szCs w:val="23"/>
    </w:rPr>
  </w:style>
  <w:style w:type="character" w:customStyle="1" w:styleId="6BulletsChar">
    <w:name w:val="6 Bullets Char"/>
    <w:basedOn w:val="Fontepargpadro"/>
    <w:link w:val="6Bullets"/>
    <w:rsid w:val="00D022A7"/>
    <w:rPr>
      <w:rFonts w:asciiTheme="minorHAnsi" w:hAnsiTheme="minorHAnsi"/>
      <w:sz w:val="24"/>
      <w:szCs w:val="24"/>
    </w:rPr>
  </w:style>
  <w:style w:type="character" w:customStyle="1" w:styleId="Oculto-bulletsresumoinicialChar">
    <w:name w:val="Oculto - bullets resumo inicial Char"/>
    <w:basedOn w:val="6BulletsChar"/>
    <w:link w:val="Oculto-bulletsresumoinicial"/>
    <w:rsid w:val="00A309E9"/>
    <w:rPr>
      <w:rFonts w:ascii="Source Serif Pro" w:hAnsi="Source Serif Pro"/>
      <w:sz w:val="23"/>
      <w:szCs w:val="23"/>
    </w:rPr>
  </w:style>
  <w:style w:type="paragraph" w:customStyle="1" w:styleId="31Corpocomdestaque">
    <w:name w:val="3.1 Corpo com destaque"/>
    <w:basedOn w:val="3Corposemnumerao"/>
    <w:link w:val="31CorpocomdestaqueChar"/>
    <w:rsid w:val="00B2105E"/>
    <w:pPr>
      <w:pBdr>
        <w:top w:val="single" w:sz="8" w:space="1" w:color="7F7F7F"/>
        <w:bottom w:val="single" w:sz="8" w:space="1" w:color="7F7F7F"/>
      </w:pBdr>
    </w:pPr>
  </w:style>
  <w:style w:type="character" w:customStyle="1" w:styleId="31CorpocomdestaqueChar">
    <w:name w:val="3.1 Corpo com destaque Char"/>
    <w:basedOn w:val="3CorposemnumeraoChar"/>
    <w:link w:val="31Corpocomdestaque"/>
    <w:rsid w:val="00B2105E"/>
    <w:rPr>
      <w:rFonts w:ascii="Source Serif Pro" w:hAnsi="Source Serif Pro"/>
      <w:sz w:val="23"/>
      <w:szCs w:val="23"/>
    </w:rPr>
  </w:style>
  <w:style w:type="paragraph" w:customStyle="1" w:styleId="Oculto-informaocomplementardetabelaparaprintscreen">
    <w:name w:val="Oculto - informação complementar de tabela para printscreen"/>
    <w:link w:val="Oculto-informaocomplementardetabelaparaprintscreenChar"/>
    <w:rsid w:val="00352821"/>
    <w:pPr>
      <w:numPr>
        <w:numId w:val="4"/>
      </w:numPr>
      <w:spacing w:before="120" w:after="0" w:line="240" w:lineRule="auto"/>
      <w:ind w:left="315" w:hanging="283"/>
      <w:jc w:val="left"/>
    </w:pPr>
    <w:rPr>
      <w:b/>
      <w:bCs/>
      <w:color w:val="354042"/>
      <w:sz w:val="18"/>
      <w:szCs w:val="18"/>
    </w:rPr>
  </w:style>
  <w:style w:type="character" w:customStyle="1" w:styleId="Oculto-informaocomplementardetabelaparaprintscreenChar">
    <w:name w:val="Oculto - informação complementar de tabela para printscreen Char"/>
    <w:basedOn w:val="PargrafodaListaChar"/>
    <w:link w:val="Oculto-informaocomplementardetabelaparaprintscreen"/>
    <w:rsid w:val="00352821"/>
    <w:rPr>
      <w:b/>
      <w:bCs/>
      <w:color w:val="354042"/>
      <w:sz w:val="18"/>
      <w:szCs w:val="18"/>
    </w:rPr>
  </w:style>
  <w:style w:type="paragraph" w:customStyle="1" w:styleId="Oculto-Cabealhotabela">
    <w:name w:val="Oculto - Cabeçalho tabela"/>
    <w:link w:val="Oculto-CabealhotabelaChar"/>
    <w:rsid w:val="006533A0"/>
    <w:pPr>
      <w:spacing w:before="40" w:after="120" w:line="240" w:lineRule="auto"/>
      <w:ind w:left="32"/>
    </w:pPr>
    <w:rPr>
      <w:b/>
      <w:bCs/>
      <w:color w:val="000000" w:themeColor="text1"/>
      <w:sz w:val="21"/>
      <w:szCs w:val="21"/>
    </w:rPr>
  </w:style>
  <w:style w:type="character" w:customStyle="1" w:styleId="Oculto-CabealhotabelaChar">
    <w:name w:val="Oculto - Cabeçalho tabela Char"/>
    <w:basedOn w:val="3CorposemnumeraoChar"/>
    <w:link w:val="Oculto-Cabealhotabela"/>
    <w:rsid w:val="006533A0"/>
    <w:rPr>
      <w:rFonts w:ascii="Source Serif Pro" w:hAnsi="Source Serif Pro"/>
      <w:b/>
      <w:bCs/>
      <w:color w:val="000000" w:themeColor="text1"/>
      <w:sz w:val="21"/>
      <w:szCs w:val="21"/>
    </w:rPr>
  </w:style>
  <w:style w:type="paragraph" w:customStyle="1" w:styleId="Oculto-corpotabelaestiloprincipal">
    <w:name w:val="Oculto - corpo tabela (estilo principal)"/>
    <w:link w:val="Oculto-corpotabelaestiloprincipalChar"/>
    <w:rsid w:val="006533A0"/>
    <w:pPr>
      <w:spacing w:before="40" w:after="80" w:line="264" w:lineRule="auto"/>
      <w:ind w:left="32"/>
      <w:jc w:val="left"/>
    </w:pPr>
    <w:rPr>
      <w:sz w:val="21"/>
      <w:szCs w:val="21"/>
    </w:rPr>
  </w:style>
  <w:style w:type="character" w:customStyle="1" w:styleId="Oculto-corpotabelaestiloprincipalChar">
    <w:name w:val="Oculto - corpo tabela (estilo principal) Char"/>
    <w:basedOn w:val="Fontepargpadro"/>
    <w:link w:val="Oculto-corpotabelaestiloprincipal"/>
    <w:rsid w:val="00CF4359"/>
    <w:rPr>
      <w:sz w:val="21"/>
      <w:szCs w:val="21"/>
    </w:rPr>
  </w:style>
  <w:style w:type="paragraph" w:customStyle="1" w:styleId="Oculto-corpotabelaestilosecundrio-apoio">
    <w:name w:val="Oculto - corpo tabela (estilo secundário - apoio)"/>
    <w:link w:val="Oculto-corpotabelaestilosecundrio-apoioChar"/>
    <w:rsid w:val="006533A0"/>
    <w:pPr>
      <w:spacing w:before="40" w:after="80" w:line="264" w:lineRule="auto"/>
      <w:jc w:val="left"/>
    </w:pPr>
    <w:rPr>
      <w:rFonts w:ascii="Source Serif Pro" w:hAnsi="Source Serif Pro" w:cs="Times New Roman"/>
      <w:i/>
      <w:iCs/>
      <w:sz w:val="21"/>
      <w:szCs w:val="21"/>
    </w:rPr>
  </w:style>
  <w:style w:type="character" w:customStyle="1" w:styleId="Oculto-corpotabelaestilosecundrio-apoioChar">
    <w:name w:val="Oculto - corpo tabela (estilo secundário - apoio) Char"/>
    <w:basedOn w:val="3CorposemnumeraoChar"/>
    <w:link w:val="Oculto-corpotabelaestilosecundrio-apoio"/>
    <w:rsid w:val="006533A0"/>
    <w:rPr>
      <w:rFonts w:ascii="Source Serif Pro" w:hAnsi="Source Serif Pro" w:cs="Times New Roman"/>
      <w:i/>
      <w:iCs/>
      <w:sz w:val="21"/>
      <w:szCs w:val="21"/>
    </w:rPr>
  </w:style>
  <w:style w:type="paragraph" w:customStyle="1" w:styleId="41Citao-informaes">
    <w:name w:val="4.1 Citação - informações"/>
    <w:basedOn w:val="4Citao0"/>
    <w:link w:val="41Citao-informaesChar"/>
    <w:qFormat/>
    <w:rsid w:val="00B8599C"/>
    <w:pPr>
      <w:pBdr>
        <w:bottom w:val="single" w:sz="8" w:space="1" w:color="7F7F7F"/>
      </w:pBdr>
      <w:spacing w:before="240" w:after="240"/>
    </w:pPr>
    <w:rPr>
      <w:rFonts w:ascii="Lato" w:hAnsi="Lato"/>
      <w:b/>
      <w:bCs/>
      <w:sz w:val="16"/>
      <w:szCs w:val="16"/>
    </w:rPr>
  </w:style>
  <w:style w:type="character" w:customStyle="1" w:styleId="41Citao-informaesChar">
    <w:name w:val="4.1 Citação - informações Char"/>
    <w:basedOn w:val="4CitaoChar0"/>
    <w:link w:val="41Citao-informaes"/>
    <w:rsid w:val="00B8599C"/>
    <w:rPr>
      <w:rFonts w:ascii="Lato" w:hAnsi="Lato"/>
      <w:b/>
      <w:bCs/>
      <w:sz w:val="16"/>
      <w:szCs w:val="16"/>
    </w:rPr>
  </w:style>
  <w:style w:type="paragraph" w:customStyle="1" w:styleId="51Listaalgarismoromano">
    <w:name w:val="5.1 Lista algarismo romano"/>
    <w:basedOn w:val="5Listaalfabtica"/>
    <w:link w:val="51ListaalgarismoromanoChar"/>
    <w:rsid w:val="00B2105E"/>
    <w:pPr>
      <w:numPr>
        <w:numId w:val="6"/>
      </w:numPr>
      <w:ind w:left="426" w:hanging="426"/>
    </w:pPr>
  </w:style>
  <w:style w:type="character" w:customStyle="1" w:styleId="51ListaalgarismoromanoChar">
    <w:name w:val="5.1 Lista algarismo romano Char"/>
    <w:basedOn w:val="5ListaalfabticaChar"/>
    <w:link w:val="51Listaalgarismoromano"/>
    <w:rsid w:val="00B2105E"/>
    <w:rPr>
      <w:rFonts w:ascii="Source Serif Pro" w:hAnsi="Source Serif Pro"/>
      <w:sz w:val="23"/>
      <w:szCs w:val="23"/>
    </w:rPr>
  </w:style>
  <w:style w:type="paragraph" w:customStyle="1" w:styleId="Oculto-nomeadvogado">
    <w:name w:val="Oculto - nome advogado"/>
    <w:link w:val="Oculto-nomeadvogadoChar"/>
    <w:rsid w:val="004A212C"/>
    <w:pPr>
      <w:spacing w:before="720" w:after="0"/>
      <w:jc w:val="left"/>
    </w:pPr>
    <w:rPr>
      <w:rFonts w:ascii="Source Sans Pro" w:hAnsi="Source Sans Pro"/>
      <w:b/>
      <w:bCs/>
      <w:color w:val="7F7F7F"/>
      <w:sz w:val="28"/>
      <w:szCs w:val="28"/>
    </w:rPr>
  </w:style>
  <w:style w:type="character" w:customStyle="1" w:styleId="Oculto-nomeadvogadoChar">
    <w:name w:val="Oculto - nome advogado Char"/>
    <w:basedOn w:val="Fontepargpadro"/>
    <w:link w:val="Oculto-nomeadvogado"/>
    <w:rsid w:val="004A212C"/>
    <w:rPr>
      <w:rFonts w:ascii="Source Sans Pro" w:hAnsi="Source Sans Pro"/>
      <w:b/>
      <w:bCs/>
      <w:color w:val="7F7F7F"/>
      <w:sz w:val="28"/>
      <w:szCs w:val="28"/>
    </w:rPr>
  </w:style>
  <w:style w:type="paragraph" w:customStyle="1" w:styleId="Oculto-OABadvogado">
    <w:name w:val="Oculto - OAB advogado"/>
    <w:link w:val="Oculto-OABadvogadoChar"/>
    <w:rsid w:val="004A212C"/>
    <w:pPr>
      <w:spacing w:before="0"/>
      <w:jc w:val="left"/>
    </w:pPr>
    <w:rPr>
      <w:rFonts w:ascii="Source Serif Pro" w:hAnsi="Source Serif Pro"/>
      <w:color w:val="354042"/>
      <w:spacing w:val="6"/>
      <w:sz w:val="20"/>
      <w:szCs w:val="20"/>
    </w:rPr>
  </w:style>
  <w:style w:type="character" w:customStyle="1" w:styleId="Oculto-OABadvogadoChar">
    <w:name w:val="Oculto - OAB advogado Char"/>
    <w:basedOn w:val="Fontepargpadro"/>
    <w:link w:val="Oculto-OABadvogado"/>
    <w:rsid w:val="004A212C"/>
    <w:rPr>
      <w:rFonts w:ascii="Source Serif Pro" w:hAnsi="Source Serif Pro"/>
      <w:color w:val="354042"/>
      <w:spacing w:val="6"/>
      <w:sz w:val="20"/>
      <w:szCs w:val="20"/>
    </w:rPr>
  </w:style>
  <w:style w:type="paragraph" w:customStyle="1" w:styleId="Oculto-informaocomplementartabelaprint">
    <w:name w:val="Oculto - informação complementar tabela print"/>
    <w:link w:val="Oculto-informaocomplementartabelaprintChar"/>
    <w:rsid w:val="00352821"/>
    <w:pPr>
      <w:spacing w:before="120" w:after="0" w:line="264" w:lineRule="auto"/>
      <w:ind w:left="-34"/>
    </w:pPr>
    <w:rPr>
      <w:rFonts w:ascii="Source Serif Pro" w:hAnsi="Source Serif Pro"/>
      <w:i/>
      <w:iCs/>
      <w:color w:val="092B3D"/>
      <w:sz w:val="18"/>
      <w:szCs w:val="18"/>
    </w:rPr>
  </w:style>
  <w:style w:type="character" w:customStyle="1" w:styleId="Oculto-informaocomplementartabelaprintChar">
    <w:name w:val="Oculto - informação complementar tabela print Char"/>
    <w:basedOn w:val="Oculto-informaocomplementardetabelaparaprintscreenChar"/>
    <w:link w:val="Oculto-informaocomplementartabelaprint"/>
    <w:rsid w:val="00352821"/>
    <w:rPr>
      <w:rFonts w:ascii="Source Serif Pro" w:hAnsi="Source Serif Pro"/>
      <w:b w:val="0"/>
      <w:bCs w:val="0"/>
      <w:i/>
      <w:iCs/>
      <w:color w:val="092B3D"/>
      <w:sz w:val="18"/>
      <w:szCs w:val="18"/>
    </w:rPr>
  </w:style>
  <w:style w:type="paragraph" w:customStyle="1" w:styleId="Oculto-nomedaaolinha1">
    <w:name w:val="Oculto - nome da ação (linha 1)"/>
    <w:basedOn w:val="Normal"/>
    <w:link w:val="Oculto-nomedaaolinha1Char"/>
    <w:rsid w:val="00EE39C3"/>
    <w:pPr>
      <w:spacing w:before="80" w:after="80" w:line="240" w:lineRule="auto"/>
      <w:jc w:val="center"/>
    </w:pPr>
    <w:rPr>
      <w:rFonts w:ascii="Source Serif Pro" w:hAnsi="Source Serif Pro"/>
      <w:b/>
      <w:bCs/>
      <w:color w:val="000000" w:themeColor="text1"/>
      <w:sz w:val="23"/>
      <w:szCs w:val="23"/>
    </w:rPr>
  </w:style>
  <w:style w:type="character" w:customStyle="1" w:styleId="Oculto-nomedaaolinha1Char">
    <w:name w:val="Oculto - nome da ação (linha 1) Char"/>
    <w:basedOn w:val="Oculto-qualificaodoruChar"/>
    <w:link w:val="Oculto-nomedaaolinha1"/>
    <w:rsid w:val="00EE39C3"/>
    <w:rPr>
      <w:rFonts w:ascii="Source Serif Pro" w:hAnsi="Source Serif Pro"/>
      <w:b/>
      <w:bCs/>
      <w:color w:val="000000" w:themeColor="text1"/>
      <w:sz w:val="23"/>
      <w:szCs w:val="23"/>
    </w:rPr>
  </w:style>
  <w:style w:type="paragraph" w:customStyle="1" w:styleId="Oculto-sntesedaao">
    <w:name w:val="Oculto - síntese da ação"/>
    <w:link w:val="Oculto-sntesedaaoChar"/>
    <w:rsid w:val="00B2105E"/>
    <w:pPr>
      <w:spacing w:before="120" w:after="120" w:line="240" w:lineRule="auto"/>
      <w:jc w:val="center"/>
    </w:pPr>
    <w:rPr>
      <w:rFonts w:ascii="Source Serif Pro" w:hAnsi="Source Serif Pro"/>
      <w:b/>
      <w:bCs/>
      <w:sz w:val="23"/>
      <w:szCs w:val="23"/>
    </w:rPr>
  </w:style>
  <w:style w:type="character" w:customStyle="1" w:styleId="Oculto-sntesedaaoChar">
    <w:name w:val="Oculto - síntese da ação Char"/>
    <w:basedOn w:val="Oculto-qualificaodoruChar"/>
    <w:link w:val="Oculto-sntesedaao"/>
    <w:rsid w:val="00B2105E"/>
    <w:rPr>
      <w:rFonts w:ascii="Source Serif Pro" w:hAnsi="Source Serif Pro"/>
      <w:b/>
      <w:bCs/>
      <w:sz w:val="23"/>
      <w:szCs w:val="23"/>
    </w:rPr>
  </w:style>
  <w:style w:type="paragraph" w:customStyle="1" w:styleId="Oculto-endereamento">
    <w:name w:val="Oculto - endereçamento"/>
    <w:basedOn w:val="Normal"/>
    <w:link w:val="Oculto-endereamentoChar"/>
    <w:rsid w:val="006F6CDA"/>
    <w:pPr>
      <w:suppressAutoHyphens/>
      <w:spacing w:before="960" w:after="120"/>
      <w:ind w:right="1840"/>
      <w:jc w:val="left"/>
    </w:pPr>
    <w:rPr>
      <w:rFonts w:ascii="Source Serif Pro" w:hAnsi="Source Serif Pro"/>
      <w:b/>
      <w:bCs/>
      <w:spacing w:val="14"/>
    </w:rPr>
  </w:style>
  <w:style w:type="character" w:customStyle="1" w:styleId="Oculto-endereamentoChar">
    <w:name w:val="Oculto - endereçamento Char"/>
    <w:basedOn w:val="Fontepargpadro"/>
    <w:link w:val="Oculto-endereamento"/>
    <w:rsid w:val="006F6CDA"/>
    <w:rPr>
      <w:rFonts w:ascii="Source Serif Pro" w:hAnsi="Source Serif Pro"/>
      <w:b/>
      <w:bCs/>
      <w:spacing w:val="14"/>
    </w:rPr>
  </w:style>
  <w:style w:type="paragraph" w:customStyle="1" w:styleId="3Corpocomnumerao">
    <w:name w:val="3 Corpo com numeração"/>
    <w:basedOn w:val="3Corposemnumerao"/>
    <w:link w:val="3CorpocomnumeraoChar"/>
    <w:qFormat/>
    <w:rsid w:val="00E20F0F"/>
    <w:pPr>
      <w:numPr>
        <w:numId w:val="9"/>
      </w:numPr>
      <w:ind w:left="0"/>
    </w:pPr>
    <w:rPr>
      <w:rFonts w:asciiTheme="minorHAnsi" w:hAnsiTheme="minorHAnsi"/>
      <w:sz w:val="24"/>
      <w:szCs w:val="24"/>
    </w:rPr>
  </w:style>
  <w:style w:type="character" w:customStyle="1" w:styleId="3CorpocomnumeraoChar">
    <w:name w:val="3 Corpo com numeração Char"/>
    <w:basedOn w:val="3CorposemnumeraoChar"/>
    <w:link w:val="3Corpocomnumerao"/>
    <w:rsid w:val="00E20F0F"/>
    <w:rPr>
      <w:rFonts w:asciiTheme="minorHAnsi" w:hAnsiTheme="minorHAnsi"/>
      <w:sz w:val="24"/>
      <w:szCs w:val="24"/>
    </w:rPr>
  </w:style>
  <w:style w:type="paragraph" w:customStyle="1" w:styleId="31Corpocomnumeraodepargrafosemrecuo">
    <w:name w:val="3.1 Corpo com numeração de parágrafo (sem recuo)"/>
    <w:basedOn w:val="3Corposemnumerao"/>
    <w:link w:val="31CorpocomnumeraodepargrafosemrecuoChar"/>
    <w:pPr>
      <w:ind w:left="1145" w:hanging="360"/>
    </w:pPr>
  </w:style>
  <w:style w:type="character" w:customStyle="1" w:styleId="31CorpocomnumeraodepargrafosemrecuoChar">
    <w:name w:val="3.1 Corpo com numeração de parágrafo (sem recuo) Char"/>
    <w:basedOn w:val="3CorposemnumeraoChar"/>
    <w:link w:val="31Corpocomnumeraodepargrafosemrecuo"/>
    <w:rPr>
      <w:rFonts w:ascii="Source Serif Pro" w:hAnsi="Source Serif Pro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reepngimg.com/png/63818-signatures-signature-block-digital-png-image-high-quality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406C34-4788-41D0-8600-53C88F04780A}">
  <we:reference id="wa200010453" version="1.0.0.1" store="pt-BR" storeType="OMEX"/>
  <we:alternateReferences>
    <we:reference id="WA200010453" version="1.0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2599</Words>
  <Characters>14039</Characters>
  <Application>Microsoft Office Word</Application>
  <DocSecurity>0</DocSecurity>
  <Lines>116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Xavier</cp:lastModifiedBy>
  <cp:revision>9</cp:revision>
  <dcterms:created xsi:type="dcterms:W3CDTF">2013-12-23T23:15:00Z</dcterms:created>
  <dcterms:modified xsi:type="dcterms:W3CDTF">2026-07-10T13:10:00Z</dcterms:modified>
  <cp:category/>
</cp:coreProperties>
</file>