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4247"/>
        <w:gridCol w:w="4247"/>
      </w:tblGrid>
      <w:tr w:rsidR="00654583" w14:paraId="0C832971" w14:textId="77777777" w:rsidTr="000A339C">
        <w:tc>
          <w:tcPr>
            <w:tcW w:w="4247" w:type="dxa"/>
            <w:tcBorders>
              <w:left w:val="nil"/>
            </w:tcBorders>
          </w:tcPr>
          <w:p w14:paraId="3D38715D" w14:textId="77777777" w:rsidR="00654583" w:rsidRPr="002C78D7" w:rsidRDefault="00654583" w:rsidP="000A339C">
            <w:pPr>
              <w:pStyle w:val="qwe"/>
              <w:spacing w:before="240"/>
              <w:rPr>
                <w:sz w:val="18"/>
                <w:szCs w:val="18"/>
              </w:rPr>
            </w:pPr>
            <w:r w:rsidRPr="002C78D7">
              <w:rPr>
                <w:sz w:val="18"/>
                <w:szCs w:val="18"/>
              </w:rPr>
              <w:t>TIPOGRAFIA JURÍDICA LTDA.</w:t>
            </w:r>
          </w:p>
          <w:p w14:paraId="34724E44" w14:textId="7676C82D" w:rsidR="00654583" w:rsidRPr="002C78D7" w:rsidRDefault="003416F3" w:rsidP="000A339C">
            <w:pPr>
              <w:pStyle w:val="weww"/>
            </w:pPr>
            <w:r w:rsidRPr="002C78D7">
              <w:t>Impetrante</w:t>
            </w:r>
          </w:p>
          <w:p w14:paraId="09ABE920" w14:textId="77777777" w:rsidR="000A339C" w:rsidRPr="000A339C" w:rsidRDefault="000A339C" w:rsidP="000A339C">
            <w:pPr>
              <w:spacing w:before="60" w:after="60"/>
              <w:ind w:left="-108"/>
              <w:jc w:val="left"/>
              <w:rPr>
                <w:b/>
                <w:bCs/>
                <w:spacing w:val="20"/>
                <w:sz w:val="16"/>
                <w:szCs w:val="16"/>
              </w:rPr>
            </w:pPr>
          </w:p>
          <w:p w14:paraId="203162DE" w14:textId="296B3133" w:rsidR="00654583" w:rsidRPr="002C78D7" w:rsidRDefault="00654583" w:rsidP="000A339C">
            <w:pPr>
              <w:pStyle w:val="qwe"/>
              <w:rPr>
                <w:sz w:val="18"/>
                <w:szCs w:val="18"/>
              </w:rPr>
            </w:pPr>
            <w:r w:rsidRPr="002C78D7">
              <w:rPr>
                <w:sz w:val="18"/>
                <w:szCs w:val="18"/>
              </w:rPr>
              <w:t>NOME DO RÉU</w:t>
            </w:r>
          </w:p>
          <w:p w14:paraId="0C89A698" w14:textId="1DE0A6EE" w:rsidR="00654583" w:rsidRPr="002C78D7" w:rsidRDefault="003416F3" w:rsidP="000A339C">
            <w:pPr>
              <w:pStyle w:val="weww"/>
              <w:spacing w:after="240"/>
            </w:pPr>
            <w:r w:rsidRPr="002C78D7">
              <w:t>Paciente</w:t>
            </w:r>
          </w:p>
        </w:tc>
        <w:tc>
          <w:tcPr>
            <w:tcW w:w="4247" w:type="dxa"/>
            <w:tcBorders>
              <w:top w:val="nil"/>
              <w:bottom w:val="nil"/>
              <w:right w:val="nil"/>
            </w:tcBorders>
            <w:vAlign w:val="center"/>
          </w:tcPr>
          <w:p w14:paraId="220B84DA" w14:textId="6DBB320C" w:rsidR="00654583" w:rsidRPr="003416F3" w:rsidRDefault="003416F3" w:rsidP="003416F3">
            <w:pPr>
              <w:pStyle w:val="qwe"/>
              <w:ind w:left="39"/>
              <w:rPr>
                <w:sz w:val="20"/>
                <w:szCs w:val="20"/>
              </w:rPr>
            </w:pPr>
            <w:r w:rsidRPr="003416F3">
              <w:rPr>
                <w:sz w:val="20"/>
                <w:szCs w:val="20"/>
              </w:rPr>
              <w:t>HC</w:t>
            </w:r>
            <w:r w:rsidR="00654583" w:rsidRPr="003416F3">
              <w:rPr>
                <w:sz w:val="20"/>
                <w:szCs w:val="20"/>
              </w:rPr>
              <w:t xml:space="preserve"> 1</w:t>
            </w:r>
            <w:r w:rsidRPr="003416F3">
              <w:rPr>
                <w:sz w:val="20"/>
                <w:szCs w:val="20"/>
              </w:rPr>
              <w:t>.</w:t>
            </w:r>
            <w:r w:rsidR="00654583" w:rsidRPr="003416F3">
              <w:rPr>
                <w:sz w:val="20"/>
                <w:szCs w:val="20"/>
              </w:rPr>
              <w:t>457</w:t>
            </w:r>
            <w:r w:rsidRPr="003416F3">
              <w:rPr>
                <w:sz w:val="20"/>
                <w:szCs w:val="20"/>
              </w:rPr>
              <w:t>.</w:t>
            </w:r>
            <w:r w:rsidR="00654583" w:rsidRPr="003416F3">
              <w:rPr>
                <w:sz w:val="20"/>
                <w:szCs w:val="20"/>
              </w:rPr>
              <w:t>633</w:t>
            </w:r>
            <w:r w:rsidRPr="003416F3">
              <w:rPr>
                <w:sz w:val="20"/>
                <w:szCs w:val="20"/>
              </w:rPr>
              <w:t>/RJ</w:t>
            </w:r>
          </w:p>
          <w:p w14:paraId="17C8C6E6" w14:textId="2B648807" w:rsidR="00292A0E" w:rsidRPr="003416F3" w:rsidRDefault="003416F3" w:rsidP="003416F3">
            <w:pPr>
              <w:pStyle w:val="qwe"/>
              <w:spacing w:before="120" w:after="0"/>
              <w:ind w:left="39"/>
              <w:rPr>
                <w:b/>
                <w:bCs/>
                <w:spacing w:val="10"/>
              </w:rPr>
            </w:pPr>
            <w:r w:rsidRPr="002C78D7">
              <w:rPr>
                <w:b/>
                <w:bCs/>
                <w:spacing w:val="10"/>
                <w:sz w:val="18"/>
                <w:szCs w:val="18"/>
              </w:rPr>
              <w:t>Ordem deferida liminarmente</w:t>
            </w:r>
          </w:p>
        </w:tc>
      </w:tr>
    </w:tbl>
    <w:p w14:paraId="07439E61" w14:textId="68B1DD21" w:rsidR="00015C03" w:rsidRDefault="00015C03" w:rsidP="00015C03">
      <w:pPr>
        <w:spacing w:before="0" w:after="0"/>
        <w:jc w:val="left"/>
        <w:rPr>
          <w:b/>
          <w:bCs/>
          <w:spacing w:val="20"/>
          <w:sz w:val="20"/>
          <w:szCs w:val="20"/>
        </w:rPr>
      </w:pPr>
    </w:p>
    <w:p w14:paraId="00841A3A" w14:textId="77777777" w:rsidR="00015C03" w:rsidRDefault="00015C03" w:rsidP="00015C03">
      <w:pPr>
        <w:spacing w:before="0" w:after="0"/>
        <w:jc w:val="left"/>
        <w:rPr>
          <w:b/>
          <w:bCs/>
          <w:spacing w:val="20"/>
          <w:sz w:val="20"/>
          <w:szCs w:val="20"/>
        </w:rPr>
      </w:pPr>
    </w:p>
    <w:p w14:paraId="2EFC684E" w14:textId="01E0C58C" w:rsidR="003C34F4" w:rsidRPr="00257165" w:rsidRDefault="003C34F4" w:rsidP="00015C03">
      <w:pPr>
        <w:spacing w:before="0" w:after="0"/>
        <w:jc w:val="left"/>
        <w:rPr>
          <w:b/>
          <w:bCs/>
          <w:spacing w:val="20"/>
          <w:sz w:val="20"/>
          <w:szCs w:val="20"/>
        </w:rPr>
      </w:pPr>
    </w:p>
    <w:tbl>
      <w:tblPr>
        <w:tblStyle w:val="Tabelacomgrade"/>
        <w:tblW w:w="864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4C1EB5" w14:paraId="65D53811" w14:textId="77777777" w:rsidTr="00015C03">
        <w:tc>
          <w:tcPr>
            <w:tcW w:w="8647" w:type="dxa"/>
          </w:tcPr>
          <w:p w14:paraId="2108B35A" w14:textId="4291E58F" w:rsidR="00636756" w:rsidRPr="001A1D66" w:rsidRDefault="004C1EB5" w:rsidP="000A339C">
            <w:pPr>
              <w:suppressAutoHyphens/>
              <w:spacing w:line="480" w:lineRule="auto"/>
              <w:jc w:val="left"/>
            </w:pPr>
            <w:r w:rsidRPr="000A339C">
              <w:rPr>
                <w:b/>
                <w:bCs/>
                <w:smallCaps/>
                <w:spacing w:val="20"/>
                <w:sz w:val="22"/>
                <w:szCs w:val="22"/>
              </w:rPr>
              <w:t>Ementa</w:t>
            </w:r>
            <w:r w:rsidR="002E6888" w:rsidRPr="000A339C">
              <w:rPr>
                <w:b/>
                <w:bCs/>
                <w:smallCaps/>
                <w:spacing w:val="20"/>
                <w:sz w:val="22"/>
                <w:szCs w:val="22"/>
              </w:rPr>
              <w:t>:</w:t>
            </w:r>
            <w:r w:rsidRPr="000A339C">
              <w:rPr>
                <w:smallCaps/>
                <w:sz w:val="18"/>
                <w:szCs w:val="18"/>
              </w:rPr>
              <w:t xml:space="preserve"> </w:t>
            </w:r>
            <w:r w:rsidR="002E6888" w:rsidRPr="000A339C">
              <w:rPr>
                <w:sz w:val="22"/>
                <w:szCs w:val="22"/>
              </w:rPr>
              <w:t xml:space="preserve">Habeas Corpus; incompetência absoluta; nulidade do procedimento; concessão da liminar; anulação da sentença do juízo a quo. Princípio </w:t>
            </w:r>
            <w:r w:rsidR="00882B98" w:rsidRPr="000A339C">
              <w:rPr>
                <w:sz w:val="22"/>
                <w:szCs w:val="22"/>
              </w:rPr>
              <w:t>da presunção de inocência.</w:t>
            </w:r>
            <w:r w:rsidR="000A339C">
              <w:t xml:space="preserve"> </w:t>
            </w:r>
            <w:r w:rsidR="00F423FB">
              <w:rPr>
                <w:smallCaps/>
                <w:spacing w:val="20"/>
              </w:rPr>
              <w:t>páginas</w:t>
            </w:r>
            <w:r w:rsidR="000156D1">
              <w:rPr>
                <w:smallCaps/>
                <w:spacing w:val="20"/>
              </w:rPr>
              <w:t xml:space="preserve">: </w:t>
            </w:r>
            <w:r w:rsidR="000156D1" w:rsidRPr="00F423FB">
              <w:rPr>
                <w:smallCaps/>
                <w:spacing w:val="20"/>
                <w:sz w:val="20"/>
                <w:szCs w:val="20"/>
              </w:rPr>
              <w:fldChar w:fldCharType="begin"/>
            </w:r>
            <w:r w:rsidR="000156D1" w:rsidRPr="00F423FB">
              <w:rPr>
                <w:smallCaps/>
                <w:spacing w:val="20"/>
                <w:sz w:val="20"/>
                <w:szCs w:val="20"/>
              </w:rPr>
              <w:instrText xml:space="preserve"> NUMPAGES   \* MERGEFORMAT </w:instrText>
            </w:r>
            <w:r w:rsidR="000156D1" w:rsidRPr="00F423FB">
              <w:rPr>
                <w:smallCaps/>
                <w:spacing w:val="20"/>
                <w:sz w:val="20"/>
                <w:szCs w:val="20"/>
              </w:rPr>
              <w:fldChar w:fldCharType="separate"/>
            </w:r>
            <w:r w:rsidR="00B011D8">
              <w:rPr>
                <w:smallCaps/>
                <w:noProof/>
                <w:spacing w:val="20"/>
                <w:sz w:val="20"/>
                <w:szCs w:val="20"/>
              </w:rPr>
              <w:t>4</w:t>
            </w:r>
            <w:r w:rsidR="000156D1" w:rsidRPr="00F423FB">
              <w:rPr>
                <w:smallCaps/>
                <w:spacing w:val="20"/>
                <w:sz w:val="20"/>
                <w:szCs w:val="20"/>
              </w:rPr>
              <w:fldChar w:fldCharType="end"/>
            </w:r>
          </w:p>
        </w:tc>
      </w:tr>
    </w:tbl>
    <w:p w14:paraId="4372D1CB" w14:textId="45023A05" w:rsidR="00B90235" w:rsidRPr="000A339C" w:rsidRDefault="00B90235" w:rsidP="00292A0E">
      <w:pPr>
        <w:pStyle w:val="1Ttulo"/>
      </w:pPr>
      <w:r w:rsidRPr="000A339C">
        <w:t>Relatório</w:t>
      </w:r>
    </w:p>
    <w:p w14:paraId="4D839875" w14:textId="5494F1AF" w:rsidR="00B90235" w:rsidRPr="00DC05F8" w:rsidRDefault="000A339C" w:rsidP="002C78D7">
      <w:pPr>
        <w:pStyle w:val="3Pargrafo"/>
      </w:pPr>
      <w:r>
        <w:rPr>
          <w:b/>
          <w:bCs/>
          <w:smallCaps/>
          <w:spacing w:val="20"/>
        </w:rPr>
        <w:t>T</w:t>
      </w:r>
      <w:r w:rsidR="00B90235" w:rsidRPr="004C1EB5">
        <w:rPr>
          <w:b/>
          <w:bCs/>
          <w:smallCaps/>
          <w:spacing w:val="20"/>
        </w:rPr>
        <w:t>rata-se de habeas corpus</w:t>
      </w:r>
      <w:r w:rsidR="00B90235" w:rsidRPr="000A339C">
        <w:rPr>
          <w:smallCaps/>
        </w:rPr>
        <w:t xml:space="preserve">, com pedido liminar, apontando-se como </w:t>
      </w:r>
      <w:r w:rsidR="00B90235" w:rsidRPr="00DC05F8">
        <w:t>autoridade coatora o Tribunal de Justiça do Rio de Janeiro.</w:t>
      </w:r>
      <w:r w:rsidR="00CC2455" w:rsidRPr="00DC05F8">
        <w:t xml:space="preserve"> </w:t>
      </w:r>
      <w:r w:rsidR="00B90235" w:rsidRPr="00DC05F8">
        <w:t xml:space="preserve">Extrai-se dos autos que foi deferida medida liminar em </w:t>
      </w:r>
      <w:r w:rsidR="00B90235" w:rsidRPr="00DC05F8">
        <w:rPr>
          <w:i/>
          <w:iCs/>
        </w:rPr>
        <w:t>writ</w:t>
      </w:r>
      <w:r w:rsidR="00B90235" w:rsidRPr="00DC05F8">
        <w:t xml:space="preserve"> coletivo por Desembargador plantonista do TJRJ, em 20/3/2020, para determinar que se oficie aos Juízes de primeira </w:t>
      </w:r>
      <w:r w:rsidR="00B90235" w:rsidRPr="00292A0E">
        <w:t>instância</w:t>
      </w:r>
      <w:r w:rsidR="00B90235" w:rsidRPr="00DC05F8">
        <w:t xml:space="preserve"> com competência para a fase de conhecimento criminal para que procedam, no prazo de dez dias, à reavaliação das prisões preventivas e temporárias impostas em caráter preventivo e temporário a pessoas idosas, em atenção à Recomendação 62/2020 do CNJ, acrescendo que, caso o Juiz competente deixe de examinar a presente ordem no prazo determinado, o preso submetido à sua jurisdição deverá ser solto imediatamente diante da omissão</w:t>
      </w:r>
      <w:r w:rsidR="00442D15" w:rsidRPr="00DC05F8">
        <w:t>.</w:t>
      </w:r>
    </w:p>
    <w:p w14:paraId="5E62B0D6" w14:textId="719D3C36" w:rsidR="00B90235" w:rsidRPr="00DC05F8" w:rsidRDefault="00B90235" w:rsidP="002C78D7">
      <w:pPr>
        <w:pStyle w:val="3Pargrafo"/>
      </w:pPr>
      <w:r w:rsidRPr="00DC05F8">
        <w:t xml:space="preserve">Apresentado pedido de suspensão pelo </w:t>
      </w:r>
      <w:r w:rsidR="00292A0E">
        <w:rPr>
          <w:i/>
          <w:iCs/>
        </w:rPr>
        <w:t>p</w:t>
      </w:r>
      <w:r w:rsidRPr="00DC05F8">
        <w:rPr>
          <w:i/>
          <w:iCs/>
        </w:rPr>
        <w:t>arquet</w:t>
      </w:r>
      <w:r w:rsidRPr="00DC05F8">
        <w:t xml:space="preserve"> local à Presidência do TJRJ, foi deferido, em 23/3/2020, para suspender a liminar concedida até o trânsito em julgado da decisão de mérito na ação principal, nos termos do art. 4º, § 9º, da Lei 8.437/92.</w:t>
      </w:r>
    </w:p>
    <w:p w14:paraId="05235550" w14:textId="3A89F7CC" w:rsidR="00B90235" w:rsidRPr="00DC05F8" w:rsidRDefault="00B90235" w:rsidP="002C78D7">
      <w:pPr>
        <w:pStyle w:val="3Pargrafo"/>
      </w:pPr>
      <w:r w:rsidRPr="00DC05F8">
        <w:t xml:space="preserve">No presente </w:t>
      </w:r>
      <w:proofErr w:type="spellStart"/>
      <w:r w:rsidRPr="00DC05F8">
        <w:rPr>
          <w:i/>
          <w:iCs/>
        </w:rPr>
        <w:t>mandamus</w:t>
      </w:r>
      <w:proofErr w:type="spellEnd"/>
      <w:r w:rsidRPr="00DC05F8">
        <w:t>, argumenta a impetrante, em preliminar, a incompetência do Presidente do Tribunal de Justiça para conhecer do pleito de suspensão da medida liminar deferida.</w:t>
      </w:r>
    </w:p>
    <w:p w14:paraId="322FDFAB" w14:textId="55D3BA82" w:rsidR="00B90235" w:rsidRPr="00DC05F8" w:rsidRDefault="00B90235" w:rsidP="002C78D7">
      <w:pPr>
        <w:pStyle w:val="3Pargrafo"/>
      </w:pPr>
      <w:r w:rsidRPr="00DC05F8">
        <w:lastRenderedPageBreak/>
        <w:t>Alega que a pandemia do coronavírus, sem precedentes na contemporaneidade, demanda especial celeridade e efetividade na garantia do acesso à Justiça, principalmente em relação à coletividade de idosos presos provisoriamente, sob pena de perecimento do direito à vida que se pretende tutelar ao final, sendo elevada a probabilidade de mortes de tais pessoas no sistema prisional fluminense, devido à superlotação carcerária de praticamente todos os presídios do Estado do Rio de Janeiro com precárias condições de higiene e provável situação de pânico generalizado a desencadear conflitos, motins e rebeliões.</w:t>
      </w:r>
    </w:p>
    <w:p w14:paraId="6DD1D1FF" w14:textId="47071124" w:rsidR="00B90235" w:rsidRPr="00DC05F8" w:rsidRDefault="00B90235" w:rsidP="002C78D7">
      <w:pPr>
        <w:pStyle w:val="3Pargrafo"/>
      </w:pPr>
      <w:r w:rsidRPr="00DC05F8">
        <w:t xml:space="preserve">Sustenta que a manutenção no sistema penitenciário fluminense de pessoas maiores de 60 anos presas provisoriamente no atual contexto de pandemia da Covid-19, sem que possa ser-lhes garantidas condições mínimas de higiene e salubridade, implica frontal violação da </w:t>
      </w:r>
      <w:r w:rsidRPr="00714E65">
        <w:t>Constituição</w:t>
      </w:r>
      <w:r w:rsidRPr="00DC05F8">
        <w:t xml:space="preserve"> da República e do Estatuto do Idoso – Lei 10.741/2003 –, que lhes assegura a propriedade nos direitos à vida e à saúde, mormente pela </w:t>
      </w:r>
      <w:r w:rsidRPr="00292A0E">
        <w:t>hipervulnerabilidade</w:t>
      </w:r>
      <w:r w:rsidRPr="00DC05F8">
        <w:t xml:space="preserve"> de pessoas, com especial prioridade às maiores de 80 anos.</w:t>
      </w:r>
    </w:p>
    <w:p w14:paraId="76C184C5" w14:textId="05307D2F" w:rsidR="00B90235" w:rsidRPr="00DC05F8" w:rsidRDefault="00B90235" w:rsidP="002C78D7">
      <w:pPr>
        <w:pStyle w:val="3Pargrafo"/>
      </w:pPr>
      <w:r w:rsidRPr="00DC05F8">
        <w:t xml:space="preserve">Requer, liminarmente e no </w:t>
      </w:r>
      <w:r w:rsidRPr="00E25341">
        <w:t xml:space="preserve">mérito: </w:t>
      </w:r>
      <w:r w:rsidRPr="00E25341">
        <w:rPr>
          <w:b/>
          <w:bCs/>
        </w:rPr>
        <w:t>(a)</w:t>
      </w:r>
      <w:r w:rsidRPr="00E25341">
        <w:t xml:space="preserve"> a imediata revogação de todas as prisões preventivas e temporárias de pessoas com idade igual ou superior a 60 anos, caso não seja assim deferida; </w:t>
      </w:r>
      <w:r w:rsidRPr="00E25341">
        <w:rPr>
          <w:b/>
          <w:bCs/>
        </w:rPr>
        <w:t>(b)</w:t>
      </w:r>
      <w:r w:rsidRPr="00E25341">
        <w:t xml:space="preserve"> a concessão de prisão domiciliar para tais pessoas, caso não seja assim deferida; </w:t>
      </w:r>
      <w:r w:rsidRPr="00E25341">
        <w:rPr>
          <w:b/>
          <w:bCs/>
        </w:rPr>
        <w:t>(c)</w:t>
      </w:r>
      <w:r w:rsidRPr="00E25341">
        <w:t xml:space="preserve"> a cassação</w:t>
      </w:r>
      <w:r w:rsidRPr="00DC05F8">
        <w:t xml:space="preserve"> da decisão de suspensão proferida pela Presidência do TJRJ, restabelecendo-se os efeitos da concessão parcial da liminar deferida no </w:t>
      </w:r>
      <w:r w:rsidRPr="00292A0E">
        <w:rPr>
          <w:i/>
          <w:iCs/>
        </w:rPr>
        <w:t>writ</w:t>
      </w:r>
      <w:r w:rsidRPr="00DC05F8">
        <w:t xml:space="preserve"> originário, a fim de que sejam reavaliadas as prisões preventivas e temporárias de pessoas com idade igual ou superior a 60 anos no prazo máximo de 5 dias.</w:t>
      </w:r>
    </w:p>
    <w:p w14:paraId="4959DFE0" w14:textId="2FF65241" w:rsidR="003710D1" w:rsidRPr="008820C0" w:rsidRDefault="008820C0" w:rsidP="002C78D7">
      <w:pPr>
        <w:pStyle w:val="3Pargrafo"/>
      </w:pPr>
      <w:r>
        <w:t>É</w:t>
      </w:r>
      <w:r w:rsidR="00B90235" w:rsidRPr="008820C0">
        <w:t xml:space="preserve"> o relatório.</w:t>
      </w:r>
      <w:r w:rsidRPr="008820C0">
        <w:t xml:space="preserve"> </w:t>
      </w:r>
      <w:r w:rsidR="00B90235" w:rsidRPr="00292A0E">
        <w:rPr>
          <w:smallCaps/>
        </w:rPr>
        <w:t>Decido</w:t>
      </w:r>
      <w:r w:rsidR="00B90235" w:rsidRPr="008820C0">
        <w:t>.</w:t>
      </w:r>
    </w:p>
    <w:p w14:paraId="45AFF35D" w14:textId="6D2897F1" w:rsidR="008815FE" w:rsidRDefault="008815FE" w:rsidP="00292A0E">
      <w:pPr>
        <w:pStyle w:val="1Ttulo"/>
      </w:pPr>
      <w:r>
        <w:t>Fundamentação</w:t>
      </w:r>
    </w:p>
    <w:p w14:paraId="7EA615BB" w14:textId="77777777" w:rsidR="006E5A97" w:rsidRDefault="008815FE" w:rsidP="002C78D7">
      <w:pPr>
        <w:pStyle w:val="3Pargrafo"/>
      </w:pPr>
      <w:r w:rsidRPr="008815FE">
        <w:t xml:space="preserve">A teor do disposto no enunciado da </w:t>
      </w:r>
      <w:r w:rsidRPr="00184EC4">
        <w:rPr>
          <w:b/>
          <w:bCs/>
        </w:rPr>
        <w:t>Súmula 691</w:t>
      </w:r>
      <w:r w:rsidRPr="008815FE">
        <w:t xml:space="preserve"> do Supremo Tribunal Federal, não se admite a utilização de </w:t>
      </w:r>
      <w:r w:rsidRPr="00453992">
        <w:rPr>
          <w:i/>
          <w:iCs/>
        </w:rPr>
        <w:t>habeas corpus</w:t>
      </w:r>
      <w:r w:rsidRPr="008815FE">
        <w:t xml:space="preserve"> contra decisão liminar em </w:t>
      </w:r>
      <w:r w:rsidRPr="00453992">
        <w:rPr>
          <w:i/>
          <w:iCs/>
        </w:rPr>
        <w:t>writ</w:t>
      </w:r>
      <w:r w:rsidRPr="008815FE">
        <w:t xml:space="preserve"> impetrado no Tribunal a quo, sob pena de indevida supressão de instância.</w:t>
      </w:r>
      <w:r w:rsidR="006E5A97">
        <w:t xml:space="preserve"> </w:t>
      </w:r>
    </w:p>
    <w:p w14:paraId="54611E13" w14:textId="6F85E4C4" w:rsidR="008815FE" w:rsidRDefault="008815FE" w:rsidP="002C78D7">
      <w:pPr>
        <w:pStyle w:val="3Pargrafo"/>
      </w:pPr>
      <w:r w:rsidRPr="008815FE">
        <w:t>A despeito de tal óbice processual, tem-se entendido que, em casos excepcionais, quando evidenciada a presença de decisão teratológica ou desprovida de fundamentação, é possível a mitigação do referido enunciado.</w:t>
      </w:r>
    </w:p>
    <w:p w14:paraId="52DA3CF8" w14:textId="32E9513A" w:rsidR="008815FE" w:rsidRDefault="008815FE" w:rsidP="002C78D7">
      <w:pPr>
        <w:pStyle w:val="3Pargrafo"/>
      </w:pPr>
      <w:r w:rsidRPr="008815FE">
        <w:lastRenderedPageBreak/>
        <w:t>Aduz a impetrante, em preliminar, a incompetência do Presidente do Tribunal de Justiça para conhecer do pleito de suspensão da medida liminar deferida e que a manutenção no sistema penitenciário fluminense de pessoas maiores de 60 anos presas provisoriamente no atual contexto de pandemia da Covid-19, implica frontal violação à Constituição Federal e ao Estatuto do Idoso.</w:t>
      </w:r>
    </w:p>
    <w:p w14:paraId="3BDDF79C" w14:textId="18B7A073" w:rsidR="008815FE" w:rsidRDefault="008815FE" w:rsidP="002C78D7">
      <w:pPr>
        <w:pStyle w:val="3Pargrafo"/>
      </w:pPr>
      <w:r w:rsidRPr="00E44151">
        <w:rPr>
          <w:b/>
          <w:bCs/>
          <w:smallCaps/>
          <w:spacing w:val="20"/>
        </w:rPr>
        <w:t>Acerca da alegada incompetência</w:t>
      </w:r>
      <w:r w:rsidRPr="008815FE">
        <w:t xml:space="preserve"> do Presidente do Tribunal de Justiça para conhecer do pleito de suspensão da medida liminar deferida, consoante relatado, verifica-se dos autos que em 20/3/2020 foi deferida, por Desembargador plantonista do TJRJ, medida liminar em writ coletivo para determinar aos Juízes com competência para a fase de conhecimento criminal que reavaliassem, no prazo de 10 dias, as prisões preventivas e temporárias impostas a pessoas idosas, nos termos da Recomendação 62/2020 do CNJ e, caso o Juiz deixasse de realizar a análise dentro do prazo determinado, o preso submetido à sua jurisdição deveria ser solto imediatamente.</w:t>
      </w:r>
    </w:p>
    <w:p w14:paraId="57931F49" w14:textId="75DC6DB1" w:rsidR="008815FE" w:rsidRDefault="008815FE" w:rsidP="002C78D7">
      <w:pPr>
        <w:pStyle w:val="3Pargrafo"/>
      </w:pPr>
      <w:r w:rsidRPr="008815FE">
        <w:t>Em face de tal decisão o Ministério Público do Rio de Janeiro apresentou pedido de suspensão à Presidência do TJRJ, o que foi deferido, em 23/3/2020, para suspender a liminar concedida até o trânsito em julgado da decisão de mérito na ação principal, nos termos do art. 4º, § 9º, da Lei 8.437/92.</w:t>
      </w:r>
    </w:p>
    <w:p w14:paraId="24690C40" w14:textId="2BAFA9AF" w:rsidR="008815FE" w:rsidRDefault="008815FE" w:rsidP="002C78D7">
      <w:pPr>
        <w:pStyle w:val="3Pargrafo"/>
        <w:rPr>
          <w:i/>
          <w:iCs/>
        </w:rPr>
      </w:pPr>
      <w:r w:rsidRPr="008815FE">
        <w:t xml:space="preserve">Ocorre que não se aplica a suspensão de segurança em matéria criminal, notadamente no </w:t>
      </w:r>
      <w:r w:rsidRPr="008815FE">
        <w:rPr>
          <w:i/>
          <w:iCs/>
        </w:rPr>
        <w:t>habeas corpus</w:t>
      </w:r>
      <w:r w:rsidRPr="008815FE">
        <w:t xml:space="preserve">. A liberdade assegurada por decisão judicial que reconhece como ilegal a prisão não pode ser sustada pela via mandamental, como reconhece a </w:t>
      </w:r>
      <w:r w:rsidRPr="00453992">
        <w:rPr>
          <w:b/>
          <w:bCs/>
        </w:rPr>
        <w:t>Súmula 604/STJ</w:t>
      </w:r>
      <w:r w:rsidRPr="008815FE">
        <w:t xml:space="preserve">: </w:t>
      </w:r>
      <w:r w:rsidR="008A7BB4">
        <w:t>“</w:t>
      </w:r>
      <w:r w:rsidRPr="008A7BB4">
        <w:t>O mandado de segurança não se presta para atribuir efeito suspensivo a recurso criminal interposto pelo Ministério Público.</w:t>
      </w:r>
      <w:r w:rsidR="008A7BB4">
        <w:t>”</w:t>
      </w:r>
    </w:p>
    <w:p w14:paraId="3F899498" w14:textId="3BF4B920" w:rsidR="00DA2BF2" w:rsidRDefault="00DA2BF2" w:rsidP="002C78D7">
      <w:pPr>
        <w:pStyle w:val="3Pargrafo"/>
      </w:pPr>
      <w:r w:rsidRPr="00DA2BF2">
        <w:t>Na suspensão de segurança ainda pior situação se verifica, pois não apenas é atingida a ordem de liberdade, como isto se dá por critério político-econômico, incompatível com a proteção ao direito de ir e vir.</w:t>
      </w:r>
    </w:p>
    <w:p w14:paraId="366EE33B" w14:textId="21488809" w:rsidR="00DA2BF2" w:rsidRDefault="00DA2BF2" w:rsidP="002C78D7">
      <w:pPr>
        <w:pStyle w:val="3Pargrafo"/>
      </w:pPr>
      <w:r w:rsidRPr="00DA2BF2">
        <w:t>Usurpou a Presidência do TJRJ, pois, a competência da Turma criminal, competente para o exame de eventual agravo regimental contra a monocrática concessão da liminar.</w:t>
      </w:r>
    </w:p>
    <w:p w14:paraId="41D5FB73" w14:textId="32810F93" w:rsidR="00DA2BF2" w:rsidRDefault="00DA2BF2" w:rsidP="002C78D7">
      <w:pPr>
        <w:pStyle w:val="3Pargrafo"/>
      </w:pPr>
      <w:r w:rsidRPr="00DA2BF2">
        <w:t xml:space="preserve">Verdade é que o </w:t>
      </w:r>
      <w:r w:rsidRPr="00DA2BF2">
        <w:rPr>
          <w:i/>
          <w:iCs/>
        </w:rPr>
        <w:t>habeas corpus</w:t>
      </w:r>
      <w:r w:rsidRPr="00DA2BF2">
        <w:t xml:space="preserve"> coletivo, admitido mais recentemente pelo Supremo Tribunal Federal, aproxima-se do </w:t>
      </w:r>
      <w:r w:rsidRPr="00DA2BF2">
        <w:rPr>
          <w:i/>
          <w:iCs/>
        </w:rPr>
        <w:t>mandamus</w:t>
      </w:r>
      <w:r w:rsidRPr="00DA2BF2">
        <w:t xml:space="preserve"> ao tratar de situações repetidas e que geram necessárias providências administrativas genéricas; </w:t>
      </w:r>
      <w:r w:rsidRPr="00292A0E">
        <w:rPr>
          <w:i/>
          <w:iCs/>
        </w:rPr>
        <w:t>mas de mandado de segurança não se trata</w:t>
      </w:r>
      <w:r w:rsidRPr="00DA2BF2">
        <w:t xml:space="preserve">, não perde o caráter de proteção das </w:t>
      </w:r>
      <w:r w:rsidRPr="00DA2BF2">
        <w:lastRenderedPageBreak/>
        <w:t>liberdades individuais, apenas reunidas em único i</w:t>
      </w:r>
      <w:r w:rsidR="003160BB">
        <w:t>n</w:t>
      </w:r>
      <w:r w:rsidRPr="00DA2BF2">
        <w:t>strumento de proteção.</w:t>
      </w:r>
      <w:r w:rsidR="00292A0E">
        <w:t xml:space="preserve"> </w:t>
      </w:r>
      <w:r w:rsidRPr="00292A0E">
        <w:rPr>
          <w:i/>
          <w:iCs/>
        </w:rPr>
        <w:t>Aliás, mesmo como mandado de segurança a competência não seria da Corte local</w:t>
      </w:r>
      <w:r w:rsidRPr="00DA2BF2">
        <w:t>:</w:t>
      </w:r>
    </w:p>
    <w:tbl>
      <w:tblPr>
        <w:tblStyle w:val="Tabelacomgrade"/>
        <w:tblW w:w="0" w:type="auto"/>
        <w:tblLook w:val="04A0" w:firstRow="1" w:lastRow="0" w:firstColumn="1" w:lastColumn="0" w:noHBand="0" w:noVBand="1"/>
      </w:tblPr>
      <w:tblGrid>
        <w:gridCol w:w="1555"/>
        <w:gridCol w:w="6939"/>
      </w:tblGrid>
      <w:tr w:rsidR="00292A0E" w14:paraId="53F10B37" w14:textId="77777777" w:rsidTr="00292A0E">
        <w:tc>
          <w:tcPr>
            <w:tcW w:w="1555" w:type="dxa"/>
            <w:tcBorders>
              <w:top w:val="nil"/>
              <w:left w:val="nil"/>
              <w:bottom w:val="nil"/>
              <w:right w:val="single" w:sz="4" w:space="0" w:color="auto"/>
            </w:tcBorders>
          </w:tcPr>
          <w:p w14:paraId="5999D133" w14:textId="77777777" w:rsidR="00292A0E" w:rsidRDefault="00292A0E" w:rsidP="00292A0E">
            <w:pPr>
              <w:pStyle w:val="2Citao"/>
              <w:pBdr>
                <w:left w:val="none" w:sz="0" w:space="0" w:color="auto"/>
              </w:pBdr>
              <w:ind w:left="0"/>
              <w:rPr>
                <w:rFonts w:ascii="Amasis MT Pro" w:hAnsi="Amasis MT Pro"/>
              </w:rPr>
            </w:pPr>
          </w:p>
        </w:tc>
        <w:tc>
          <w:tcPr>
            <w:tcW w:w="6939" w:type="dxa"/>
            <w:tcBorders>
              <w:top w:val="nil"/>
              <w:left w:val="single" w:sz="4" w:space="0" w:color="auto"/>
              <w:bottom w:val="single" w:sz="4" w:space="0" w:color="auto"/>
              <w:right w:val="nil"/>
            </w:tcBorders>
          </w:tcPr>
          <w:p w14:paraId="254DAF9F" w14:textId="77777777" w:rsidR="00292A0E" w:rsidRDefault="00292A0E" w:rsidP="003416F3">
            <w:pPr>
              <w:pStyle w:val="2Citao"/>
              <w:pBdr>
                <w:left w:val="none" w:sz="0" w:space="0" w:color="auto"/>
              </w:pBdr>
              <w:spacing w:before="60" w:after="60" w:line="312" w:lineRule="auto"/>
              <w:ind w:left="0"/>
              <w:rPr>
                <w:rFonts w:ascii="Amasis MT Pro" w:hAnsi="Amasis MT Pro"/>
              </w:rPr>
            </w:pPr>
            <w:r>
              <w:rPr>
                <w:rFonts w:ascii="Amasis MT Pro" w:hAnsi="Amasis MT Pro"/>
              </w:rPr>
              <w:t>A</w:t>
            </w:r>
            <w:r w:rsidRPr="008A7BB4">
              <w:rPr>
                <w:rFonts w:ascii="Amasis MT Pro" w:hAnsi="Amasis MT Pro"/>
              </w:rPr>
              <w:t>gravo interno na reclamação. processo civil. pedido de contracautela. ausência de competência horizontal da presidência do mesmo tribunal em que proferida a cautela que se pretende suspender. usurpação da competência do superior tribunal de justiça. agravo interno desprovido.</w:t>
            </w:r>
            <w:r>
              <w:rPr>
                <w:rFonts w:ascii="Amasis MT Pro" w:hAnsi="Amasis MT Pro"/>
              </w:rPr>
              <w:t xml:space="preserve"> </w:t>
            </w:r>
            <w:r w:rsidRPr="008A7BB4">
              <w:rPr>
                <w:rFonts w:ascii="Amasis MT Pro" w:hAnsi="Amasis MT Pro"/>
              </w:rPr>
              <w:t xml:space="preserve">1. Nos termos do art. 25 da Lei n.º 8.038/90, </w:t>
            </w:r>
            <w:r w:rsidRPr="004E6CFC">
              <w:rPr>
                <w:rFonts w:ascii="Amasis MT Pro" w:hAnsi="Amasis MT Pro"/>
                <w:b/>
                <w:bCs/>
              </w:rPr>
              <w:t>compete ao Ministro Presidente do Superior Tribunal de Justiça sustar os efeitos de decisões concessivas de ordem mandamental ou deferitórias de liminar ou tutela de urgência, proferidas em única ou última instância pelos tribunais regionais federais ou estaduais</w:t>
            </w:r>
            <w:r w:rsidRPr="008A7BB4">
              <w:rPr>
                <w:rFonts w:ascii="Amasis MT Pro" w:hAnsi="Amasis MT Pro"/>
              </w:rPr>
              <w:t>.</w:t>
            </w:r>
            <w:r>
              <w:rPr>
                <w:rFonts w:ascii="Amasis MT Pro" w:hAnsi="Amasis MT Pro"/>
              </w:rPr>
              <w:t xml:space="preserve"> [...] </w:t>
            </w:r>
            <w:r w:rsidRPr="008A7BB4">
              <w:rPr>
                <w:rFonts w:ascii="Amasis MT Pro" w:hAnsi="Amasis MT Pro"/>
              </w:rPr>
              <w:t>3. Reclamação procedente. Agravo interno desprovido.</w:t>
            </w:r>
          </w:p>
          <w:p w14:paraId="7CFB68D1" w14:textId="76DAB817" w:rsidR="00292A0E" w:rsidRPr="003416F3" w:rsidRDefault="00292A0E" w:rsidP="003416F3">
            <w:pPr>
              <w:pStyle w:val="2Citao"/>
              <w:pBdr>
                <w:left w:val="none" w:sz="0" w:space="0" w:color="auto"/>
              </w:pBdr>
              <w:spacing w:before="60" w:after="60" w:line="312" w:lineRule="auto"/>
              <w:ind w:left="0"/>
              <w:rPr>
                <w:rFonts w:ascii="Amasis MT Pro" w:hAnsi="Amasis MT Pro"/>
                <w:smallCaps/>
              </w:rPr>
            </w:pPr>
            <w:r w:rsidRPr="003416F3">
              <w:rPr>
                <w:rFonts w:ascii="Amasis MT Pro" w:hAnsi="Amasis MT Pro"/>
                <w:smallCaps/>
              </w:rPr>
              <w:t>AgInt na Rcl 28.518/RJ, Rel. Ministro João Otávio de Noronha, Corte Especial, j</w:t>
            </w:r>
            <w:r w:rsidR="003416F3">
              <w:rPr>
                <w:rFonts w:ascii="Amasis MT Pro" w:hAnsi="Amasis MT Pro"/>
                <w:smallCaps/>
              </w:rPr>
              <w:t xml:space="preserve">. </w:t>
            </w:r>
            <w:r w:rsidRPr="003416F3">
              <w:rPr>
                <w:rFonts w:ascii="Amasis MT Pro" w:hAnsi="Amasis MT Pro"/>
                <w:smallCaps/>
              </w:rPr>
              <w:t>15/5/2019, DJe 12/6/2019.</w:t>
            </w:r>
          </w:p>
        </w:tc>
      </w:tr>
    </w:tbl>
    <w:p w14:paraId="0A95D466" w14:textId="4C7A5FE1" w:rsidR="00DA2BF2" w:rsidRPr="008A7BB4" w:rsidRDefault="00DA2BF2" w:rsidP="00292A0E">
      <w:pPr>
        <w:pStyle w:val="2Citao"/>
        <w:pBdr>
          <w:left w:val="none" w:sz="0" w:space="0" w:color="auto"/>
        </w:pBdr>
        <w:ind w:left="0"/>
        <w:rPr>
          <w:rFonts w:ascii="Amasis MT Pro" w:hAnsi="Amasis MT Pro"/>
        </w:rPr>
      </w:pPr>
    </w:p>
    <w:p w14:paraId="19EE8030" w14:textId="09B895D4" w:rsidR="004063B0" w:rsidRPr="002C78D7" w:rsidRDefault="004063B0" w:rsidP="002C78D7">
      <w:pPr>
        <w:pStyle w:val="3Pargrafo"/>
      </w:pPr>
      <w:r w:rsidRPr="002C78D7">
        <w:t>Dessa forma, verifica-se flagrante incompetência e ilegalidade no uso da suspensão de segurança para cassação de liminar de "habeas corpus" da mesma Corte, a pedido do Ministério Público local, o que exige a imediata intervenção deste Superior Tribunal de Justiça, para restaurar a via procedimental adequada da proteção à liberdade.</w:t>
      </w:r>
    </w:p>
    <w:p w14:paraId="31B20FBA" w14:textId="20ACF842" w:rsidR="004063B0" w:rsidRDefault="004063B0" w:rsidP="00292A0E">
      <w:pPr>
        <w:pStyle w:val="1Ttulo"/>
      </w:pPr>
      <w:r>
        <w:t>Dispositivo</w:t>
      </w:r>
    </w:p>
    <w:p w14:paraId="272EB098" w14:textId="77777777" w:rsidR="003416F3" w:rsidRDefault="004063B0" w:rsidP="002C78D7">
      <w:pPr>
        <w:pStyle w:val="3Pargrafo"/>
      </w:pPr>
      <w:r w:rsidRPr="005A4E11">
        <w:t>Ante o exposto</w:t>
      </w:r>
      <w:r w:rsidRPr="004063B0">
        <w:t xml:space="preserve">, </w:t>
      </w:r>
      <w:r w:rsidRPr="004063B0">
        <w:rPr>
          <w:b/>
          <w:bCs/>
        </w:rPr>
        <w:t>defiro liminarmente</w:t>
      </w:r>
      <w:r w:rsidRPr="004063B0">
        <w:t xml:space="preserve"> o</w:t>
      </w:r>
      <w:r w:rsidRPr="004063B0">
        <w:rPr>
          <w:i/>
          <w:iCs/>
        </w:rPr>
        <w:t xml:space="preserve"> habeas corpus</w:t>
      </w:r>
      <w:r w:rsidRPr="004063B0">
        <w:t xml:space="preserve"> para </w:t>
      </w:r>
      <w:r w:rsidR="00A07528" w:rsidRPr="00A07528">
        <w:t>anular</w:t>
      </w:r>
      <w:r w:rsidRPr="004063B0">
        <w:t xml:space="preserve"> a decisão de suspensão proferida pela Presidência do Tribunal de Justiça do Rio de Janeiro, restabelecendo os efeitos da concessão parcial da liminar deferida no </w:t>
      </w:r>
      <w:r w:rsidRPr="004063B0">
        <w:rPr>
          <w:i/>
          <w:iCs/>
        </w:rPr>
        <w:t>writ</w:t>
      </w:r>
      <w:r w:rsidRPr="004063B0">
        <w:t xml:space="preserve"> originário, que merecerá o enfrentamento recursal cabível ante a competente Turma Criminal local.</w:t>
      </w:r>
    </w:p>
    <w:p w14:paraId="60F7A122" w14:textId="7B234CD8" w:rsidR="004063B0" w:rsidRDefault="004063B0" w:rsidP="002C78D7">
      <w:pPr>
        <w:pStyle w:val="3Pargrafo"/>
      </w:pPr>
      <w:r>
        <w:t>Publique-se. Intimem-se.</w:t>
      </w:r>
    </w:p>
    <w:p w14:paraId="4A2BB8E4" w14:textId="1447F4FB" w:rsidR="003416F3" w:rsidRDefault="003416F3" w:rsidP="00726BE3">
      <w:pPr>
        <w:tabs>
          <w:tab w:val="left" w:pos="7792"/>
        </w:tabs>
      </w:pPr>
      <w:r>
        <w:rPr>
          <w:noProof/>
        </w:rPr>
        <w:drawing>
          <wp:anchor distT="0" distB="0" distL="114300" distR="114300" simplePos="0" relativeHeight="251660288" behindDoc="0" locked="0" layoutInCell="1" allowOverlap="1" wp14:anchorId="4853029F" wp14:editId="784BC978">
            <wp:simplePos x="0" y="0"/>
            <wp:positionH relativeFrom="column">
              <wp:posOffset>2938145</wp:posOffset>
            </wp:positionH>
            <wp:positionV relativeFrom="paragraph">
              <wp:posOffset>210185</wp:posOffset>
            </wp:positionV>
            <wp:extent cx="2021840" cy="404495"/>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021840" cy="404495"/>
                    </a:xfrm>
                    <a:prstGeom prst="rect">
                      <a:avLst/>
                    </a:prstGeom>
                  </pic:spPr>
                </pic:pic>
              </a:graphicData>
            </a:graphic>
            <wp14:sizeRelH relativeFrom="margin">
              <wp14:pctWidth>0</wp14:pctWidth>
            </wp14:sizeRelH>
            <wp14:sizeRelV relativeFrom="margin">
              <wp14:pctHeight>0</wp14:pctHeight>
            </wp14:sizeRelV>
          </wp:anchor>
        </w:drawing>
      </w:r>
    </w:p>
    <w:p w14:paraId="4248EEEC" w14:textId="46CD4F57" w:rsidR="003416F3" w:rsidRDefault="003416F3" w:rsidP="00726BE3">
      <w:pPr>
        <w:tabs>
          <w:tab w:val="left" w:pos="7792"/>
        </w:tabs>
      </w:pPr>
      <w:r>
        <w:rPr>
          <w:noProof/>
        </w:rPr>
        <mc:AlternateContent>
          <mc:Choice Requires="wps">
            <w:drawing>
              <wp:anchor distT="0" distB="0" distL="114300" distR="114300" simplePos="0" relativeHeight="251658240" behindDoc="0" locked="0" layoutInCell="1" allowOverlap="1" wp14:anchorId="3A3D64C3" wp14:editId="3D43C16F">
                <wp:simplePos x="0" y="0"/>
                <wp:positionH relativeFrom="column">
                  <wp:posOffset>2887980</wp:posOffset>
                </wp:positionH>
                <wp:positionV relativeFrom="paragraph">
                  <wp:posOffset>346710</wp:posOffset>
                </wp:positionV>
                <wp:extent cx="3022600" cy="135636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0" cy="1356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56C00" w14:textId="0BD8CA1B" w:rsidR="00A776AE" w:rsidRDefault="003416F3" w:rsidP="003416F3">
                            <w:pPr>
                              <w:spacing w:before="0"/>
                              <w:jc w:val="left"/>
                              <w:rPr>
                                <w:smallCaps/>
                                <w:sz w:val="22"/>
                                <w:szCs w:val="22"/>
                              </w:rPr>
                            </w:pPr>
                            <w:r>
                              <w:rPr>
                                <w:b/>
                                <w:bCs/>
                              </w:rPr>
                              <w:t>Luca Leal Machado Fontes</w:t>
                            </w:r>
                            <w:r w:rsidR="00A776AE">
                              <w:br/>
                            </w:r>
                            <w:r>
                              <w:rPr>
                                <w:smallCaps/>
                                <w:sz w:val="22"/>
                                <w:szCs w:val="22"/>
                              </w:rPr>
                              <w:t>MINISTRO RELATOR</w:t>
                            </w:r>
                          </w:p>
                          <w:p w14:paraId="2435D976" w14:textId="0516457B" w:rsidR="003416F3" w:rsidRPr="003416F3" w:rsidRDefault="003416F3" w:rsidP="003416F3">
                            <w:pPr>
                              <w:spacing w:before="0"/>
                              <w:jc w:val="left"/>
                              <w:rPr>
                                <w:spacing w:val="20"/>
                                <w:sz w:val="22"/>
                                <w:szCs w:val="22"/>
                              </w:rPr>
                            </w:pPr>
                            <w:r w:rsidRPr="003416F3">
                              <w:rPr>
                                <w:smallCaps/>
                                <w:spacing w:val="20"/>
                                <w:sz w:val="20"/>
                                <w:szCs w:val="20"/>
                              </w:rPr>
                              <w:t>Poder Tipográfico Federal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3D64C3" id="_x0000_t202" coordsize="21600,21600" o:spt="202" path="m,l,21600r21600,l21600,xe">
                <v:stroke joinstyle="miter"/>
                <v:path gradientshapeok="t" o:connecttype="rect"/>
              </v:shapetype>
              <v:shape id="Text Box 2" o:spid="_x0000_s1026" type="#_x0000_t202" style="position:absolute;left:0;text-align:left;margin-left:227.4pt;margin-top:27.3pt;width:238pt;height:106.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" filled="f" stroked="f">
                <v:textbox>
                  <w:txbxContent>
                    <w:p w14:paraId="5E456C00" w14:textId="0BD8CA1B" w:rsidR="00A776AE" w:rsidRDefault="003416F3" w:rsidP="003416F3">
                      <w:pPr>
                        <w:spacing w:before="0"/>
                        <w:jc w:val="left"/>
                        <w:rPr>
                          <w:smallCaps/>
                          <w:sz w:val="22"/>
                          <w:szCs w:val="22"/>
                        </w:rPr>
                      </w:pPr>
                      <w:r>
                        <w:rPr>
                          <w:b/>
                          <w:bCs/>
                        </w:rPr>
                        <w:t>Luca Leal Machado Fontes</w:t>
                      </w:r>
                      <w:r w:rsidR="00A776AE">
                        <w:br/>
                      </w:r>
                      <w:r>
                        <w:rPr>
                          <w:smallCaps/>
                          <w:sz w:val="22"/>
                          <w:szCs w:val="22"/>
                        </w:rPr>
                        <w:t>MINISTRO RELATOR</w:t>
                      </w:r>
                    </w:p>
                    <w:p w14:paraId="2435D976" w14:textId="0516457B" w:rsidR="003416F3" w:rsidRPr="003416F3" w:rsidRDefault="003416F3" w:rsidP="003416F3">
                      <w:pPr>
                        <w:spacing w:before="0"/>
                        <w:jc w:val="left"/>
                        <w:rPr>
                          <w:spacing w:val="20"/>
                          <w:sz w:val="22"/>
                          <w:szCs w:val="22"/>
                        </w:rPr>
                      </w:pPr>
                      <w:r w:rsidRPr="003416F3">
                        <w:rPr>
                          <w:smallCaps/>
                          <w:spacing w:val="20"/>
                          <w:sz w:val="20"/>
                          <w:szCs w:val="20"/>
                        </w:rPr>
                        <w:t>Poder Tipográfico Federal</w:t>
                      </w:r>
                    </w:p>
                  </w:txbxContent>
                </v:textbox>
              </v:shape>
            </w:pict>
          </mc:Fallback>
        </mc:AlternateContent>
      </w:r>
    </w:p>
    <w:p w14:paraId="34011810" w14:textId="31442275" w:rsidR="00A776AE" w:rsidRPr="003416F3" w:rsidRDefault="00E25341" w:rsidP="00726BE3">
      <w:pPr>
        <w:tabs>
          <w:tab w:val="left" w:pos="7792"/>
        </w:tabs>
        <w:rPr>
          <w:smallCaps/>
          <w:spacing w:val="10"/>
        </w:rPr>
      </w:pPr>
      <w:r w:rsidRPr="003416F3">
        <w:rPr>
          <w:smallCaps/>
          <w:spacing w:val="10"/>
        </w:rPr>
        <w:t xml:space="preserve">Niterói, </w:t>
      </w:r>
      <w:r w:rsidRPr="003416F3">
        <w:rPr>
          <w:smallCaps/>
          <w:spacing w:val="10"/>
        </w:rPr>
        <w:fldChar w:fldCharType="begin"/>
      </w:r>
      <w:r w:rsidRPr="003416F3">
        <w:rPr>
          <w:smallCaps/>
          <w:spacing w:val="10"/>
        </w:rPr>
        <w:instrText xml:space="preserve"> TIME \@ "d' de 'MMMM' de 'yyyy" </w:instrText>
      </w:r>
      <w:r w:rsidRPr="003416F3">
        <w:rPr>
          <w:smallCaps/>
          <w:spacing w:val="10"/>
        </w:rPr>
        <w:fldChar w:fldCharType="separate"/>
      </w:r>
      <w:r w:rsidR="00B011D8">
        <w:rPr>
          <w:smallCaps/>
          <w:noProof/>
          <w:spacing w:val="10"/>
        </w:rPr>
        <w:t>16 de maio de 2025</w:t>
      </w:r>
      <w:r w:rsidRPr="003416F3">
        <w:rPr>
          <w:smallCaps/>
          <w:spacing w:val="10"/>
        </w:rPr>
        <w:fldChar w:fldCharType="end"/>
      </w:r>
      <w:r w:rsidRPr="003416F3">
        <w:rPr>
          <w:smallCaps/>
          <w:spacing w:val="10"/>
        </w:rPr>
        <w:t>.</w:t>
      </w:r>
      <w:r w:rsidR="00726BE3" w:rsidRPr="003416F3">
        <w:rPr>
          <w:smallCaps/>
          <w:spacing w:val="10"/>
        </w:rPr>
        <w:tab/>
      </w:r>
    </w:p>
    <w:sectPr w:rsidR="00A776AE" w:rsidRPr="003416F3" w:rsidSect="00292A0E">
      <w:headerReference w:type="default" r:id="rId9"/>
      <w:footerReference w:type="default" r:id="rId10"/>
      <w:headerReference w:type="first" r:id="rId11"/>
      <w:footerReference w:type="first" r:id="rId12"/>
      <w:pgSz w:w="11906" w:h="16838"/>
      <w:pgMar w:top="1985" w:right="1134" w:bottom="1418" w:left="2268"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51DC1" w14:textId="77777777" w:rsidR="004411F5" w:rsidRDefault="004411F5" w:rsidP="00714E65">
      <w:r>
        <w:separator/>
      </w:r>
    </w:p>
    <w:p w14:paraId="022366C9" w14:textId="77777777" w:rsidR="004411F5" w:rsidRDefault="004411F5"/>
  </w:endnote>
  <w:endnote w:type="continuationSeparator" w:id="0">
    <w:p w14:paraId="3C5B37B0" w14:textId="77777777" w:rsidR="004411F5" w:rsidRDefault="004411F5" w:rsidP="00714E65">
      <w:r>
        <w:continuationSeparator/>
      </w:r>
    </w:p>
    <w:p w14:paraId="12741DDA" w14:textId="77777777" w:rsidR="004411F5" w:rsidRDefault="004411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3BD558-9631-4DB2-91FE-9B941309E90C}"/>
    <w:embedBold r:id="rId2" w:fontKey="{1DEBE502-30CA-470D-8453-6DB5F13C0B5C}"/>
    <w:embedItalic r:id="rId3" w:fontKey="{B7E414ED-1320-4F43-8F9B-C9907B1B66DF}"/>
  </w:font>
  <w:font w:name="Georgia Pro">
    <w:charset w:val="00"/>
    <w:family w:val="roman"/>
    <w:pitch w:val="variable"/>
    <w:sig w:usb0="800002AF" w:usb1="00000003" w:usb2="00000000" w:usb3="00000000" w:csb0="0000009F" w:csb1="00000000"/>
    <w:embedRegular r:id="rId4" w:fontKey="{887DC11F-0E20-4B68-9F3B-3FF0A708005C}"/>
    <w:embedBold r:id="rId5" w:fontKey="{6A4CA820-7A6A-4F58-883F-B0E18A7B34DE}"/>
    <w:embedItalic r:id="rId6" w:fontKey="{C37D2924-D109-4C51-8F55-1F57A3C69E8D}"/>
  </w:font>
  <w:font w:name="Georgia Pro Black">
    <w:charset w:val="00"/>
    <w:family w:val="roman"/>
    <w:pitch w:val="variable"/>
    <w:sig w:usb0="800002AF" w:usb1="00000003" w:usb2="00000000" w:usb3="00000000" w:csb0="0000009F" w:csb1="00000000"/>
    <w:embedBold r:id="rId7" w:fontKey="{A625DC91-0B86-4CD0-9C6D-A30BF6263581}"/>
  </w:font>
  <w:font w:name="Roboto">
    <w:charset w:val="00"/>
    <w:family w:val="auto"/>
    <w:pitch w:val="variable"/>
    <w:sig w:usb0="E0000AFF" w:usb1="5000217F" w:usb2="00000021" w:usb3="00000000" w:csb0="0000019F" w:csb1="00000000"/>
    <w:embedRegular r:id="rId8" w:fontKey="{B63EA8DF-E0FA-49AD-8F3D-C1A779425C2A}"/>
  </w:font>
  <w:font w:name="Calibri Light">
    <w:panose1 w:val="020F0302020204030204"/>
    <w:charset w:val="00"/>
    <w:family w:val="swiss"/>
    <w:pitch w:val="variable"/>
    <w:sig w:usb0="E4002EFF" w:usb1="C200247B" w:usb2="00000009" w:usb3="00000000" w:csb0="000001FF" w:csb1="00000000"/>
    <w:embedRegular r:id="rId9" w:fontKey="{D7663664-E170-44B3-9706-E5BCB4662430}"/>
  </w:font>
  <w:font w:name="Amasis MT Pro">
    <w:charset w:val="00"/>
    <w:family w:val="roman"/>
    <w:pitch w:val="variable"/>
    <w:sig w:usb0="A00000AF" w:usb1="4000205B" w:usb2="00000000" w:usb3="00000000" w:csb0="00000093" w:csb1="00000000"/>
    <w:embedRegular r:id="rId10" w:fontKey="{468A36B7-7B1C-4DD7-BD6A-EDDFF7746ED0}"/>
    <w:embedBold r:id="rId11" w:fontKey="{1C7D0E91-40DD-4793-AF38-252591773B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40CB3" w14:textId="21962202" w:rsidR="003416F3" w:rsidRDefault="002C78D7" w:rsidP="00292A0E">
    <w:pPr>
      <w:pStyle w:val="Rodap"/>
      <w:spacing w:after="240"/>
    </w:pPr>
    <w:r w:rsidRPr="002C78D7">
      <w:rPr>
        <w:b/>
        <w:bCs/>
        <w:noProof/>
      </w:rPr>
      <w:drawing>
        <wp:anchor distT="0" distB="0" distL="114300" distR="114300" simplePos="0" relativeHeight="251671552" behindDoc="1" locked="0" layoutInCell="1" allowOverlap="1" wp14:anchorId="289DF758" wp14:editId="0A26A9E9">
          <wp:simplePos x="0" y="0"/>
          <wp:positionH relativeFrom="margin">
            <wp:posOffset>4674711</wp:posOffset>
          </wp:positionH>
          <wp:positionV relativeFrom="paragraph">
            <wp:posOffset>-69692</wp:posOffset>
          </wp:positionV>
          <wp:extent cx="375285" cy="407035"/>
          <wp:effectExtent l="0" t="0" r="5715" b="0"/>
          <wp:wrapTight wrapText="bothSides">
            <wp:wrapPolygon edited="0">
              <wp:start x="4386" y="0"/>
              <wp:lineTo x="0" y="6066"/>
              <wp:lineTo x="0" y="20218"/>
              <wp:lineTo x="12061" y="20218"/>
              <wp:lineTo x="18640" y="18197"/>
              <wp:lineTo x="20832" y="9098"/>
              <wp:lineTo x="20832" y="0"/>
              <wp:lineTo x="4386" y="0"/>
            </wp:wrapPolygon>
          </wp:wrapTight>
          <wp:docPr id="83663735" name="Imagem 7" descr="Placa vermelha com letras branc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3735" name="Imagem 7" descr="Placa vermelha com letras brancas&#10;&#10;O conteúdo gerado por IA pode estar incorreto."/>
                  <pic:cNvPicPr>
                    <a:picLocks noChangeAspect="1" noChangeArrowheads="1"/>
                  </pic:cNvPicPr>
                </pic:nvPicPr>
                <pic:blipFill rotWithShape="1">
                  <a:blip r:embed="rId1">
                    <a:biLevel thresh="25000"/>
                    <a:extLst>
                      <a:ext uri="{28A0092B-C50C-407E-A947-70E740481C1C}">
                        <a14:useLocalDpi xmlns:a14="http://schemas.microsoft.com/office/drawing/2010/main" val="0"/>
                      </a:ext>
                    </a:extLst>
                  </a:blip>
                  <a:srcRect t="-9760" r="59839"/>
                  <a:stretch/>
                </pic:blipFill>
                <pic:spPr bwMode="auto">
                  <a:xfrm>
                    <a:off x="0" y="0"/>
                    <a:ext cx="375285" cy="407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2A0E" w:rsidRPr="002C78D7">
      <w:rPr>
        <w:rFonts w:ascii="Amasis MT Pro" w:hAnsi="Amasis MT Pro"/>
        <w:b/>
        <w:bCs/>
        <w:smallCaps/>
        <w:spacing w:val="20"/>
        <w:sz w:val="16"/>
        <w:szCs w:val="16"/>
      </w:rPr>
      <w:t xml:space="preserve">DECISÃO </w:t>
    </w:r>
    <w:r w:rsidR="00292A0E" w:rsidRPr="002C78D7">
      <w:rPr>
        <w:rFonts w:ascii="Amasis MT Pro" w:hAnsi="Amasis MT Pro"/>
        <w:b/>
        <w:bCs/>
        <w:spacing w:val="20"/>
        <w:sz w:val="16"/>
        <w:szCs w:val="16"/>
      </w:rPr>
      <w:t>INTERLOCUTÓRIA //</w:t>
    </w:r>
    <w:r w:rsidR="00292A0E" w:rsidRPr="001877D6">
      <w:rPr>
        <w:rFonts w:ascii="Amasis MT Pro" w:hAnsi="Amasis MT Pro"/>
        <w:smallCaps/>
        <w:spacing w:val="20"/>
        <w:sz w:val="16"/>
        <w:szCs w:val="16"/>
      </w:rPr>
      <w:t xml:space="preserve"> PÁGINA </w:t>
    </w:r>
    <w:r w:rsidR="00292A0E">
      <w:rPr>
        <w:rFonts w:ascii="Amasis MT Pro" w:hAnsi="Amasis MT Pro"/>
        <w:smallCaps/>
        <w:spacing w:val="20"/>
        <w:sz w:val="16"/>
        <w:szCs w:val="16"/>
      </w:rPr>
      <w:fldChar w:fldCharType="begin"/>
    </w:r>
    <w:r w:rsidR="00292A0E">
      <w:rPr>
        <w:rFonts w:ascii="Amasis MT Pro" w:hAnsi="Amasis MT Pro"/>
        <w:smallCaps/>
        <w:spacing w:val="20"/>
        <w:sz w:val="16"/>
        <w:szCs w:val="16"/>
      </w:rPr>
      <w:instrText xml:space="preserve"> PAGE   \* MERGEFORMAT </w:instrText>
    </w:r>
    <w:r w:rsidR="00292A0E">
      <w:rPr>
        <w:rFonts w:ascii="Amasis MT Pro" w:hAnsi="Amasis MT Pro"/>
        <w:smallCaps/>
        <w:spacing w:val="20"/>
        <w:sz w:val="16"/>
        <w:szCs w:val="16"/>
      </w:rPr>
      <w:fldChar w:fldCharType="separate"/>
    </w:r>
    <w:r w:rsidR="00292A0E">
      <w:rPr>
        <w:rFonts w:ascii="Amasis MT Pro" w:hAnsi="Amasis MT Pro"/>
        <w:smallCaps/>
        <w:spacing w:val="20"/>
        <w:sz w:val="16"/>
        <w:szCs w:val="16"/>
      </w:rPr>
      <w:t>2</w:t>
    </w:r>
    <w:r w:rsidR="00292A0E">
      <w:rPr>
        <w:rFonts w:ascii="Amasis MT Pro" w:hAnsi="Amasis MT Pro"/>
        <w:smallCaps/>
        <w:spacing w:val="20"/>
        <w:sz w:val="16"/>
        <w:szCs w:val="16"/>
      </w:rPr>
      <w:fldChar w:fldCharType="end"/>
    </w:r>
    <w:r w:rsidR="00292A0E">
      <w:rPr>
        <w:rFonts w:ascii="Amasis MT Pro" w:hAnsi="Amasis MT Pro"/>
        <w:smallCaps/>
        <w:spacing w:val="20"/>
        <w:sz w:val="16"/>
        <w:szCs w:val="16"/>
      </w:rPr>
      <w:t>-</w:t>
    </w:r>
    <w:r w:rsidR="00292A0E">
      <w:rPr>
        <w:rFonts w:ascii="Amasis MT Pro" w:hAnsi="Amasis MT Pro"/>
        <w:smallCaps/>
        <w:spacing w:val="20"/>
        <w:sz w:val="16"/>
        <w:szCs w:val="16"/>
      </w:rPr>
      <w:fldChar w:fldCharType="begin"/>
    </w:r>
    <w:r w:rsidR="00292A0E">
      <w:rPr>
        <w:rFonts w:ascii="Amasis MT Pro" w:hAnsi="Amasis MT Pro"/>
        <w:smallCaps/>
        <w:spacing w:val="20"/>
        <w:sz w:val="16"/>
        <w:szCs w:val="16"/>
      </w:rPr>
      <w:instrText xml:space="preserve"> NUMPAGES   \* MERGEFORMAT </w:instrText>
    </w:r>
    <w:r w:rsidR="00292A0E">
      <w:rPr>
        <w:rFonts w:ascii="Amasis MT Pro" w:hAnsi="Amasis MT Pro"/>
        <w:smallCaps/>
        <w:spacing w:val="20"/>
        <w:sz w:val="16"/>
        <w:szCs w:val="16"/>
      </w:rPr>
      <w:fldChar w:fldCharType="separate"/>
    </w:r>
    <w:r w:rsidR="00292A0E">
      <w:rPr>
        <w:rFonts w:ascii="Amasis MT Pro" w:hAnsi="Amasis MT Pro"/>
        <w:smallCaps/>
        <w:spacing w:val="20"/>
        <w:sz w:val="16"/>
        <w:szCs w:val="16"/>
      </w:rPr>
      <w:t>5</w:t>
    </w:r>
    <w:r w:rsidR="00292A0E">
      <w:rPr>
        <w:rFonts w:ascii="Amasis MT Pro" w:hAnsi="Amasis MT Pro"/>
        <w:smallCaps/>
        <w:spacing w:val="2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1006" w14:textId="5CFD0A72" w:rsidR="00931B4F" w:rsidRDefault="00931B4F">
    <w:pPr>
      <w:pStyle w:val="Rodap"/>
    </w:pPr>
    <w:r>
      <w:rPr>
        <w:noProof/>
      </w:rPr>
      <mc:AlternateContent>
        <mc:Choice Requires="wps">
          <w:drawing>
            <wp:anchor distT="0" distB="0" distL="114300" distR="114300" simplePos="0" relativeHeight="251660800" behindDoc="0" locked="0" layoutInCell="1" allowOverlap="1" wp14:anchorId="5E4965CA" wp14:editId="4CC7561F">
              <wp:simplePos x="0" y="0"/>
              <wp:positionH relativeFrom="margin">
                <wp:posOffset>-91440</wp:posOffset>
              </wp:positionH>
              <wp:positionV relativeFrom="paragraph">
                <wp:posOffset>-163195</wp:posOffset>
              </wp:positionV>
              <wp:extent cx="4953000" cy="425450"/>
              <wp:effectExtent l="0" t="0" r="0" b="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425450"/>
                      </a:xfrm>
                      <a:prstGeom prst="rect">
                        <a:avLst/>
                      </a:prstGeom>
                      <a:solidFill>
                        <a:srgbClr val="FFFFFF"/>
                      </a:solidFill>
                      <a:ln w="9525">
                        <a:noFill/>
                        <a:miter lim="800000"/>
                        <a:headEnd/>
                        <a:tailEnd/>
                      </a:ln>
                    </wps:spPr>
                    <wps:txbx>
                      <w:txbxContent>
                        <w:p w14:paraId="28822EAD" w14:textId="51FDBD78" w:rsidR="00931B4F" w:rsidRPr="00931B4F" w:rsidRDefault="000A339C" w:rsidP="00292A0E">
                          <w:pPr>
                            <w:spacing w:before="100" w:beforeAutospacing="1" w:after="100" w:afterAutospacing="1" w:line="240" w:lineRule="auto"/>
                            <w:jc w:val="left"/>
                            <w:rPr>
                              <w:rFonts w:asciiTheme="minorHAnsi" w:hAnsiTheme="minorHAnsi" w:cstheme="minorHAnsi"/>
                              <w:sz w:val="20"/>
                              <w:szCs w:val="20"/>
                            </w:rPr>
                          </w:pPr>
                          <w:r w:rsidRPr="002C78D7">
                            <w:rPr>
                              <w:rFonts w:asciiTheme="minorHAnsi" w:hAnsiTheme="minorHAnsi" w:cstheme="minorHAnsi"/>
                              <w:b/>
                              <w:bCs/>
                              <w:spacing w:val="40"/>
                              <w:sz w:val="18"/>
                              <w:szCs w:val="18"/>
                            </w:rPr>
                            <w:t>PODER TIPOGRÁFICO FEDERAL</w:t>
                          </w:r>
                          <w:r w:rsidR="00931B4F">
                            <w:rPr>
                              <w:rFonts w:asciiTheme="minorHAnsi" w:hAnsiTheme="minorHAnsi" w:cstheme="minorHAnsi"/>
                              <w:sz w:val="20"/>
                              <w:szCs w:val="20"/>
                            </w:rPr>
                            <w:br/>
                          </w:r>
                          <w:r w:rsidR="0077081E" w:rsidRPr="002C78D7">
                            <w:rPr>
                              <w:rFonts w:asciiTheme="minorHAnsi" w:hAnsiTheme="minorHAnsi" w:cstheme="minorHAnsi"/>
                              <w:sz w:val="18"/>
                              <w:szCs w:val="18"/>
                            </w:rPr>
                            <w:t xml:space="preserve">02ª Vara da Subseção Judiciária de </w:t>
                          </w:r>
                          <w:r w:rsidR="003F2200" w:rsidRPr="002C78D7">
                            <w:rPr>
                              <w:rFonts w:asciiTheme="minorHAnsi" w:hAnsiTheme="minorHAnsi" w:cstheme="minorHAnsi"/>
                              <w:sz w:val="18"/>
                              <w:szCs w:val="18"/>
                            </w:rPr>
                            <w:t>Leiautilândia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4965CA" id="_x0000_t202" coordsize="21600,21600" o:spt="202" path="m,l,21600r21600,l21600,xe">
              <v:stroke joinstyle="miter"/>
              <v:path gradientshapeok="t" o:connecttype="rect"/>
            </v:shapetype>
            <v:shape id="Text Box 7" o:spid="_x0000_s1028" type="#_x0000_t202" style="position:absolute;left:0;text-align:left;margin-left:-7.2pt;margin-top:-12.85pt;width:390pt;height:33.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" stroked="f">
              <v:textbox>
                <w:txbxContent>
                  <w:p w14:paraId="28822EAD" w14:textId="51FDBD78" w:rsidR="00931B4F" w:rsidRPr="00931B4F" w:rsidRDefault="000A339C" w:rsidP="00292A0E">
                    <w:pPr>
                      <w:spacing w:before="100" w:beforeAutospacing="1" w:after="100" w:afterAutospacing="1" w:line="240" w:lineRule="auto"/>
                      <w:jc w:val="left"/>
                      <w:rPr>
                        <w:rFonts w:asciiTheme="minorHAnsi" w:hAnsiTheme="minorHAnsi" w:cstheme="minorHAnsi"/>
                        <w:sz w:val="20"/>
                        <w:szCs w:val="20"/>
                      </w:rPr>
                    </w:pPr>
                    <w:r w:rsidRPr="002C78D7">
                      <w:rPr>
                        <w:rFonts w:asciiTheme="minorHAnsi" w:hAnsiTheme="minorHAnsi" w:cstheme="minorHAnsi"/>
                        <w:b/>
                        <w:bCs/>
                        <w:spacing w:val="40"/>
                        <w:sz w:val="18"/>
                        <w:szCs w:val="18"/>
                      </w:rPr>
                      <w:t>PODER TIPOGRÁFICO FEDERAL</w:t>
                    </w:r>
                    <w:r w:rsidR="00931B4F">
                      <w:rPr>
                        <w:rFonts w:asciiTheme="minorHAnsi" w:hAnsiTheme="minorHAnsi" w:cstheme="minorHAnsi"/>
                        <w:sz w:val="20"/>
                        <w:szCs w:val="20"/>
                      </w:rPr>
                      <w:br/>
                    </w:r>
                    <w:r w:rsidR="0077081E" w:rsidRPr="002C78D7">
                      <w:rPr>
                        <w:rFonts w:asciiTheme="minorHAnsi" w:hAnsiTheme="minorHAnsi" w:cstheme="minorHAnsi"/>
                        <w:sz w:val="18"/>
                        <w:szCs w:val="18"/>
                      </w:rPr>
                      <w:t xml:space="preserve">02ª Vara da Subseção Judiciária de </w:t>
                    </w:r>
                    <w:r w:rsidR="003F2200" w:rsidRPr="002C78D7">
                      <w:rPr>
                        <w:rFonts w:asciiTheme="minorHAnsi" w:hAnsiTheme="minorHAnsi" w:cstheme="minorHAnsi"/>
                        <w:sz w:val="18"/>
                        <w:szCs w:val="18"/>
                      </w:rPr>
                      <w:t>Leiautilândia</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9ECA7" w14:textId="77777777" w:rsidR="004411F5" w:rsidRDefault="004411F5" w:rsidP="00714E65">
      <w:r>
        <w:separator/>
      </w:r>
    </w:p>
    <w:p w14:paraId="57588341" w14:textId="77777777" w:rsidR="004411F5" w:rsidRDefault="004411F5"/>
  </w:footnote>
  <w:footnote w:type="continuationSeparator" w:id="0">
    <w:p w14:paraId="7A4003CA" w14:textId="77777777" w:rsidR="004411F5" w:rsidRDefault="004411F5" w:rsidP="00714E65">
      <w:r>
        <w:continuationSeparator/>
      </w:r>
    </w:p>
    <w:p w14:paraId="04DE45D0" w14:textId="77777777" w:rsidR="004411F5" w:rsidRDefault="004411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BBD78" w14:textId="7EF53F9B" w:rsidR="003416F3" w:rsidRDefault="002C78D7" w:rsidP="00292A0E">
    <w:pPr>
      <w:pStyle w:val="Cabealho"/>
      <w:tabs>
        <w:tab w:val="clear" w:pos="8504"/>
      </w:tabs>
      <w:spacing w:before="0"/>
    </w:pPr>
    <w:r w:rsidRPr="000A339C">
      <w:rPr>
        <w:noProof/>
      </w:rPr>
      <mc:AlternateContent>
        <mc:Choice Requires="wps">
          <w:drawing>
            <wp:anchor distT="0" distB="0" distL="114300" distR="114300" simplePos="0" relativeHeight="251673600" behindDoc="0" locked="0" layoutInCell="1" allowOverlap="1" wp14:anchorId="35B52B53" wp14:editId="17A37494">
              <wp:simplePos x="0" y="0"/>
              <wp:positionH relativeFrom="page">
                <wp:align>left</wp:align>
              </wp:positionH>
              <wp:positionV relativeFrom="paragraph">
                <wp:posOffset>807085</wp:posOffset>
              </wp:positionV>
              <wp:extent cx="235744" cy="8615362"/>
              <wp:effectExtent l="0" t="0" r="12065" b="14605"/>
              <wp:wrapNone/>
              <wp:docPr id="132040973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5744" cy="8615362"/>
                      </a:xfrm>
                      <a:prstGeom prst="rect">
                        <a:avLst/>
                      </a:prstGeom>
                      <a:solidFill>
                        <a:schemeClr val="tx1"/>
                      </a:solidFill>
                      <a:ln w="6350">
                        <a:solidFill>
                          <a:schemeClr val="accent1">
                            <a:lumMod val="75000"/>
                            <a:lumOff val="0"/>
                          </a:schemeClr>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D92775" id="Rectangle 6" o:spid="_x0000_s1026" style="position:absolute;margin-left:0;margin-top:63.55pt;width:18.55pt;height:678.35pt;z-index:2516736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" fillcolor="black [3213]" strokecolor="#2f5496 [2404]" strokeweight=".5pt">
              <w10:wrap anchorx="page"/>
            </v:rect>
          </w:pict>
        </mc:Fallback>
      </mc:AlternateContent>
    </w:r>
    <w:r w:rsidR="00292A0E">
      <w:rPr>
        <w:noProof/>
      </w:rPr>
      <mc:AlternateContent>
        <mc:Choice Requires="wps">
          <w:drawing>
            <wp:anchor distT="0" distB="0" distL="114300" distR="114300" simplePos="0" relativeHeight="251658752" behindDoc="0" locked="0" layoutInCell="1" allowOverlap="1" wp14:anchorId="00988463" wp14:editId="2E0B5C82">
              <wp:simplePos x="0" y="0"/>
              <wp:positionH relativeFrom="column">
                <wp:posOffset>-88265</wp:posOffset>
              </wp:positionH>
              <wp:positionV relativeFrom="paragraph">
                <wp:posOffset>127000</wp:posOffset>
              </wp:positionV>
              <wp:extent cx="2348230" cy="281305"/>
              <wp:effectExtent l="0" t="0" r="0" b="444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823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087C3" w14:textId="59BDACE8" w:rsidR="009E18EA" w:rsidRPr="009C182D" w:rsidRDefault="000E104B" w:rsidP="000E104B">
                          <w:pPr>
                            <w:pBdr>
                              <w:bottom w:val="single" w:sz="4" w:space="1" w:color="auto"/>
                            </w:pBdr>
                            <w:spacing w:before="100" w:beforeAutospacing="1" w:after="100" w:afterAutospacing="1"/>
                            <w:jc w:val="left"/>
                            <w:rPr>
                              <w:rFonts w:ascii="Amasis MT Pro" w:hAnsi="Amasis MT Pro"/>
                              <w:sz w:val="18"/>
                              <w:szCs w:val="18"/>
                            </w:rPr>
                          </w:pPr>
                          <w:r>
                            <w:rPr>
                              <w:rFonts w:ascii="Amasis MT Pro" w:hAnsi="Amasis MT Pro"/>
                              <w:sz w:val="18"/>
                              <w:szCs w:val="18"/>
                            </w:rPr>
                            <w:t xml:space="preserve">// </w:t>
                          </w:r>
                          <w:r w:rsidR="00EC00A5">
                            <w:rPr>
                              <w:rFonts w:ascii="Amasis MT Pro" w:hAnsi="Amasis MT Pro"/>
                              <w:sz w:val="18"/>
                              <w:szCs w:val="18"/>
                            </w:rPr>
                            <w:t xml:space="preserve">Ação penal </w:t>
                          </w:r>
                          <w:r w:rsidR="009E18EA" w:rsidRPr="009C182D">
                            <w:rPr>
                              <w:rFonts w:ascii="Amasis MT Pro" w:hAnsi="Amasis MT Pro"/>
                              <w:sz w:val="18"/>
                              <w:szCs w:val="18"/>
                            </w:rPr>
                            <w:t>145762-35.2015.4.02.5121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988463" id="_x0000_t202" coordsize="21600,21600" o:spt="202" path="m,l,21600r21600,l21600,xe">
              <v:stroke joinstyle="miter"/>
              <v:path gradientshapeok="t" o:connecttype="rect"/>
            </v:shapetype>
            <v:shape id="Text Box 1" o:spid="_x0000_s1027" type="#_x0000_t202" style="position:absolute;left:0;text-align:left;margin-left:-6.95pt;margin-top:10pt;width:184.9pt;height:22.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" filled="f" stroked="f">
              <v:textbox>
                <w:txbxContent>
                  <w:p w14:paraId="75F087C3" w14:textId="59BDACE8" w:rsidR="009E18EA" w:rsidRPr="009C182D" w:rsidRDefault="000E104B" w:rsidP="000E104B">
                    <w:pPr>
                      <w:pBdr>
                        <w:bottom w:val="single" w:sz="4" w:space="1" w:color="auto"/>
                      </w:pBdr>
                      <w:spacing w:before="100" w:beforeAutospacing="1" w:after="100" w:afterAutospacing="1"/>
                      <w:jc w:val="left"/>
                      <w:rPr>
                        <w:rFonts w:ascii="Amasis MT Pro" w:hAnsi="Amasis MT Pro"/>
                        <w:sz w:val="18"/>
                        <w:szCs w:val="18"/>
                      </w:rPr>
                    </w:pPr>
                    <w:r>
                      <w:rPr>
                        <w:rFonts w:ascii="Amasis MT Pro" w:hAnsi="Amasis MT Pro"/>
                        <w:sz w:val="18"/>
                        <w:szCs w:val="18"/>
                      </w:rPr>
                      <w:t xml:space="preserve">// </w:t>
                    </w:r>
                    <w:r w:rsidR="00EC00A5">
                      <w:rPr>
                        <w:rFonts w:ascii="Amasis MT Pro" w:hAnsi="Amasis MT Pro"/>
                        <w:sz w:val="18"/>
                        <w:szCs w:val="18"/>
                      </w:rPr>
                      <w:t xml:space="preserve">Ação penal </w:t>
                    </w:r>
                    <w:r w:rsidR="009E18EA" w:rsidRPr="009C182D">
                      <w:rPr>
                        <w:rFonts w:ascii="Amasis MT Pro" w:hAnsi="Amasis MT Pro"/>
                        <w:sz w:val="18"/>
                        <w:szCs w:val="18"/>
                      </w:rPr>
                      <w:t>145762-35.2015.4.02.5121</w:t>
                    </w:r>
                  </w:p>
                </w:txbxContent>
              </v:textbox>
            </v:shape>
          </w:pict>
        </mc:Fallback>
      </mc:AlternateContent>
    </w:r>
    <w:r w:rsidR="00FF4808">
      <w:rPr>
        <w:noProof/>
      </w:rPr>
      <w:drawing>
        <wp:anchor distT="0" distB="0" distL="114300" distR="114300" simplePos="0" relativeHeight="251662336" behindDoc="0" locked="0" layoutInCell="1" allowOverlap="1" wp14:anchorId="367DDB14" wp14:editId="38DF0473">
          <wp:simplePos x="0" y="0"/>
          <wp:positionH relativeFrom="column">
            <wp:posOffset>4697095</wp:posOffset>
          </wp:positionH>
          <wp:positionV relativeFrom="paragraph">
            <wp:posOffset>-63791</wp:posOffset>
          </wp:positionV>
          <wp:extent cx="685165" cy="554990"/>
          <wp:effectExtent l="0" t="0" r="0" b="0"/>
          <wp:wrapNone/>
          <wp:docPr id="5" name="Imagem 5"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Logotipo&#10;&#10;Descrição gerada automaticamente com confiança média"/>
                  <pic:cNvPicPr/>
                </pic:nvPicPr>
                <pic:blipFill rotWithShape="1">
                  <a:blip r:embed="rId1">
                    <a:extLst>
                      <a:ext uri="{28A0092B-C50C-407E-A947-70E740481C1C}">
                        <a14:useLocalDpi xmlns:a14="http://schemas.microsoft.com/office/drawing/2010/main" val="0"/>
                      </a:ext>
                    </a:extLst>
                  </a:blip>
                  <a:srcRect b="32836"/>
                  <a:stretch/>
                </pic:blipFill>
                <pic:spPr bwMode="auto">
                  <a:xfrm>
                    <a:off x="0" y="0"/>
                    <a:ext cx="685165" cy="554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41AB" w14:textId="1F206448" w:rsidR="000A339C" w:rsidRPr="000A339C" w:rsidRDefault="00B011D8" w:rsidP="000A339C">
    <w:pPr>
      <w:pStyle w:val="Cabealho"/>
    </w:pPr>
    <w:r w:rsidRPr="000A339C">
      <w:rPr>
        <w:noProof/>
      </w:rPr>
      <mc:AlternateContent>
        <mc:Choice Requires="wps">
          <w:drawing>
            <wp:anchor distT="0" distB="0" distL="114300" distR="114300" simplePos="0" relativeHeight="251675648" behindDoc="0" locked="0" layoutInCell="1" allowOverlap="1" wp14:anchorId="38B3F0A7" wp14:editId="0685A1EE">
              <wp:simplePos x="0" y="0"/>
              <wp:positionH relativeFrom="page">
                <wp:posOffset>-17145</wp:posOffset>
              </wp:positionH>
              <wp:positionV relativeFrom="paragraph">
                <wp:posOffset>-610711</wp:posOffset>
              </wp:positionV>
              <wp:extent cx="357188" cy="10965656"/>
              <wp:effectExtent l="0" t="0" r="24130" b="26670"/>
              <wp:wrapNone/>
              <wp:docPr id="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188" cy="10965656"/>
                      </a:xfrm>
                      <a:prstGeom prst="rect">
                        <a:avLst/>
                      </a:prstGeom>
                      <a:solidFill>
                        <a:schemeClr val="tx1"/>
                      </a:solidFill>
                      <a:ln w="6350">
                        <a:solidFill>
                          <a:schemeClr val="accent1">
                            <a:lumMod val="75000"/>
                            <a:lumOff val="0"/>
                          </a:schemeClr>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19742E" id="Rectangle 6" o:spid="_x0000_s1026" style="position:absolute;margin-left:-1.35pt;margin-top:-48.1pt;width:28.15pt;height:863.4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" fillcolor="black [3213]" strokecolor="#2f5496 [2404]" strokeweight=".5pt">
              <w10:wrap anchorx="page"/>
            </v:rect>
          </w:pict>
        </mc:Fallback>
      </mc:AlternateContent>
    </w:r>
    <w:r w:rsidR="000A339C" w:rsidRPr="000A339C">
      <w:rPr>
        <w:noProof/>
      </w:rPr>
      <w:drawing>
        <wp:anchor distT="0" distB="0" distL="114300" distR="114300" simplePos="0" relativeHeight="251669504" behindDoc="0" locked="0" layoutInCell="1" allowOverlap="1" wp14:anchorId="554FAB44" wp14:editId="4F7A68ED">
          <wp:simplePos x="0" y="0"/>
          <wp:positionH relativeFrom="page">
            <wp:posOffset>3172142</wp:posOffset>
          </wp:positionH>
          <wp:positionV relativeFrom="paragraph">
            <wp:posOffset>-36989</wp:posOffset>
          </wp:positionV>
          <wp:extent cx="1416685" cy="875030"/>
          <wp:effectExtent l="0" t="0" r="0" b="1270"/>
          <wp:wrapTopAndBottom/>
          <wp:docPr id="1304519051" name="Imagem 6" descr="Placa co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19051" name="Imagem 6" descr="Placa com fundo pret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6685" cy="875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2C72BA" w14:textId="62EF3781" w:rsidR="006E0D96" w:rsidRDefault="006E0D9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1235"/>
    <w:multiLevelType w:val="hybridMultilevel"/>
    <w:tmpl w:val="C6F057DA"/>
    <w:lvl w:ilvl="0" w:tplc="DA54818E">
      <w:start w:val="1"/>
      <w:numFmt w:val="upperRoman"/>
      <w:pStyle w:val="1Ttul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A446016"/>
    <w:multiLevelType w:val="hybridMultilevel"/>
    <w:tmpl w:val="A9DE2A6A"/>
    <w:lvl w:ilvl="0" w:tplc="69E03D94">
      <w:start w:val="1"/>
      <w:numFmt w:val="decimal"/>
      <w:pStyle w:val="3Pargrafo"/>
      <w:lvlText w:val="%1."/>
      <w:lvlJc w:val="left"/>
      <w:pPr>
        <w:ind w:left="720" w:hanging="360"/>
      </w:pPr>
      <w:rPr>
        <w:color w:val="808080" w:themeColor="background1" w:themeShade="80"/>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45866511">
    <w:abstractNumId w:val="0"/>
  </w:num>
  <w:num w:numId="2" w16cid:durableId="614026446">
    <w:abstractNumId w:val="0"/>
  </w:num>
  <w:num w:numId="3" w16cid:durableId="2138330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proofState w:spelling="clean" w:grammar="clean"/>
  <w:defaultTabStop w:val="708"/>
  <w:autoHyphenation/>
  <w:consecutiveHyphenLimit w:val="1"/>
  <w:hyphenationZone w:val="425"/>
  <w:characterSpacingControl w:val="doNotCompress"/>
  <w:hdrShapeDefaults>
    <o:shapedefaults v:ext="edit" spidmax="2050">
      <o:colormru v:ext="edit" colors="#d8d8d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39B"/>
    <w:rsid w:val="000040C2"/>
    <w:rsid w:val="000135BB"/>
    <w:rsid w:val="000156D1"/>
    <w:rsid w:val="00015C03"/>
    <w:rsid w:val="00022203"/>
    <w:rsid w:val="00035DE0"/>
    <w:rsid w:val="00053499"/>
    <w:rsid w:val="00061F14"/>
    <w:rsid w:val="00085656"/>
    <w:rsid w:val="00087445"/>
    <w:rsid w:val="000901E0"/>
    <w:rsid w:val="000A339C"/>
    <w:rsid w:val="000B006F"/>
    <w:rsid w:val="000B2981"/>
    <w:rsid w:val="000B7455"/>
    <w:rsid w:val="000E104B"/>
    <w:rsid w:val="000F2B49"/>
    <w:rsid w:val="00180B42"/>
    <w:rsid w:val="00184EC4"/>
    <w:rsid w:val="001877D6"/>
    <w:rsid w:val="00187DF0"/>
    <w:rsid w:val="001A1D66"/>
    <w:rsid w:val="001B1CBD"/>
    <w:rsid w:val="001C20D0"/>
    <w:rsid w:val="001D331D"/>
    <w:rsid w:val="00257165"/>
    <w:rsid w:val="00287D18"/>
    <w:rsid w:val="00292A0E"/>
    <w:rsid w:val="002C7069"/>
    <w:rsid w:val="002C78D7"/>
    <w:rsid w:val="002D0CD8"/>
    <w:rsid w:val="002E6888"/>
    <w:rsid w:val="003160BB"/>
    <w:rsid w:val="00322FAD"/>
    <w:rsid w:val="003416F3"/>
    <w:rsid w:val="00347FC5"/>
    <w:rsid w:val="00360DA2"/>
    <w:rsid w:val="003710D1"/>
    <w:rsid w:val="0037363C"/>
    <w:rsid w:val="00385121"/>
    <w:rsid w:val="00395DFE"/>
    <w:rsid w:val="003B5BAA"/>
    <w:rsid w:val="003B794D"/>
    <w:rsid w:val="003C34F4"/>
    <w:rsid w:val="003E515E"/>
    <w:rsid w:val="003F2200"/>
    <w:rsid w:val="004005F9"/>
    <w:rsid w:val="004063B0"/>
    <w:rsid w:val="00407191"/>
    <w:rsid w:val="00414E8F"/>
    <w:rsid w:val="0041792B"/>
    <w:rsid w:val="004411F5"/>
    <w:rsid w:val="00442D15"/>
    <w:rsid w:val="004536F6"/>
    <w:rsid w:val="00453992"/>
    <w:rsid w:val="00473C8B"/>
    <w:rsid w:val="00480B7D"/>
    <w:rsid w:val="004B131F"/>
    <w:rsid w:val="004C1EB5"/>
    <w:rsid w:val="004E6CFC"/>
    <w:rsid w:val="00503316"/>
    <w:rsid w:val="0052155F"/>
    <w:rsid w:val="00540559"/>
    <w:rsid w:val="00580064"/>
    <w:rsid w:val="005A2D6B"/>
    <w:rsid w:val="005A4E11"/>
    <w:rsid w:val="005E6AE1"/>
    <w:rsid w:val="005F313E"/>
    <w:rsid w:val="00612797"/>
    <w:rsid w:val="006169A3"/>
    <w:rsid w:val="006172FA"/>
    <w:rsid w:val="00636756"/>
    <w:rsid w:val="00637CB7"/>
    <w:rsid w:val="00646536"/>
    <w:rsid w:val="00654583"/>
    <w:rsid w:val="006606D4"/>
    <w:rsid w:val="006852C8"/>
    <w:rsid w:val="006E0D96"/>
    <w:rsid w:val="006E5A97"/>
    <w:rsid w:val="0071034F"/>
    <w:rsid w:val="00714986"/>
    <w:rsid w:val="00714E65"/>
    <w:rsid w:val="00724E1F"/>
    <w:rsid w:val="00726BE3"/>
    <w:rsid w:val="00751F04"/>
    <w:rsid w:val="0077081E"/>
    <w:rsid w:val="007824C2"/>
    <w:rsid w:val="007E1C74"/>
    <w:rsid w:val="00861037"/>
    <w:rsid w:val="008815FE"/>
    <w:rsid w:val="008820C0"/>
    <w:rsid w:val="00882B98"/>
    <w:rsid w:val="00890107"/>
    <w:rsid w:val="00892FE4"/>
    <w:rsid w:val="008A7BB4"/>
    <w:rsid w:val="008C23BC"/>
    <w:rsid w:val="008C2D5B"/>
    <w:rsid w:val="008C4475"/>
    <w:rsid w:val="008E610D"/>
    <w:rsid w:val="008F0C21"/>
    <w:rsid w:val="008F65E7"/>
    <w:rsid w:val="00914E81"/>
    <w:rsid w:val="00931B4F"/>
    <w:rsid w:val="00952756"/>
    <w:rsid w:val="00975688"/>
    <w:rsid w:val="009825D1"/>
    <w:rsid w:val="00985740"/>
    <w:rsid w:val="009A644A"/>
    <w:rsid w:val="009A696C"/>
    <w:rsid w:val="009A7AAB"/>
    <w:rsid w:val="009C182D"/>
    <w:rsid w:val="009E18EA"/>
    <w:rsid w:val="00A074D4"/>
    <w:rsid w:val="00A07528"/>
    <w:rsid w:val="00A15836"/>
    <w:rsid w:val="00A32627"/>
    <w:rsid w:val="00A5622F"/>
    <w:rsid w:val="00A6226C"/>
    <w:rsid w:val="00A71DA2"/>
    <w:rsid w:val="00A7429B"/>
    <w:rsid w:val="00A776AE"/>
    <w:rsid w:val="00A96047"/>
    <w:rsid w:val="00AA301B"/>
    <w:rsid w:val="00AA621B"/>
    <w:rsid w:val="00AB7E3C"/>
    <w:rsid w:val="00AC2F76"/>
    <w:rsid w:val="00AC6D51"/>
    <w:rsid w:val="00B011D8"/>
    <w:rsid w:val="00B24D27"/>
    <w:rsid w:val="00B545F0"/>
    <w:rsid w:val="00B84909"/>
    <w:rsid w:val="00B90235"/>
    <w:rsid w:val="00B94516"/>
    <w:rsid w:val="00BC2AD6"/>
    <w:rsid w:val="00BC6B1E"/>
    <w:rsid w:val="00BC78F2"/>
    <w:rsid w:val="00BD1627"/>
    <w:rsid w:val="00BF62A7"/>
    <w:rsid w:val="00C15349"/>
    <w:rsid w:val="00C21027"/>
    <w:rsid w:val="00C3720F"/>
    <w:rsid w:val="00C56C04"/>
    <w:rsid w:val="00C83037"/>
    <w:rsid w:val="00CB24E0"/>
    <w:rsid w:val="00CC2455"/>
    <w:rsid w:val="00CD16AE"/>
    <w:rsid w:val="00CE5294"/>
    <w:rsid w:val="00D173DD"/>
    <w:rsid w:val="00D21ADF"/>
    <w:rsid w:val="00D379DD"/>
    <w:rsid w:val="00D44D6E"/>
    <w:rsid w:val="00DA2BF2"/>
    <w:rsid w:val="00DC05F8"/>
    <w:rsid w:val="00DE526B"/>
    <w:rsid w:val="00E17418"/>
    <w:rsid w:val="00E25341"/>
    <w:rsid w:val="00E44151"/>
    <w:rsid w:val="00EC00A5"/>
    <w:rsid w:val="00EE1435"/>
    <w:rsid w:val="00EE29FA"/>
    <w:rsid w:val="00F0414C"/>
    <w:rsid w:val="00F13BF5"/>
    <w:rsid w:val="00F423FB"/>
    <w:rsid w:val="00F551CE"/>
    <w:rsid w:val="00F6439B"/>
    <w:rsid w:val="00F7249D"/>
    <w:rsid w:val="00F81BD1"/>
    <w:rsid w:val="00F83162"/>
    <w:rsid w:val="00FB52B1"/>
    <w:rsid w:val="00FF4808"/>
    <w:rsid w:val="00FF55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d8d8d8"/>
    </o:shapedefaults>
    <o:shapelayout v:ext="edit">
      <o:idmap v:ext="edit" data="2"/>
    </o:shapelayout>
  </w:shapeDefaults>
  <w:decimalSymbol w:val=","/>
  <w:listSeparator w:val=";"/>
  <w14:docId w14:val="0CB583D7"/>
  <w14:defaultImageDpi w14:val="32767"/>
  <w15:chartTrackingRefBased/>
  <w15:docId w15:val="{0A932D58-A78B-4208-B31A-78210AAC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583"/>
    <w:pPr>
      <w:spacing w:before="240" w:after="240" w:line="360" w:lineRule="auto"/>
      <w:jc w:val="both"/>
    </w:pPr>
    <w:rPr>
      <w:rFonts w:ascii="Georgia Pro" w:hAnsi="Georgia Pro"/>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6439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439B"/>
  </w:style>
  <w:style w:type="paragraph" w:styleId="Rodap">
    <w:name w:val="footer"/>
    <w:basedOn w:val="Normal"/>
    <w:link w:val="RodapChar"/>
    <w:uiPriority w:val="99"/>
    <w:unhideWhenUsed/>
    <w:rsid w:val="00F6439B"/>
    <w:pPr>
      <w:tabs>
        <w:tab w:val="center" w:pos="4252"/>
        <w:tab w:val="right" w:pos="8504"/>
      </w:tabs>
      <w:spacing w:after="0" w:line="240" w:lineRule="auto"/>
    </w:pPr>
  </w:style>
  <w:style w:type="character" w:customStyle="1" w:styleId="RodapChar">
    <w:name w:val="Rodapé Char"/>
    <w:basedOn w:val="Fontepargpadro"/>
    <w:link w:val="Rodap"/>
    <w:uiPriority w:val="99"/>
    <w:rsid w:val="00F6439B"/>
  </w:style>
  <w:style w:type="table" w:styleId="Tabelacomgrade">
    <w:name w:val="Table Grid"/>
    <w:basedOn w:val="Tabelanormal"/>
    <w:uiPriority w:val="39"/>
    <w:rsid w:val="00417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link w:val="PargrafodaListaChar"/>
    <w:uiPriority w:val="34"/>
    <w:rsid w:val="00B90235"/>
    <w:pPr>
      <w:ind w:left="720"/>
      <w:contextualSpacing/>
    </w:pPr>
  </w:style>
  <w:style w:type="paragraph" w:customStyle="1" w:styleId="1Ttulo">
    <w:name w:val="1 Título"/>
    <w:basedOn w:val="PargrafodaLista"/>
    <w:link w:val="1TtuloChar"/>
    <w:qFormat/>
    <w:rsid w:val="00292A0E"/>
    <w:pPr>
      <w:keepNext/>
      <w:numPr>
        <w:numId w:val="1"/>
      </w:numPr>
      <w:spacing w:before="440" w:after="440" w:line="300" w:lineRule="auto"/>
      <w:ind w:hanging="720"/>
    </w:pPr>
    <w:rPr>
      <w:rFonts w:ascii="Georgia Pro Black" w:hAnsi="Georgia Pro Black"/>
      <w:b/>
      <w:bCs/>
      <w:noProof/>
      <w:spacing w:val="10"/>
      <w:sz w:val="26"/>
      <w:szCs w:val="26"/>
    </w:rPr>
  </w:style>
  <w:style w:type="paragraph" w:customStyle="1" w:styleId="2Citao">
    <w:name w:val="2 Citação"/>
    <w:basedOn w:val="Normal"/>
    <w:link w:val="2CitaoChar"/>
    <w:qFormat/>
    <w:rsid w:val="00A32627"/>
    <w:pPr>
      <w:pBdr>
        <w:left w:val="single" w:sz="4" w:space="4" w:color="D9D9D9" w:themeColor="background1" w:themeShade="D9"/>
      </w:pBdr>
      <w:spacing w:after="0" w:line="300" w:lineRule="auto"/>
      <w:ind w:left="1418"/>
    </w:pPr>
    <w:rPr>
      <w:rFonts w:ascii="Roboto" w:hAnsi="Roboto"/>
      <w:sz w:val="20"/>
      <w:szCs w:val="20"/>
    </w:rPr>
  </w:style>
  <w:style w:type="character" w:customStyle="1" w:styleId="PargrafodaListaChar">
    <w:name w:val="Parágrafo da Lista Char"/>
    <w:basedOn w:val="Fontepargpadro"/>
    <w:link w:val="PargrafodaLista"/>
    <w:uiPriority w:val="34"/>
    <w:rsid w:val="008815FE"/>
  </w:style>
  <w:style w:type="character" w:customStyle="1" w:styleId="1TtuloChar">
    <w:name w:val="1 Título Char"/>
    <w:basedOn w:val="PargrafodaListaChar"/>
    <w:link w:val="1Ttulo"/>
    <w:rsid w:val="00292A0E"/>
    <w:rPr>
      <w:rFonts w:ascii="Georgia Pro Black" w:hAnsi="Georgia Pro Black"/>
      <w:b/>
      <w:bCs/>
      <w:noProof/>
      <w:spacing w:val="10"/>
      <w:sz w:val="26"/>
      <w:szCs w:val="26"/>
    </w:rPr>
  </w:style>
  <w:style w:type="character" w:customStyle="1" w:styleId="2CitaoChar">
    <w:name w:val="2 Citação Char"/>
    <w:basedOn w:val="Fontepargpadro"/>
    <w:link w:val="2Citao"/>
    <w:rsid w:val="00A32627"/>
    <w:rPr>
      <w:rFonts w:ascii="Roboto" w:hAnsi="Roboto"/>
      <w:sz w:val="20"/>
      <w:szCs w:val="20"/>
    </w:rPr>
  </w:style>
  <w:style w:type="paragraph" w:styleId="Subttulo">
    <w:name w:val="Subtitle"/>
    <w:basedOn w:val="Normal"/>
    <w:next w:val="Normal"/>
    <w:link w:val="SubttuloChar"/>
    <w:uiPriority w:val="11"/>
    <w:rsid w:val="00AB7E3C"/>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tuloChar">
    <w:name w:val="Subtítulo Char"/>
    <w:basedOn w:val="Fontepargpadro"/>
    <w:link w:val="Subttulo"/>
    <w:uiPriority w:val="11"/>
    <w:rsid w:val="00AB7E3C"/>
    <w:rPr>
      <w:rFonts w:eastAsiaTheme="minorEastAsia"/>
      <w:color w:val="5A5A5A" w:themeColor="text1" w:themeTint="A5"/>
      <w:spacing w:val="15"/>
    </w:rPr>
  </w:style>
  <w:style w:type="paragraph" w:styleId="Ttulo">
    <w:name w:val="Title"/>
    <w:basedOn w:val="Normal"/>
    <w:next w:val="Normal"/>
    <w:link w:val="TtuloChar"/>
    <w:uiPriority w:val="10"/>
    <w:rsid w:val="00AB7E3C"/>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B7E3C"/>
    <w:rPr>
      <w:rFonts w:asciiTheme="majorHAnsi" w:eastAsiaTheme="majorEastAsia" w:hAnsiTheme="majorHAnsi" w:cstheme="majorBidi"/>
      <w:spacing w:val="-10"/>
      <w:kern w:val="28"/>
      <w:sz w:val="56"/>
      <w:szCs w:val="56"/>
    </w:rPr>
  </w:style>
  <w:style w:type="paragraph" w:styleId="SemEspaamento">
    <w:name w:val="No Spacing"/>
    <w:uiPriority w:val="1"/>
    <w:rsid w:val="00AB7E3C"/>
    <w:pPr>
      <w:spacing w:after="0" w:line="240" w:lineRule="auto"/>
      <w:jc w:val="both"/>
    </w:pPr>
    <w:rPr>
      <w:rFonts w:ascii="Georgia Pro" w:hAnsi="Georgia Pro"/>
      <w:sz w:val="24"/>
      <w:szCs w:val="24"/>
    </w:rPr>
  </w:style>
  <w:style w:type="character" w:styleId="Hyperlink">
    <w:name w:val="Hyperlink"/>
    <w:basedOn w:val="Fontepargpadro"/>
    <w:uiPriority w:val="99"/>
    <w:unhideWhenUsed/>
    <w:rsid w:val="00975688"/>
    <w:rPr>
      <w:color w:val="0563C1" w:themeColor="hyperlink"/>
      <w:u w:val="single"/>
    </w:rPr>
  </w:style>
  <w:style w:type="character" w:styleId="MenoPendente">
    <w:name w:val="Unresolved Mention"/>
    <w:basedOn w:val="Fontepargpadro"/>
    <w:uiPriority w:val="99"/>
    <w:semiHidden/>
    <w:unhideWhenUsed/>
    <w:rsid w:val="00975688"/>
    <w:rPr>
      <w:color w:val="605E5C"/>
      <w:shd w:val="clear" w:color="auto" w:fill="E1DFDD"/>
    </w:rPr>
  </w:style>
  <w:style w:type="paragraph" w:customStyle="1" w:styleId="3Pargrafo">
    <w:name w:val="3 Parágrafo"/>
    <w:basedOn w:val="Normal"/>
    <w:link w:val="3PargrafoChar"/>
    <w:qFormat/>
    <w:rsid w:val="002C78D7"/>
    <w:pPr>
      <w:numPr>
        <w:numId w:val="3"/>
      </w:numPr>
      <w:ind w:left="0" w:firstLine="0"/>
    </w:pPr>
  </w:style>
  <w:style w:type="character" w:customStyle="1" w:styleId="3PargrafoChar">
    <w:name w:val="3 Parágrafo Char"/>
    <w:basedOn w:val="Fontepargpadro"/>
    <w:link w:val="3Pargrafo"/>
    <w:rsid w:val="002C78D7"/>
    <w:rPr>
      <w:rFonts w:ascii="Georgia Pro" w:hAnsi="Georgia Pro"/>
      <w:sz w:val="24"/>
      <w:szCs w:val="24"/>
    </w:rPr>
  </w:style>
  <w:style w:type="paragraph" w:customStyle="1" w:styleId="qwe">
    <w:name w:val="qwe"/>
    <w:qFormat/>
    <w:rsid w:val="000A339C"/>
    <w:pPr>
      <w:spacing w:after="60" w:line="240" w:lineRule="auto"/>
      <w:ind w:left="-108"/>
    </w:pPr>
    <w:rPr>
      <w:rFonts w:ascii="Georgia Pro" w:hAnsi="Georgia Pro"/>
      <w:spacing w:val="20"/>
      <w:sz w:val="16"/>
      <w:szCs w:val="16"/>
    </w:rPr>
  </w:style>
  <w:style w:type="paragraph" w:customStyle="1" w:styleId="weww">
    <w:name w:val="weww"/>
    <w:qFormat/>
    <w:rsid w:val="000A339C"/>
    <w:pPr>
      <w:spacing w:before="60" w:after="60"/>
      <w:ind w:left="-108"/>
    </w:pPr>
    <w:rPr>
      <w:rFonts w:ascii="Georgia Pro" w:hAnsi="Georgia Pro"/>
      <w:b/>
      <w:bCs/>
      <w:spacing w:val="2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51873">
      <w:bodyDiv w:val="1"/>
      <w:marLeft w:val="0"/>
      <w:marRight w:val="0"/>
      <w:marTop w:val="0"/>
      <w:marBottom w:val="0"/>
      <w:divBdr>
        <w:top w:val="none" w:sz="0" w:space="0" w:color="auto"/>
        <w:left w:val="none" w:sz="0" w:space="0" w:color="auto"/>
        <w:bottom w:val="none" w:sz="0" w:space="0" w:color="auto"/>
        <w:right w:val="none" w:sz="0" w:space="0" w:color="auto"/>
      </w:divBdr>
    </w:div>
    <w:div w:id="149699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Assinatura_D._Manuel_II.sv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1203</Words>
  <Characters>6502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Leal Machado</dc:creator>
  <cp:keywords/>
  <dc:description/>
  <cp:lastModifiedBy>Julio Xavier</cp:lastModifiedBy>
  <cp:revision>4</cp:revision>
  <cp:lastPrinted>2025-05-16T18:59:00Z</cp:lastPrinted>
  <dcterms:created xsi:type="dcterms:W3CDTF">2025-05-16T00:25:00Z</dcterms:created>
  <dcterms:modified xsi:type="dcterms:W3CDTF">2025-05-16T19:00:00Z</dcterms:modified>
</cp:coreProperties>
</file>