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4E2CE" w14:textId="1FBF601A" w:rsidR="009B30AA" w:rsidRPr="00B920C6" w:rsidRDefault="00DF1BB4" w:rsidP="00B91D17">
      <w:pPr>
        <w:pStyle w:val="ender1"/>
        <w:spacing w:before="240"/>
      </w:pPr>
      <w:r w:rsidRPr="00B920C6">
        <w:t>Excelentíssimo Senhor Doutor Ministro</w:t>
      </w:r>
    </w:p>
    <w:p w14:paraId="661DF3DB" w14:textId="5C307503" w:rsidR="00D43BC8" w:rsidRDefault="00D43BC8" w:rsidP="00DE20F3">
      <w:pPr>
        <w:pStyle w:val="ender2"/>
      </w:pPr>
      <w:r w:rsidRPr="00280A41">
        <w:t>Presidente do Supremo Tribunal Federal</w:t>
      </w:r>
    </w:p>
    <w:p w14:paraId="47746430" w14:textId="77777777" w:rsidR="001E22E3" w:rsidRDefault="001E22E3" w:rsidP="00BA7330">
      <w:pPr>
        <w:pStyle w:val="resini"/>
        <w:ind w:left="1843"/>
        <w:rPr>
          <w:i/>
          <w:iCs/>
        </w:rPr>
      </w:pPr>
    </w:p>
    <w:p w14:paraId="1EB0C716" w14:textId="7E10BC05" w:rsidR="001E22E3" w:rsidRDefault="001E22E3" w:rsidP="00B91D17">
      <w:pPr>
        <w:pStyle w:val="qualificao"/>
        <w:spacing w:before="120"/>
        <w:ind w:left="0"/>
      </w:pPr>
      <w:r>
        <w:rPr>
          <w:b/>
          <w:smallCaps/>
        </w:rPr>
        <w:t>Ana</w:t>
      </w:r>
      <w:r w:rsidRPr="00C47364">
        <w:rPr>
          <w:b/>
          <w:smallCaps/>
        </w:rPr>
        <w:t xml:space="preserve"> </w:t>
      </w:r>
      <w:r>
        <w:rPr>
          <w:b/>
          <w:smallCaps/>
        </w:rPr>
        <w:t xml:space="preserve">Carla </w:t>
      </w:r>
      <w:r w:rsidRPr="00C47364">
        <w:rPr>
          <w:b/>
          <w:smallCaps/>
        </w:rPr>
        <w:t>Martins</w:t>
      </w:r>
      <w:r w:rsidRPr="00C47364">
        <w:t>, brasileir</w:t>
      </w:r>
      <w:r>
        <w:t>a</w:t>
      </w:r>
      <w:r w:rsidRPr="00C47364">
        <w:t>, casad</w:t>
      </w:r>
      <w:r w:rsidR="00DE1912">
        <w:t>a</w:t>
      </w:r>
      <w:r w:rsidRPr="00C47364">
        <w:t>, advogad</w:t>
      </w:r>
      <w:r>
        <w:t>a</w:t>
      </w:r>
      <w:r w:rsidRPr="00C47364">
        <w:t xml:space="preserve"> inscrit</w:t>
      </w:r>
      <w:r>
        <w:t>a</w:t>
      </w:r>
      <w:r w:rsidRPr="00C47364">
        <w:t xml:space="preserve"> nos quadros da OAB/SP sob o </w:t>
      </w:r>
      <w:r>
        <w:t>Nº</w:t>
      </w:r>
      <w:r w:rsidRPr="00C47364">
        <w:t xml:space="preserve"> </w:t>
      </w:r>
      <w:r>
        <w:t>123</w:t>
      </w:r>
      <w:r w:rsidRPr="00C47364">
        <w:t>.</w:t>
      </w:r>
      <w:r>
        <w:t>456</w:t>
      </w:r>
      <w:r w:rsidRPr="00C47364">
        <w:t>;</w:t>
      </w:r>
      <w:r w:rsidR="006469A7">
        <w:t xml:space="preserve"> &amp;</w:t>
      </w:r>
    </w:p>
    <w:p w14:paraId="48578D3A" w14:textId="77777777" w:rsidR="005F4A5E" w:rsidRDefault="001E22E3" w:rsidP="005F4A5E">
      <w:pPr>
        <w:pStyle w:val="qualificao"/>
        <w:spacing w:after="360"/>
        <w:ind w:left="0"/>
      </w:pPr>
      <w:r w:rsidRPr="00C47364">
        <w:rPr>
          <w:b/>
          <w:smallCaps/>
        </w:rPr>
        <w:t xml:space="preserve">Valeska </w:t>
      </w:r>
      <w:r>
        <w:rPr>
          <w:b/>
          <w:smallCaps/>
        </w:rPr>
        <w:t>Fontes</w:t>
      </w:r>
      <w:r w:rsidRPr="00C47364">
        <w:rPr>
          <w:b/>
          <w:smallCaps/>
        </w:rPr>
        <w:t xml:space="preserve"> </w:t>
      </w:r>
      <w:r>
        <w:rPr>
          <w:b/>
          <w:smallCaps/>
        </w:rPr>
        <w:t>da Silva</w:t>
      </w:r>
      <w:r w:rsidRPr="00C47364">
        <w:t xml:space="preserve">, brasileira, casada, advogada inscrita nos quadros da OAB/SP sob o </w:t>
      </w:r>
      <w:r>
        <w:t>N</w:t>
      </w:r>
      <w:r w:rsidRPr="00C47364">
        <w:t xml:space="preserve">º </w:t>
      </w:r>
      <w:r>
        <w:t>789</w:t>
      </w:r>
      <w:r w:rsidRPr="00C47364">
        <w:t>.</w:t>
      </w:r>
      <w:r>
        <w:t>123</w:t>
      </w:r>
      <w:r w:rsidRPr="00C47364">
        <w:t>;</w:t>
      </w:r>
    </w:p>
    <w:p w14:paraId="5163E301" w14:textId="16D36F0A" w:rsidR="001E22E3" w:rsidRDefault="001E22E3" w:rsidP="005F4A5E">
      <w:pPr>
        <w:pStyle w:val="qualificao"/>
        <w:spacing w:after="360"/>
        <w:ind w:left="0"/>
      </w:pPr>
      <w:r w:rsidRPr="00C47364">
        <w:t xml:space="preserve">todos com endereço profissional na Rua </w:t>
      </w:r>
      <w:r>
        <w:t>das Entrelinhas</w:t>
      </w:r>
      <w:r w:rsidRPr="00C47364">
        <w:t xml:space="preserve">, </w:t>
      </w:r>
      <w:r>
        <w:t>Nº 123</w:t>
      </w:r>
      <w:r w:rsidRPr="00C47364">
        <w:t xml:space="preserve">, </w:t>
      </w:r>
      <w:r>
        <w:t>20º</w:t>
      </w:r>
      <w:r w:rsidRPr="00C47364">
        <w:t xml:space="preserve"> andar, Jardim </w:t>
      </w:r>
      <w:r>
        <w:t>das Letras</w:t>
      </w:r>
      <w:r w:rsidRPr="00C47364">
        <w:t xml:space="preserve">, CEP </w:t>
      </w:r>
      <w:r>
        <w:t>12345</w:t>
      </w:r>
      <w:r w:rsidRPr="00C47364">
        <w:t>-001, São Paulo/SP, vêm, respeitosamente, à presença de Vossa Excelência com fundamento nos arts. 5</w:t>
      </w:r>
      <w:r>
        <w:t>º</w:t>
      </w:r>
      <w:r w:rsidRPr="00C47364">
        <w:t>, inciso LXVIII e 102, inciso I, alínea “i”, ambos da Constituição da República, nos arts. 647, 648, inciso VI, ambos do Código de Processo Penal, art. 25, itens 1 e 2, da Convenção Americana de Direitos Humanos (Decreto no 678/92); art. 9, itens 1 e 4, do Pacto Internacional sobre Direitos Civis e Políticos (Decreto no 592/92); art. VIII da Declaração Universal dos Direitos Humanos; arts.188, 189, I e II, 193, II, do Regimento Interno do Supremo Tribunal Federal, impetrar ordem de</w:t>
      </w:r>
    </w:p>
    <w:p w14:paraId="0008775B" w14:textId="77777777" w:rsidR="001E22E3" w:rsidRPr="003D07A5" w:rsidRDefault="001E22E3" w:rsidP="001E22E3">
      <w:pPr>
        <w:pStyle w:val="HC"/>
        <w:rPr>
          <w:color w:val="auto"/>
        </w:rPr>
      </w:pPr>
      <w:r w:rsidRPr="003D07A5">
        <w:rPr>
          <w:color w:val="auto"/>
        </w:rPr>
        <w:t>HABEAS CORPUS</w:t>
      </w:r>
    </w:p>
    <w:p w14:paraId="5FD7974D" w14:textId="77777777" w:rsidR="001E22E3" w:rsidRDefault="001E22E3" w:rsidP="001E22E3">
      <w:pPr>
        <w:pStyle w:val="liminar"/>
        <w:rPr>
          <w:color w:val="023E49"/>
        </w:rPr>
      </w:pPr>
      <w:r w:rsidRPr="003D07A5">
        <w:rPr>
          <w:color w:val="auto"/>
        </w:rPr>
        <w:t>com pedido liminar</w:t>
      </w:r>
    </w:p>
    <w:p w14:paraId="6CD45C7B" w14:textId="01332749" w:rsidR="006469A7" w:rsidRDefault="001E22E3" w:rsidP="006469A7">
      <w:pPr>
        <w:pStyle w:val="qualtexto"/>
        <w:spacing w:before="360"/>
      </w:pPr>
      <w:r w:rsidRPr="00720C9D">
        <w:t xml:space="preserve">em favor de </w:t>
      </w:r>
      <w:r>
        <w:rPr>
          <w:b/>
          <w:smallCaps/>
        </w:rPr>
        <w:t>Marcos Avenir Silvestre</w:t>
      </w:r>
      <w:r w:rsidRPr="00720C9D">
        <w:rPr>
          <w:b/>
          <w:smallCaps/>
        </w:rPr>
        <w:t xml:space="preserve"> </w:t>
      </w:r>
      <w:r w:rsidRPr="00720C9D">
        <w:t>(“Paciente”</w:t>
      </w:r>
      <w:r>
        <w:t>)</w:t>
      </w:r>
      <w:r w:rsidRPr="00720C9D">
        <w:t>, brasileiro, viúvo, torneiro mecânico,</w:t>
      </w:r>
      <w:r>
        <w:t xml:space="preserve"> </w:t>
      </w:r>
      <w:r w:rsidRPr="00720C9D">
        <w:t xml:space="preserve">portador da Cédula de Identidade RG </w:t>
      </w:r>
      <w:r>
        <w:t>Nº 12</w:t>
      </w:r>
      <w:r w:rsidRPr="00720C9D">
        <w:t>.</w:t>
      </w:r>
      <w:r>
        <w:t>345</w:t>
      </w:r>
      <w:r w:rsidRPr="00720C9D">
        <w:t>.</w:t>
      </w:r>
      <w:r>
        <w:t>678-9</w:t>
      </w:r>
      <w:r w:rsidRPr="00720C9D">
        <w:t xml:space="preserve">, inscrito no CPF/MF sob o </w:t>
      </w:r>
      <w:r>
        <w:t>Nº 123</w:t>
      </w:r>
      <w:r w:rsidRPr="00720C9D">
        <w:t>.</w:t>
      </w:r>
      <w:r>
        <w:t>456</w:t>
      </w:r>
      <w:r w:rsidRPr="00720C9D">
        <w:t>.</w:t>
      </w:r>
      <w:r>
        <w:t>789</w:t>
      </w:r>
      <w:r w:rsidRPr="00720C9D">
        <w:t>-</w:t>
      </w:r>
      <w:r>
        <w:t>12</w:t>
      </w:r>
      <w:r w:rsidRPr="00720C9D">
        <w:t xml:space="preserve">, com residência na Av. Francisco </w:t>
      </w:r>
      <w:r>
        <w:t>Fontes</w:t>
      </w:r>
      <w:r w:rsidRPr="00720C9D">
        <w:t>, n</w:t>
      </w:r>
      <w:r>
        <w:t>º</w:t>
      </w:r>
      <w:r w:rsidRPr="00720C9D">
        <w:t xml:space="preserve"> 1.</w:t>
      </w:r>
      <w:r>
        <w:t>234</w:t>
      </w:r>
      <w:r w:rsidRPr="00720C9D">
        <w:t>, bloco 01,</w:t>
      </w:r>
      <w:r>
        <w:t xml:space="preserve"> </w:t>
      </w:r>
      <w:r w:rsidRPr="00720C9D">
        <w:t xml:space="preserve">apartamento 122, Bairro </w:t>
      </w:r>
      <w:r>
        <w:t>Centro</w:t>
      </w:r>
      <w:r w:rsidRPr="00720C9D">
        <w:t>, S</w:t>
      </w:r>
      <w:r>
        <w:t>anta Letra</w:t>
      </w:r>
      <w:r w:rsidRPr="00720C9D">
        <w:t xml:space="preserve"> (SP), </w:t>
      </w:r>
      <w:r w:rsidRPr="000C12EE">
        <w:rPr>
          <w:b/>
          <w:bCs/>
        </w:rPr>
        <w:t>que está a sofrer coação ilegal imposta pelo Colendo Superior Tribunal de Justiça</w:t>
      </w:r>
      <w:r w:rsidRPr="00720C9D">
        <w:t>, por meio</w:t>
      </w:r>
      <w:r>
        <w:t xml:space="preserve"> </w:t>
      </w:r>
      <w:r w:rsidRPr="00720C9D">
        <w:t xml:space="preserve">de sua ilustre </w:t>
      </w:r>
      <w:r>
        <w:t>3ª</w:t>
      </w:r>
      <w:r w:rsidRPr="00720C9D">
        <w:t xml:space="preserve"> Turma (Autoridade Coatora)</w:t>
      </w:r>
      <w:r>
        <w:t>.</w:t>
      </w:r>
      <w:r w:rsidR="006469A7">
        <w:br w:type="page"/>
      </w:r>
    </w:p>
    <w:p w14:paraId="222BA516" w14:textId="4782A419" w:rsidR="00092BAE" w:rsidRDefault="003A6A6F" w:rsidP="003A6A6F">
      <w:pPr>
        <w:pStyle w:val="sntese"/>
        <w:tabs>
          <w:tab w:val="left" w:pos="2701"/>
        </w:tabs>
        <w:spacing w:before="600" w:after="600"/>
        <w:ind w:left="0"/>
      </w:pPr>
      <w:r>
        <w:lastRenderedPageBreak/>
        <w:tab/>
      </w:r>
    </w:p>
    <w:p w14:paraId="4D19EC6E" w14:textId="1CCDE735" w:rsidR="000C7893" w:rsidRPr="003D07A5" w:rsidRDefault="00485D04" w:rsidP="004F31A6">
      <w:pPr>
        <w:pStyle w:val="sntese"/>
        <w:spacing w:before="600" w:after="600"/>
        <w:ind w:left="0"/>
        <w:jc w:val="center"/>
        <w:rPr>
          <w:color w:val="auto"/>
        </w:rPr>
      </w:pPr>
      <w:r w:rsidRPr="003D07A5">
        <w:rPr>
          <w:color w:val="auto"/>
        </w:rPr>
        <w:t>Síntese</w:t>
      </w:r>
      <w:r w:rsidR="00D91950" w:rsidRPr="003D07A5">
        <w:rPr>
          <w:color w:val="auto"/>
        </w:rPr>
        <w:t xml:space="preserve"> d</w:t>
      </w:r>
      <w:r w:rsidR="00DE1912" w:rsidRPr="003D07A5">
        <w:rPr>
          <w:color w:val="auto"/>
        </w:rPr>
        <w:t xml:space="preserve">a impetração </w:t>
      </w:r>
      <w:r w:rsidR="00D91950" w:rsidRPr="003D07A5">
        <w:rPr>
          <w:color w:val="auto"/>
        </w:rPr>
        <w:t>em tópicos</w:t>
      </w:r>
    </w:p>
    <w:p w14:paraId="5D204238" w14:textId="5E23CDC1" w:rsidR="001B068A" w:rsidRDefault="006F3304" w:rsidP="00D91950">
      <w:pPr>
        <w:pStyle w:val="sntesecontedo"/>
        <w:ind w:left="0"/>
      </w:pPr>
      <w:r w:rsidRPr="006F3304">
        <w:rPr>
          <w:b/>
          <w:bCs/>
        </w:rPr>
        <w:t xml:space="preserve">Constrangimento ilegal </w:t>
      </w:r>
      <w:r w:rsidRPr="006F3304">
        <w:t xml:space="preserve">decorrente de decisão da Vara Única de </w:t>
      </w:r>
      <w:r>
        <w:t>Santa Letra</w:t>
      </w:r>
      <w:r w:rsidRPr="006F3304">
        <w:t xml:space="preserve"> (</w:t>
      </w:r>
      <w:r w:rsidR="00DF2B42">
        <w:t>SP</w:t>
      </w:r>
      <w:r w:rsidRPr="006F3304">
        <w:t>) que decretou a prisão preventiva do paciente com base em fundamentação genérica (CPP, art. 315, § 2º, III)</w:t>
      </w:r>
      <w:r>
        <w:t>;</w:t>
      </w:r>
    </w:p>
    <w:p w14:paraId="0A956E54" w14:textId="3D7252CA" w:rsidR="006F3304" w:rsidRDefault="006F3304" w:rsidP="00D91950">
      <w:pPr>
        <w:pStyle w:val="sntesecontedo"/>
        <w:ind w:left="0"/>
      </w:pPr>
      <w:r w:rsidRPr="006F3304">
        <w:rPr>
          <w:b/>
          <w:bCs/>
        </w:rPr>
        <w:t>A decisão não justificou</w:t>
      </w:r>
      <w:r w:rsidRPr="006F3304">
        <w:t xml:space="preserve"> de forma concreta o descabimento das medidas cautelares alternativas à prisão (CPP, art. 282, § 6º), limitando-se a transcrever alegações da vítima sem estabelecer a necessidade da prisão</w:t>
      </w:r>
      <w:r>
        <w:t>;</w:t>
      </w:r>
    </w:p>
    <w:p w14:paraId="3030A936" w14:textId="558BB91F" w:rsidR="006F3304" w:rsidRDefault="006F3304" w:rsidP="00D91950">
      <w:pPr>
        <w:pStyle w:val="sntesecontedo"/>
        <w:ind w:left="0"/>
      </w:pPr>
      <w:r w:rsidRPr="006F3304">
        <w:rPr>
          <w:b/>
          <w:bCs/>
        </w:rPr>
        <w:t>No Tribunal de Justiça d</w:t>
      </w:r>
      <w:r w:rsidR="00DF2B42">
        <w:rPr>
          <w:b/>
          <w:bCs/>
        </w:rPr>
        <w:t>e</w:t>
      </w:r>
      <w:r w:rsidRPr="006F3304">
        <w:rPr>
          <w:b/>
          <w:bCs/>
        </w:rPr>
        <w:t xml:space="preserve"> </w:t>
      </w:r>
      <w:r w:rsidR="00DF2B42">
        <w:rPr>
          <w:b/>
          <w:bCs/>
        </w:rPr>
        <w:t>SP</w:t>
      </w:r>
      <w:r w:rsidRPr="006F3304">
        <w:t xml:space="preserve">, a liminar </w:t>
      </w:r>
      <w:r>
        <w:t xml:space="preserve">em HC </w:t>
      </w:r>
      <w:r w:rsidRPr="006F3304">
        <w:t xml:space="preserve">foi indeferida com base apenas na gravidade </w:t>
      </w:r>
      <w:r>
        <w:t xml:space="preserve">abstrata </w:t>
      </w:r>
      <w:r w:rsidRPr="006F3304">
        <w:t>dos crimes, sem fundamentação jurídica adequada (CF, art. 93, IX)</w:t>
      </w:r>
      <w:r>
        <w:t>;</w:t>
      </w:r>
    </w:p>
    <w:p w14:paraId="48550A8B" w14:textId="74946D9F" w:rsidR="006F3304" w:rsidRDefault="006F3304" w:rsidP="00D91950">
      <w:pPr>
        <w:pStyle w:val="sntesecontedo"/>
        <w:ind w:left="0"/>
      </w:pPr>
      <w:r w:rsidRPr="006F3304">
        <w:rPr>
          <w:b/>
          <w:bCs/>
        </w:rPr>
        <w:t>A negativa foi baseada em concepções subjetivas</w:t>
      </w:r>
      <w:r w:rsidRPr="006F3304">
        <w:t xml:space="preserve"> da magistrada, ignorando a legalidade da prisão e a presunção de inocência</w:t>
      </w:r>
      <w:r>
        <w:t>;</w:t>
      </w:r>
    </w:p>
    <w:p w14:paraId="5CA54B8C" w14:textId="4184D689" w:rsidR="006F3304" w:rsidRDefault="006F3304" w:rsidP="001E22E3">
      <w:pPr>
        <w:pStyle w:val="sntesecontedo"/>
        <w:ind w:left="0"/>
      </w:pPr>
      <w:r w:rsidRPr="006F3304">
        <w:rPr>
          <w:b/>
          <w:bCs/>
        </w:rPr>
        <w:t>No STJ, a Ministra Relatora denegou a liminar</w:t>
      </w:r>
      <w:r w:rsidRPr="006F3304">
        <w:t xml:space="preserve"> afirmando que não havia ilegalidade manifesta, apesar das decisões anteriores estarem baseadas em argumentos genéricos</w:t>
      </w:r>
      <w:r>
        <w:t>;</w:t>
      </w:r>
    </w:p>
    <w:p w14:paraId="198CA2FB" w14:textId="678D46D3" w:rsidR="006F3304" w:rsidRDefault="006F3304" w:rsidP="001E22E3">
      <w:pPr>
        <w:pStyle w:val="sntesecontedo"/>
        <w:ind w:left="0"/>
      </w:pPr>
      <w:r w:rsidRPr="006F3304">
        <w:rPr>
          <w:b/>
          <w:bCs/>
        </w:rPr>
        <w:t>O STJ perpetuou o constrangimento ilegal</w:t>
      </w:r>
      <w:r w:rsidRPr="006F3304">
        <w:t xml:space="preserve"> ao manter a prisão preventiva sem fundamentos concretos e ao validar decisão do TJRJ sem justificativa adequada</w:t>
      </w:r>
      <w:r>
        <w:t>;</w:t>
      </w:r>
    </w:p>
    <w:p w14:paraId="6BDBDCF9" w14:textId="663B180C" w:rsidR="006F3304" w:rsidRDefault="006F3304" w:rsidP="001E22E3">
      <w:pPr>
        <w:pStyle w:val="sntesecontedo"/>
        <w:ind w:left="0"/>
      </w:pPr>
      <w:r w:rsidRPr="006F3304">
        <w:rPr>
          <w:b/>
          <w:bCs/>
        </w:rPr>
        <w:t>Violação dos princípios constitucionais</w:t>
      </w:r>
      <w:r w:rsidRPr="006F3304">
        <w:t xml:space="preserve"> da fundamentação das decisões, presunção de inocência e imparcialidade</w:t>
      </w:r>
      <w:r>
        <w:t>;</w:t>
      </w:r>
    </w:p>
    <w:p w14:paraId="6E8C5E1F" w14:textId="4ED55E31" w:rsidR="006F3304" w:rsidRDefault="006F3304" w:rsidP="001E22E3">
      <w:pPr>
        <w:pStyle w:val="sntesecontedo"/>
        <w:ind w:left="0"/>
      </w:pPr>
      <w:r w:rsidRPr="006F3304">
        <w:rPr>
          <w:b/>
          <w:bCs/>
        </w:rPr>
        <w:t>Nulidade das decisões</w:t>
      </w:r>
      <w:r w:rsidRPr="006F3304">
        <w:t xml:space="preserve"> atacadas devido à falta de fundamentação</w:t>
      </w:r>
      <w:r>
        <w:t>;</w:t>
      </w:r>
    </w:p>
    <w:p w14:paraId="68D2765C" w14:textId="3148CD6A" w:rsidR="004F31A6" w:rsidRDefault="006F3304" w:rsidP="00B91D17">
      <w:pPr>
        <w:pStyle w:val="sntesecontedo"/>
        <w:ind w:left="0"/>
        <w:sectPr w:rsidR="004F31A6" w:rsidSect="006F3304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8" w:right="1701" w:bottom="1418" w:left="1701" w:header="709" w:footer="709" w:gutter="0"/>
          <w:cols w:space="708"/>
          <w:titlePg/>
          <w:docGrid w:linePitch="360"/>
        </w:sectPr>
      </w:pPr>
      <w:r w:rsidRPr="006F3304">
        <w:rPr>
          <w:b/>
          <w:bCs/>
        </w:rPr>
        <w:t>Necessária a concessão da ordem</w:t>
      </w:r>
      <w:r w:rsidRPr="006F3304">
        <w:t xml:space="preserve"> para revogação da prisão preventiva ou, subsidiariamente, nova decisão fundamentada pelo TJ</w:t>
      </w:r>
      <w:r w:rsidR="00DF2B42">
        <w:t>SP</w:t>
      </w:r>
    </w:p>
    <w:p w14:paraId="2BCCB564" w14:textId="50FD22B0" w:rsidR="006469A7" w:rsidRPr="00BA7330" w:rsidRDefault="006469A7" w:rsidP="006469A7">
      <w:pPr>
        <w:pStyle w:val="resini"/>
        <w:ind w:left="851"/>
        <w:rPr>
          <w:i/>
          <w:iCs/>
        </w:rPr>
      </w:pPr>
      <w:r w:rsidRPr="00BA7330">
        <w:rPr>
          <w:i/>
          <w:iCs/>
        </w:rPr>
        <w:lastRenderedPageBreak/>
        <w:t>"[O objetivo] ao decretar uma prisão preventiva não deve ser meramente cercear a liberdade, mas proteger os valores essenciais da justiça. O magistrado deve atuar como fiel aplicador da lei, assegurando que essa medida extrema só seja empregada quando estritamente necessária, garantindo que o acusado não interfira na ordem pública ou na instrução do processo. No entanto, jamais poderá impor tal restrição sem uma fundamentação concreta e legítima. Embora a gravidade do delito possa exigir a prisão preventiva, a decisão precisa ser amparada por fatos claros e inequívocos. Privar alguém de sua liberdade sem razões bem justificadas é tão contrário à justiça quanto deixar de aplicar as medidas adequadas quando justificadas. O Estado de Direito exige que o rigor da lei esteja sempre pautado pelo equilíbrio entre a necessidade e a proporcionalidade.”</w:t>
      </w:r>
    </w:p>
    <w:p w14:paraId="6757875B" w14:textId="261A4205" w:rsidR="006469A7" w:rsidRPr="003D07A5" w:rsidRDefault="006469A7" w:rsidP="006469A7">
      <w:pPr>
        <w:pStyle w:val="descresini"/>
        <w:ind w:left="851"/>
        <w:rPr>
          <w:smallCaps/>
          <w:color w:val="auto"/>
        </w:rPr>
      </w:pPr>
      <w:r w:rsidRPr="003D07A5">
        <w:rPr>
          <w:smallCaps/>
          <w:color w:val="auto"/>
        </w:rPr>
        <w:t>Suprema Corte dos Estados Unidos, Avenir v. United States, j</w:t>
      </w:r>
      <w:r w:rsidR="003D07A5">
        <w:rPr>
          <w:smallCaps/>
          <w:color w:val="auto"/>
        </w:rPr>
        <w:t xml:space="preserve">. </w:t>
      </w:r>
      <w:r w:rsidRPr="003D07A5">
        <w:rPr>
          <w:smallCaps/>
          <w:color w:val="auto"/>
        </w:rPr>
        <w:t>em 1987.</w:t>
      </w:r>
    </w:p>
    <w:p w14:paraId="7135C88B" w14:textId="23F09995" w:rsidR="006A127E" w:rsidRDefault="006A127E">
      <w:pPr>
        <w:rPr>
          <w:rFonts w:ascii="Spectral" w:hAnsi="Spectral"/>
          <w:b/>
          <w:smallCaps/>
          <w:sz w:val="24"/>
          <w:szCs w:val="24"/>
        </w:rPr>
      </w:pPr>
    </w:p>
    <w:p w14:paraId="059220EC" w14:textId="756A9D32" w:rsidR="00720C9D" w:rsidRPr="003D07A5" w:rsidRDefault="00DF2B42" w:rsidP="003D07A5">
      <w:pPr>
        <w:pStyle w:val="1Ttulo"/>
        <w:rPr>
          <w:rFonts w:cstheme="minorBidi"/>
        </w:rPr>
      </w:pPr>
      <w:r w:rsidRPr="003D07A5">
        <w:t>Objeto da impetração</w:t>
      </w:r>
    </w:p>
    <w:p w14:paraId="1F35CEB2" w14:textId="0821128A" w:rsidR="00DF2B42" w:rsidRPr="00BA7330" w:rsidRDefault="00176690" w:rsidP="00BA7330">
      <w:pPr>
        <w:pStyle w:val="11Descriodottulo"/>
      </w:pPr>
      <w:r>
        <w:rPr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1A27D71" wp14:editId="3114D8CB">
            <wp:simplePos x="0" y="0"/>
            <wp:positionH relativeFrom="column">
              <wp:posOffset>926465</wp:posOffset>
            </wp:positionH>
            <wp:positionV relativeFrom="paragraph">
              <wp:posOffset>4357370</wp:posOffset>
            </wp:positionV>
            <wp:extent cx="304800" cy="304800"/>
            <wp:effectExtent l="0" t="0" r="0" b="0"/>
            <wp:wrapNone/>
            <wp:docPr id="1681362875" name="Gráfico 1" descr="Acento Circunflexo para Baixo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62875" name="Gráfico 1681362875" descr="Acento Circunflexo para Baixo estrutura de tópicos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2DD">
        <w:t>Prisão preventiva lastreada em decisão genérica</w:t>
      </w:r>
      <w:r w:rsidR="002D34AA">
        <w:t>. ilegalidade.</w:t>
      </w:r>
      <w:r w:rsidR="00A142DD">
        <w:t xml:space="preserve"> </w:t>
      </w:r>
    </w:p>
    <w:tbl>
      <w:tblPr>
        <w:tblStyle w:val="Tabelacomgrade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6463"/>
      </w:tblGrid>
      <w:tr w:rsidR="00176690" w14:paraId="3756FC47" w14:textId="77777777" w:rsidTr="003D07A5">
        <w:tc>
          <w:tcPr>
            <w:tcW w:w="1985" w:type="dxa"/>
            <w:tcBorders>
              <w:left w:val="nil"/>
              <w:right w:val="single" w:sz="4" w:space="0" w:color="000000" w:themeColor="text1"/>
            </w:tcBorders>
            <w:vAlign w:val="center"/>
          </w:tcPr>
          <w:p w14:paraId="49CF5740" w14:textId="694E3146" w:rsidR="00176690" w:rsidRPr="00131862" w:rsidRDefault="00176690" w:rsidP="00131862">
            <w:pPr>
              <w:pStyle w:val="Textotabelanegrito"/>
              <w:rPr>
                <w:rStyle w:val="3Destaquefortecinza"/>
                <w:color w:val="auto"/>
                <w:sz w:val="22"/>
                <w:szCs w:val="22"/>
              </w:rPr>
            </w:pPr>
            <w:r w:rsidRPr="00131862">
              <w:rPr>
                <w:rStyle w:val="3Destaquefortecinza"/>
                <w:color w:val="auto"/>
                <w:sz w:val="22"/>
                <w:szCs w:val="22"/>
              </w:rPr>
              <w:t>Vara Única</w:t>
            </w:r>
          </w:p>
        </w:tc>
        <w:tc>
          <w:tcPr>
            <w:tcW w:w="6463" w:type="dxa"/>
            <w:tcBorders>
              <w:lef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32530E43" w14:textId="607BD64B" w:rsidR="00176690" w:rsidRPr="00176690" w:rsidRDefault="00176690" w:rsidP="00131862">
            <w:pPr>
              <w:pStyle w:val="Textotabela"/>
              <w:rPr>
                <w:rStyle w:val="3Destaquefortecinza"/>
                <w:sz w:val="20"/>
                <w:szCs w:val="20"/>
              </w:rPr>
            </w:pPr>
            <w:r w:rsidRPr="00176690">
              <w:t xml:space="preserve">Decretada a prisão preventiva de V. </w:t>
            </w:r>
            <w:proofErr w:type="spellStart"/>
            <w:r w:rsidRPr="00176690">
              <w:t>da</w:t>
            </w:r>
            <w:proofErr w:type="spellEnd"/>
            <w:r w:rsidRPr="00176690">
              <w:t xml:space="preserve"> S. P. pelos crimes dos arts. 129, 147 e 217-A do CP, com base em fundamentação genérica, alegando risco à ordem pública, conveniência da instrução criminal e risco de fuga.</w:t>
            </w:r>
          </w:p>
        </w:tc>
      </w:tr>
      <w:tr w:rsidR="00176690" w14:paraId="1696D42E" w14:textId="77777777" w:rsidTr="003D07A5">
        <w:tc>
          <w:tcPr>
            <w:tcW w:w="1985" w:type="dxa"/>
            <w:tcBorders>
              <w:left w:val="nil"/>
              <w:right w:val="single" w:sz="4" w:space="0" w:color="000000" w:themeColor="text1"/>
            </w:tcBorders>
            <w:vAlign w:val="center"/>
          </w:tcPr>
          <w:p w14:paraId="1F1904C4" w14:textId="6212D0F8" w:rsidR="00176690" w:rsidRPr="00131862" w:rsidRDefault="00176690" w:rsidP="00131862">
            <w:pPr>
              <w:pStyle w:val="Textotabelanegrito"/>
              <w:rPr>
                <w:rStyle w:val="3Destaquefortecinza"/>
                <w:color w:val="auto"/>
                <w:sz w:val="22"/>
                <w:szCs w:val="22"/>
              </w:rPr>
            </w:pPr>
            <w:r w:rsidRPr="00131862">
              <w:rPr>
                <w:rStyle w:val="3Destaquefortecinza"/>
                <w:color w:val="auto"/>
                <w:sz w:val="22"/>
                <w:szCs w:val="22"/>
              </w:rPr>
              <w:t>HC no TJSP</w:t>
            </w:r>
          </w:p>
        </w:tc>
        <w:tc>
          <w:tcPr>
            <w:tcW w:w="6463" w:type="dxa"/>
            <w:tcBorders>
              <w:left w:val="single" w:sz="4" w:space="0" w:color="000000" w:themeColor="text1"/>
            </w:tcBorders>
            <w:vAlign w:val="center"/>
          </w:tcPr>
          <w:p w14:paraId="1DD885EF" w14:textId="257890B6" w:rsidR="00176690" w:rsidRPr="00176690" w:rsidRDefault="00176690" w:rsidP="00131862">
            <w:pPr>
              <w:pStyle w:val="Textotabela"/>
              <w:rPr>
                <w:rStyle w:val="3Destaquefortecinza"/>
                <w:sz w:val="20"/>
                <w:szCs w:val="20"/>
              </w:rPr>
            </w:pPr>
            <w:r w:rsidRPr="00176690">
              <w:t>Defesa impetra HC contra a prisão preventiva, alegando falta de fundamentação concreta para a decisão.</w:t>
            </w:r>
          </w:p>
        </w:tc>
      </w:tr>
      <w:tr w:rsidR="00176690" w14:paraId="56C1DB10" w14:textId="77777777" w:rsidTr="003D07A5">
        <w:tc>
          <w:tcPr>
            <w:tcW w:w="1985" w:type="dxa"/>
            <w:tcBorders>
              <w:left w:val="nil"/>
              <w:right w:val="single" w:sz="4" w:space="0" w:color="000000" w:themeColor="text1"/>
            </w:tcBorders>
            <w:vAlign w:val="center"/>
          </w:tcPr>
          <w:p w14:paraId="33569E96" w14:textId="7E5F3B44" w:rsidR="00176690" w:rsidRPr="00131862" w:rsidRDefault="00176690" w:rsidP="00131862">
            <w:pPr>
              <w:pStyle w:val="Textotabelanegrito"/>
              <w:rPr>
                <w:rStyle w:val="3Destaquefortecinza"/>
                <w:color w:val="auto"/>
                <w:sz w:val="22"/>
                <w:szCs w:val="22"/>
              </w:rPr>
            </w:pPr>
            <w:r w:rsidRPr="00131862">
              <w:rPr>
                <w:rStyle w:val="3Destaquefortecinza"/>
                <w:color w:val="auto"/>
                <w:sz w:val="22"/>
                <w:szCs w:val="22"/>
              </w:rPr>
              <w:t>Decisão no TJSP</w:t>
            </w:r>
          </w:p>
        </w:tc>
        <w:tc>
          <w:tcPr>
            <w:tcW w:w="6463" w:type="dxa"/>
            <w:tcBorders>
              <w:lef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1D0EAAF9" w14:textId="1FFE4CA6" w:rsidR="00176690" w:rsidRPr="00176690" w:rsidRDefault="00176690" w:rsidP="00131862">
            <w:pPr>
              <w:pStyle w:val="Textotabela"/>
              <w:rPr>
                <w:rStyle w:val="3Destaquefortecinza"/>
                <w:sz w:val="20"/>
                <w:szCs w:val="20"/>
              </w:rPr>
            </w:pPr>
            <w:r w:rsidRPr="00176690">
              <w:t>Desembargadora nega liminar no HC, fundamentando apenas na gravidade dos crimes, sem análise jurídica detalhada.</w:t>
            </w:r>
          </w:p>
        </w:tc>
      </w:tr>
      <w:tr w:rsidR="00176690" w14:paraId="64A62A72" w14:textId="77777777" w:rsidTr="003D07A5">
        <w:tc>
          <w:tcPr>
            <w:tcW w:w="1985" w:type="dxa"/>
            <w:tcBorders>
              <w:left w:val="nil"/>
              <w:right w:val="single" w:sz="4" w:space="0" w:color="000000" w:themeColor="text1"/>
            </w:tcBorders>
            <w:vAlign w:val="center"/>
          </w:tcPr>
          <w:p w14:paraId="65FDCF06" w14:textId="710D4DA5" w:rsidR="00176690" w:rsidRPr="00131862" w:rsidRDefault="00176690" w:rsidP="00131862">
            <w:pPr>
              <w:pStyle w:val="Textotabelanegrito"/>
              <w:rPr>
                <w:rStyle w:val="3Destaquefortecinza"/>
                <w:color w:val="auto"/>
                <w:sz w:val="22"/>
                <w:szCs w:val="22"/>
              </w:rPr>
            </w:pPr>
            <w:r w:rsidRPr="00131862">
              <w:rPr>
                <w:rStyle w:val="3Destaquefortecinza"/>
                <w:color w:val="auto"/>
                <w:sz w:val="22"/>
                <w:szCs w:val="22"/>
              </w:rPr>
              <w:t>HC no STJ</w:t>
            </w:r>
          </w:p>
        </w:tc>
        <w:tc>
          <w:tcPr>
            <w:tcW w:w="6463" w:type="dxa"/>
            <w:tcBorders>
              <w:left w:val="single" w:sz="4" w:space="0" w:color="000000" w:themeColor="text1"/>
            </w:tcBorders>
            <w:vAlign w:val="center"/>
          </w:tcPr>
          <w:p w14:paraId="54FC0DB1" w14:textId="3AAEEBDF" w:rsidR="00176690" w:rsidRPr="00176690" w:rsidRDefault="00176690" w:rsidP="00131862">
            <w:pPr>
              <w:pStyle w:val="Textotabela"/>
              <w:rPr>
                <w:rStyle w:val="3Destaquefortecinza"/>
                <w:sz w:val="20"/>
                <w:szCs w:val="20"/>
              </w:rPr>
            </w:pPr>
            <w:r w:rsidRPr="00176690">
              <w:t>Defesa leva o caso ao STJ, argumentando ilegalidade nas decisões anteriores (prisão com fundamentos genéricos e negativa de liminar sem fundamentação).</w:t>
            </w:r>
          </w:p>
        </w:tc>
      </w:tr>
      <w:tr w:rsidR="00176690" w14:paraId="73983824" w14:textId="77777777" w:rsidTr="003D07A5">
        <w:tc>
          <w:tcPr>
            <w:tcW w:w="1985" w:type="dxa"/>
            <w:tcBorders>
              <w:left w:val="nil"/>
              <w:right w:val="single" w:sz="4" w:space="0" w:color="000000" w:themeColor="text1"/>
            </w:tcBorders>
            <w:vAlign w:val="center"/>
          </w:tcPr>
          <w:p w14:paraId="55B74DE0" w14:textId="180C9705" w:rsidR="00176690" w:rsidRPr="00131862" w:rsidRDefault="00176690" w:rsidP="00131862">
            <w:pPr>
              <w:pStyle w:val="Textotabelanegrito"/>
              <w:rPr>
                <w:rStyle w:val="3Destaquefortecinza"/>
                <w:color w:val="auto"/>
                <w:sz w:val="22"/>
                <w:szCs w:val="22"/>
              </w:rPr>
            </w:pPr>
            <w:r w:rsidRPr="00131862">
              <w:rPr>
                <w:rStyle w:val="3Destaquefortecinza"/>
                <w:color w:val="auto"/>
                <w:sz w:val="22"/>
                <w:szCs w:val="22"/>
              </w:rPr>
              <w:t>Decisão no STJ</w:t>
            </w:r>
          </w:p>
        </w:tc>
        <w:tc>
          <w:tcPr>
            <w:tcW w:w="6463" w:type="dxa"/>
            <w:tcBorders>
              <w:left w:val="single" w:sz="4" w:space="0" w:color="000000" w:themeColor="text1"/>
            </w:tcBorders>
            <w:shd w:val="clear" w:color="auto" w:fill="F2F2F2" w:themeFill="background1" w:themeFillShade="F2"/>
            <w:vAlign w:val="center"/>
          </w:tcPr>
          <w:p w14:paraId="74336AE1" w14:textId="108C6832" w:rsidR="00176690" w:rsidRPr="00176690" w:rsidRDefault="00176690" w:rsidP="00131862">
            <w:pPr>
              <w:pStyle w:val="Textotabela"/>
              <w:rPr>
                <w:rStyle w:val="3Destaquefortecinza"/>
                <w:sz w:val="20"/>
                <w:szCs w:val="20"/>
              </w:rPr>
            </w:pPr>
            <w:r w:rsidRPr="00176690">
              <w:t>Ministra relatora nega a liminar no HC, afirmando que não houve manifesta ilegalidade e que a prisão foi baseada em elementos concretos.</w:t>
            </w:r>
          </w:p>
        </w:tc>
      </w:tr>
      <w:tr w:rsidR="00176690" w14:paraId="322F6A34" w14:textId="77777777" w:rsidTr="003D07A5">
        <w:tc>
          <w:tcPr>
            <w:tcW w:w="1985" w:type="dxa"/>
            <w:tcBorders>
              <w:left w:val="nil"/>
              <w:right w:val="single" w:sz="4" w:space="0" w:color="000000" w:themeColor="text1"/>
            </w:tcBorders>
            <w:vAlign w:val="center"/>
          </w:tcPr>
          <w:p w14:paraId="31AEA767" w14:textId="6332CD11" w:rsidR="00176690" w:rsidRPr="00131862" w:rsidRDefault="00176690" w:rsidP="00131862">
            <w:pPr>
              <w:pStyle w:val="Textotabelanegrito"/>
              <w:rPr>
                <w:rStyle w:val="3Destaquefortecinza"/>
                <w:color w:val="auto"/>
                <w:sz w:val="22"/>
                <w:szCs w:val="22"/>
              </w:rPr>
            </w:pPr>
            <w:r w:rsidRPr="00131862">
              <w:rPr>
                <w:rStyle w:val="3Destaquefortecinza"/>
                <w:color w:val="auto"/>
                <w:sz w:val="22"/>
                <w:szCs w:val="22"/>
              </w:rPr>
              <w:t>HC no STF</w:t>
            </w:r>
          </w:p>
        </w:tc>
        <w:tc>
          <w:tcPr>
            <w:tcW w:w="6463" w:type="dxa"/>
            <w:tcBorders>
              <w:left w:val="single" w:sz="4" w:space="0" w:color="000000" w:themeColor="text1"/>
            </w:tcBorders>
            <w:vAlign w:val="center"/>
          </w:tcPr>
          <w:p w14:paraId="1458EAAB" w14:textId="1FF49E9A" w:rsidR="00176690" w:rsidRPr="00176690" w:rsidRDefault="00176690" w:rsidP="00131862">
            <w:pPr>
              <w:pStyle w:val="Textotabela"/>
              <w:rPr>
                <w:rStyle w:val="3Destaquefortecinza"/>
                <w:sz w:val="20"/>
                <w:szCs w:val="20"/>
              </w:rPr>
            </w:pPr>
            <w:r w:rsidRPr="00176690">
              <w:t>Defesa alega constrangimento ilegal, solicitando que o STF reconheça a ilegalidade das decisões anteriores e conceda a ordem de ofício, destacando a ausência de fundamentação adequada e o constrangimento ilegal à liberdade.</w:t>
            </w:r>
          </w:p>
        </w:tc>
      </w:tr>
    </w:tbl>
    <w:p w14:paraId="453DEEAC" w14:textId="15308FAE" w:rsidR="00DE1912" w:rsidRDefault="00DE1912" w:rsidP="00131862">
      <w:pPr>
        <w:pStyle w:val="0Corpo"/>
        <w:rPr>
          <w:rStyle w:val="3Destaquefortecinza"/>
        </w:rPr>
      </w:pPr>
    </w:p>
    <w:p w14:paraId="2EC49542" w14:textId="77777777" w:rsidR="00176690" w:rsidRDefault="00176690" w:rsidP="00131862">
      <w:pPr>
        <w:pStyle w:val="0Corpo"/>
        <w:rPr>
          <w:rStyle w:val="3Destaquefortecinza"/>
        </w:rPr>
      </w:pPr>
    </w:p>
    <w:p w14:paraId="0362ACF9" w14:textId="103E688F" w:rsidR="00DF2B42" w:rsidRPr="00DF2B42" w:rsidRDefault="00DF2B42" w:rsidP="00131862">
      <w:pPr>
        <w:pStyle w:val="0Corpo"/>
      </w:pPr>
      <w:r w:rsidRPr="00100883">
        <w:rPr>
          <w:rStyle w:val="3Destaquefortecinza"/>
        </w:rPr>
        <w:lastRenderedPageBreak/>
        <w:t>Na</w:t>
      </w:r>
      <w:r w:rsidRPr="00DF2B42">
        <w:rPr>
          <w:b/>
          <w:bCs/>
          <w:color w:val="404040" w:themeColor="text1" w:themeTint="BF"/>
        </w:rPr>
        <w:t xml:space="preserve"> origem:</w:t>
      </w:r>
      <w:r w:rsidRPr="00DF2B42">
        <w:t xml:space="preserve"> </w:t>
      </w:r>
      <w:r w:rsidRPr="00DF2B42">
        <w:rPr>
          <w:i/>
          <w:iCs/>
        </w:rPr>
        <w:t>habeas corpus</w:t>
      </w:r>
      <w:r w:rsidRPr="00DF2B42">
        <w:t xml:space="preserve"> impetrado contra decisão da Vara Única da Comarca de </w:t>
      </w:r>
      <w:r>
        <w:t>Santa Letra</w:t>
      </w:r>
      <w:r w:rsidRPr="00DF2B42">
        <w:t xml:space="preserve"> (</w:t>
      </w:r>
      <w:r>
        <w:t>SP</w:t>
      </w:r>
      <w:r w:rsidRPr="00DF2B42">
        <w:t xml:space="preserve">) que decretou a prisão preventiva de V. </w:t>
      </w:r>
      <w:proofErr w:type="spellStart"/>
      <w:r w:rsidRPr="00DF2B42">
        <w:t>da</w:t>
      </w:r>
      <w:proofErr w:type="spellEnd"/>
      <w:r w:rsidRPr="00DF2B42">
        <w:t xml:space="preserve"> S. P. em razão da suposta prática dos delitos previstos nos arts. 129, 147 e 217-A, todos do Código Penal e no contexto da Lei 11.340/2006.</w:t>
      </w:r>
    </w:p>
    <w:p w14:paraId="7B927E5B" w14:textId="7F41541A" w:rsidR="00DF2B42" w:rsidRPr="00DF2B42" w:rsidRDefault="00DF2B42" w:rsidP="00131862">
      <w:pPr>
        <w:pStyle w:val="0Corpo"/>
      </w:pPr>
      <w:r w:rsidRPr="00DF2B42">
        <w:t xml:space="preserve">Conforme se extrai da decisão, a prisão preventiva lastrou-se em fundamentação genérica, constituída de fórmula capaz de justificar qualquer decisão (art. 315, § 2º, III, CPP). Afirmou o magistrado que “[...] </w:t>
      </w:r>
      <w:r w:rsidRPr="00DF2B42">
        <w:rPr>
          <w:i/>
          <w:iCs/>
        </w:rPr>
        <w:t>há necessidade de garantir a ordem pública, para evitar que os delitos narrados voltem a ser praticados contra as vítimas</w:t>
      </w:r>
      <w:r w:rsidRPr="00DF2B42">
        <w:t xml:space="preserve">”. Além disso, aduziu que a prisão era necessária “[...] </w:t>
      </w:r>
      <w:r w:rsidRPr="00DF2B42">
        <w:rPr>
          <w:i/>
          <w:iCs/>
        </w:rPr>
        <w:t>por conveniência da instrução criminal, tendo em vista a gravidade e periculosidade dos fatos, sua liberdade pode afetar as testemunhas e mesmo a integridade das vítimas</w:t>
      </w:r>
      <w:r w:rsidRPr="00DF2B42">
        <w:t xml:space="preserve">”. Manifestou, ainda, que “[...] V. </w:t>
      </w:r>
      <w:proofErr w:type="spellStart"/>
      <w:r w:rsidRPr="00DF2B42">
        <w:t>da</w:t>
      </w:r>
      <w:proofErr w:type="spellEnd"/>
      <w:r w:rsidRPr="00DF2B42">
        <w:t xml:space="preserve"> S. P.</w:t>
      </w:r>
      <w:r w:rsidRPr="00DF2B42">
        <w:rPr>
          <w:i/>
          <w:iCs/>
        </w:rPr>
        <w:t xml:space="preserve"> já foi preso, tomando ciência dos delitos supostamente praticados, sua liberdade pode interferir na aplicação da lei, eis que pode vir a evadir do local</w:t>
      </w:r>
      <w:r w:rsidRPr="00DF2B42">
        <w:t>”.</w:t>
      </w:r>
    </w:p>
    <w:p w14:paraId="3E066836" w14:textId="77777777" w:rsidR="00DF2B42" w:rsidRPr="00DF2B42" w:rsidRDefault="00DF2B42" w:rsidP="00131862">
      <w:pPr>
        <w:pStyle w:val="0Corpo"/>
      </w:pPr>
      <w:r w:rsidRPr="00DF2B42">
        <w:t xml:space="preserve">Note-se que, em parágrafo anterior ao que se extraiu os excertos acima, transcreveu o magistrado – gize-se, apenas transcreveu – as alegações da suposta vítima, e, em seguida, teceu as afirmações genéricas sobre a necessidade da segregação cautelar, sem contudo, explicar qual a relação de </w:t>
      </w:r>
      <w:r w:rsidRPr="00DF2B42">
        <w:rPr>
          <w:i/>
          <w:iCs/>
        </w:rPr>
        <w:t>causa e efeito</w:t>
      </w:r>
      <w:r w:rsidRPr="00DF2B42">
        <w:t xml:space="preserve"> entre ambos.</w:t>
      </w:r>
    </w:p>
    <w:p w14:paraId="2FCF8B19" w14:textId="77777777" w:rsidR="00DF2B42" w:rsidRDefault="00DF2B42" w:rsidP="00131862">
      <w:pPr>
        <w:pStyle w:val="0Corpo"/>
      </w:pPr>
      <w:r w:rsidRPr="00DF2B42">
        <w:t xml:space="preserve">Com efeito, é pacífica nos assentos desta Corte a inidoneidade da fundamentação de prisão preventiva lastreada em circunstâncias genéricas e impessoais </w:t>
      </w:r>
    </w:p>
    <w:p w14:paraId="2BA75E0B" w14:textId="77777777" w:rsidR="00DF2B42" w:rsidRPr="00BA7330" w:rsidRDefault="00DF2B42" w:rsidP="00DE1912">
      <w:pPr>
        <w:pStyle w:val="4Lista1"/>
        <w:ind w:hanging="567"/>
      </w:pPr>
      <w:r w:rsidRPr="00BA7330">
        <w:t xml:space="preserve">HC 121.286/PE, Rel. Min. Ricardo Lewandowski, 2ª Turma, DJe 30.5.2014; </w:t>
      </w:r>
    </w:p>
    <w:p w14:paraId="0E509D78" w14:textId="77777777" w:rsidR="00DF2B42" w:rsidRPr="00BA7330" w:rsidRDefault="00DF2B42" w:rsidP="00DE1912">
      <w:pPr>
        <w:pStyle w:val="4Lista1"/>
        <w:ind w:hanging="567"/>
      </w:pPr>
      <w:r w:rsidRPr="00BA7330">
        <w:t xml:space="preserve">HC 121.250/SE, Rel. Min. Luiz Fux, 1ª Turma, DJe 22.5.2014; </w:t>
      </w:r>
    </w:p>
    <w:p w14:paraId="16D8C2E6" w14:textId="4ECFA097" w:rsidR="00DF2B42" w:rsidRPr="00BA7330" w:rsidRDefault="00DF2B42" w:rsidP="00DE1912">
      <w:pPr>
        <w:pStyle w:val="4Lista1"/>
        <w:ind w:hanging="567"/>
      </w:pPr>
      <w:r w:rsidRPr="00BA7330">
        <w:t>HC 116.491/SP, Rel. Min. Gilmar Mendes, 2ª Turma, DJe 25.6.2013</w:t>
      </w:r>
    </w:p>
    <w:p w14:paraId="4EE7A4E0" w14:textId="7CEEFBAE" w:rsidR="00DF2B42" w:rsidRDefault="00DF2B42" w:rsidP="00131862">
      <w:pPr>
        <w:pStyle w:val="0Corpo"/>
      </w:pPr>
      <w:r w:rsidRPr="00DF2B42">
        <w:t>Não bastasse, o magistrado deixou de cumprir o comando legal de fundamentar, nos elementos presentes do caso concreto, de forma individualizada, o descabimento das medidas cautelares diversas da prisão (art. 282, § 6º, CPP), afirmando apenas que “</w:t>
      </w:r>
      <w:r w:rsidRPr="00DF2B42">
        <w:rPr>
          <w:i/>
          <w:iCs/>
        </w:rPr>
        <w:t>as demais medidas alternativas à prisão (art. 319 e 320 do CPP) não se revelam suficientes no caso concreto para proteção da sociedade e contenção das atividades do réu</w:t>
      </w:r>
      <w:r w:rsidRPr="00DF2B42">
        <w:t>”.</w:t>
      </w:r>
      <w:r>
        <w:t xml:space="preserve"> </w:t>
      </w:r>
      <w:r w:rsidRPr="00DF2B42">
        <w:t xml:space="preserve">Assim, exsurge certo de que o Juízo decretou a prisão preventiva do paciente com justificativas abstratas. Mais: sem fundamentar o porquê uma medida de afastamento não seria suficiente, </w:t>
      </w:r>
      <w:r w:rsidRPr="00DF2B42">
        <w:rPr>
          <w:i/>
          <w:iCs/>
        </w:rPr>
        <w:t>mormente levando em conta a precariedade da prova dos autos até o presente momento</w:t>
      </w:r>
      <w:r w:rsidRPr="00DF2B42">
        <w:t>.</w:t>
      </w:r>
    </w:p>
    <w:p w14:paraId="2BE14121" w14:textId="77777777" w:rsidR="00DF2B42" w:rsidRPr="00DF2B42" w:rsidRDefault="00DF2B42" w:rsidP="00131862">
      <w:pPr>
        <w:pStyle w:val="0Corpo"/>
      </w:pPr>
      <w:r w:rsidRPr="00DF2B42">
        <w:rPr>
          <w:b/>
          <w:bCs/>
          <w:color w:val="404040" w:themeColor="text1" w:themeTint="BF"/>
        </w:rPr>
        <w:t>No Tribunal de Justiça:</w:t>
      </w:r>
      <w:r w:rsidRPr="00DF2B42">
        <w:rPr>
          <w:color w:val="404040" w:themeColor="text1" w:themeTint="BF"/>
        </w:rPr>
        <w:t xml:space="preserve"> </w:t>
      </w:r>
      <w:r w:rsidRPr="00DF2B42">
        <w:t xml:space="preserve">impetrado </w:t>
      </w:r>
      <w:r w:rsidRPr="00DF2B42">
        <w:rPr>
          <w:i/>
          <w:iCs/>
        </w:rPr>
        <w:t>writ</w:t>
      </w:r>
      <w:r w:rsidRPr="00DF2B42">
        <w:t xml:space="preserve">, a desembargadora proferiu decisão ilegal, indeferindo a liminar no habeas corpus sem qualquer fundamentação jurídica. </w:t>
      </w:r>
      <w:r w:rsidRPr="00DF2B42">
        <w:lastRenderedPageBreak/>
        <w:t>Após tecer completo relatório sobre o objeto jurídico do HC, a magistrada ancorou o indeferimento da liminar no fato de que “[...] os elementos indiciários aqui coligidos apontam [...] para a prática de delitos inquestionavelmente graves e abjetos, especialmente porque praticados em face de menores.”</w:t>
      </w:r>
    </w:p>
    <w:p w14:paraId="7B8C6095" w14:textId="77777777" w:rsidR="00DF2B42" w:rsidRPr="00131862" w:rsidRDefault="00DF2B42" w:rsidP="00131862">
      <w:pPr>
        <w:pStyle w:val="0Corpo"/>
        <w:rPr>
          <w:b/>
          <w:bCs/>
        </w:rPr>
      </w:pPr>
      <w:r w:rsidRPr="00131862">
        <w:rPr>
          <w:b/>
          <w:bCs/>
        </w:rPr>
        <w:t>Este, e somente este, foi o motivo do indeferimento.</w:t>
      </w:r>
    </w:p>
    <w:p w14:paraId="53622CEA" w14:textId="77777777" w:rsidR="00DF2B42" w:rsidRPr="00DF2B42" w:rsidRDefault="00DF2B42" w:rsidP="00131862">
      <w:pPr>
        <w:pStyle w:val="0Corpo"/>
      </w:pPr>
      <w:r w:rsidRPr="00DF2B42">
        <w:t xml:space="preserve">Em outras palavras, a julgadora justificou a ausência de “probabilidade do direito” em razão de suas </w:t>
      </w:r>
      <w:r w:rsidRPr="00131862">
        <w:t>concepções</w:t>
      </w:r>
      <w:r w:rsidRPr="00DF2B42">
        <w:t xml:space="preserve"> </w:t>
      </w:r>
      <w:r w:rsidRPr="00DF2B42">
        <w:rPr>
          <w:i/>
          <w:iCs/>
        </w:rPr>
        <w:t>subjetivas</w:t>
      </w:r>
      <w:r w:rsidRPr="00DF2B42">
        <w:t xml:space="preserve"> e </w:t>
      </w:r>
      <w:r w:rsidRPr="00DF2B42">
        <w:rPr>
          <w:i/>
          <w:iCs/>
        </w:rPr>
        <w:t>pessoais</w:t>
      </w:r>
      <w:r w:rsidRPr="00DF2B42">
        <w:t xml:space="preserve"> sobre a gravidade do crime, e não em razão da legalidade da prisão. </w:t>
      </w:r>
    </w:p>
    <w:p w14:paraId="0E1BFFA2" w14:textId="77777777" w:rsidR="00DE20F3" w:rsidRDefault="00DF2B42" w:rsidP="00131862">
      <w:pPr>
        <w:pStyle w:val="0Corpo"/>
      </w:pPr>
      <w:r w:rsidRPr="00DF2B42">
        <w:t xml:space="preserve">Nesta toada, a negativa de concessão de liminar em </w:t>
      </w:r>
      <w:r w:rsidRPr="00DF2B42">
        <w:rPr>
          <w:i/>
          <w:iCs/>
        </w:rPr>
        <w:t>habeas corpus</w:t>
      </w:r>
      <w:r w:rsidRPr="00DF2B42">
        <w:t xml:space="preserve">, mediante justificativa que externaliza as impressões pessoais do juiz acerca da gravidade do crime, por imperativo </w:t>
      </w:r>
      <w:r w:rsidRPr="00DF2B42">
        <w:rPr>
          <w:i/>
          <w:iCs/>
        </w:rPr>
        <w:t>lógico</w:t>
      </w:r>
      <w:r w:rsidRPr="00DF2B42">
        <w:t xml:space="preserve"> e constitucional, é ilegal por afrontar o dever de fundamentar as decisões (art. 93, IX, CF), não podendo ser considerado fundamentado </w:t>
      </w:r>
      <w:r w:rsidRPr="00DF2B42">
        <w:rPr>
          <w:i/>
          <w:iCs/>
        </w:rPr>
        <w:t xml:space="preserve">decisum </w:t>
      </w:r>
      <w:r w:rsidRPr="00DF2B42">
        <w:t>que imprime julgamento íntimo de cunho moral sobre os fatos imputados.</w:t>
      </w:r>
    </w:p>
    <w:p w14:paraId="7FC3EB21" w14:textId="24F7BD99" w:rsidR="00DF2B42" w:rsidRDefault="00DF2B42" w:rsidP="00131862">
      <w:pPr>
        <w:pStyle w:val="0Corpo"/>
      </w:pPr>
      <w:r w:rsidRPr="00DF2B42">
        <w:t>A propósito, “</w:t>
      </w:r>
      <w:r w:rsidRPr="00100883">
        <w:t>inobstante a gravidade do delito imputado, o decreto prisional não pode ser motivado de forma genérica e abstrata</w:t>
      </w:r>
      <w:r w:rsidR="00100883">
        <w:t>”</w:t>
      </w:r>
      <w:r w:rsidRPr="00DF2B42">
        <w:t xml:space="preserve"> (</w:t>
      </w:r>
      <w:r w:rsidRPr="00DE20F3">
        <w:rPr>
          <w:b/>
          <w:bCs/>
        </w:rPr>
        <w:t>HC 125.887-SP</w:t>
      </w:r>
      <w:r w:rsidRPr="00DF2B42">
        <w:t>, 1ª Turma, j</w:t>
      </w:r>
      <w:r w:rsidR="00DE20F3">
        <w:t xml:space="preserve">ulgado em </w:t>
      </w:r>
      <w:r w:rsidRPr="00DF2B42">
        <w:t>24.05.2015).</w:t>
      </w:r>
    </w:p>
    <w:p w14:paraId="72CE3F16" w14:textId="510A9E54" w:rsidR="00DE20F3" w:rsidRPr="00DE20F3" w:rsidRDefault="00DE20F3" w:rsidP="00131862">
      <w:pPr>
        <w:pStyle w:val="0Corpo"/>
      </w:pPr>
      <w:r w:rsidRPr="00DE20F3">
        <w:rPr>
          <w:b/>
          <w:bCs/>
          <w:color w:val="404040" w:themeColor="text1" w:themeTint="BF"/>
        </w:rPr>
        <w:t xml:space="preserve">No Superior Tribunal de Justiça: </w:t>
      </w:r>
      <w:r w:rsidRPr="00DE20F3">
        <w:t xml:space="preserve">a Ministra Relatora denegou liminarmente a impetração pois “[...] </w:t>
      </w:r>
      <w:r w:rsidRPr="00DE20F3">
        <w:rPr>
          <w:i/>
          <w:iCs/>
        </w:rPr>
        <w:t>não [vislumbrou] manifesta ilegalidade</w:t>
      </w:r>
      <w:r w:rsidRPr="00DE20F3">
        <w:t>”</w:t>
      </w:r>
      <w:r w:rsidRPr="00DE20F3">
        <w:rPr>
          <w:i/>
          <w:iCs/>
        </w:rPr>
        <w:t xml:space="preserve"> </w:t>
      </w:r>
      <w:r w:rsidRPr="00DE20F3">
        <w:t>e sob o argumento de que</w:t>
      </w:r>
      <w:r w:rsidRPr="00DE20F3">
        <w:rPr>
          <w:i/>
          <w:iCs/>
        </w:rPr>
        <w:t xml:space="preserve"> “[...] as decisões de origem não se revelam teratológicas</w:t>
      </w:r>
      <w:r w:rsidRPr="00DE20F3">
        <w:t>” (?).</w:t>
      </w:r>
    </w:p>
    <w:p w14:paraId="6D571C3C" w14:textId="77777777" w:rsidR="00DE20F3" w:rsidRPr="00DE20F3" w:rsidRDefault="00DE20F3" w:rsidP="00131862">
      <w:pPr>
        <w:pStyle w:val="0Corpo"/>
      </w:pPr>
      <w:r w:rsidRPr="00DE20F3">
        <w:t xml:space="preserve">Além disso, acrescentou que “[...] </w:t>
      </w:r>
      <w:r w:rsidRPr="00100883">
        <w:t>a prisão tem por base elementos concretos que indicam o risco que a liberdade do paciente pode representar à integridade física e psicológica da vítima e das testemunhas, bem como a gravidade do crime, tendo em vista o modus operandi empregado na prática do delito</w:t>
      </w:r>
      <w:r w:rsidRPr="00DE20F3">
        <w:t>”.</w:t>
      </w:r>
    </w:p>
    <w:p w14:paraId="41E323B5" w14:textId="77777777" w:rsidR="00DE20F3" w:rsidRPr="00DE20F3" w:rsidRDefault="00DE20F3" w:rsidP="00131862">
      <w:pPr>
        <w:pStyle w:val="0Corpo"/>
      </w:pPr>
      <w:r w:rsidRPr="00DE20F3">
        <w:t>A decisão ora atacada padece de manifesta ilegalidade.</w:t>
      </w:r>
    </w:p>
    <w:p w14:paraId="41DD9E9C" w14:textId="77777777" w:rsidR="00DE20F3" w:rsidRPr="00DE20F3" w:rsidRDefault="00DE20F3" w:rsidP="00131862">
      <w:pPr>
        <w:pStyle w:val="0Corpo"/>
      </w:pPr>
      <w:r w:rsidRPr="00DE20F3">
        <w:t xml:space="preserve">Isso porque a Relatoria no STJ denegou liminarmente </w:t>
      </w:r>
      <w:r w:rsidRPr="00DE20F3">
        <w:rPr>
          <w:i/>
          <w:iCs/>
        </w:rPr>
        <w:t xml:space="preserve">habeas corpus </w:t>
      </w:r>
      <w:r w:rsidRPr="00DE20F3">
        <w:t>que, conforme demonstrado, denunciou, com argumentação razoável, ilegalidades patentes em ambas as decisões anteriores: prisão decretada com fundamentos genéricos e liminar negada sem a devida fundamentação.</w:t>
      </w:r>
    </w:p>
    <w:p w14:paraId="6E1AA7ED" w14:textId="77777777" w:rsidR="00DE20F3" w:rsidRPr="00DE20F3" w:rsidRDefault="00DE20F3" w:rsidP="00131862">
      <w:pPr>
        <w:pStyle w:val="0Corpo"/>
      </w:pPr>
      <w:r w:rsidRPr="00DE20F3">
        <w:t xml:space="preserve">Não queira-se admitir, neste momento, ilicitude na decisão que decretou a prisão preventiva, é imperativo, ao menos, admitir que a decisão do Tribunal carioca, que negou a liminar, </w:t>
      </w:r>
      <w:r w:rsidRPr="00DE20F3">
        <w:rPr>
          <w:i/>
          <w:iCs/>
        </w:rPr>
        <w:t>é absolutamente ilegal</w:t>
      </w:r>
      <w:r w:rsidRPr="00DE20F3">
        <w:t xml:space="preserve">, violando princípios constitucionais </w:t>
      </w:r>
      <w:r w:rsidRPr="00DE20F3">
        <w:lastRenderedPageBreak/>
        <w:t>basilares como a presunção de inocência, a imparcialidade do julgador e a fundamentação das decisões judiciais.</w:t>
      </w:r>
    </w:p>
    <w:p w14:paraId="0FA92676" w14:textId="77777777" w:rsidR="00DE20F3" w:rsidRPr="00DE20F3" w:rsidRDefault="00DE20F3" w:rsidP="003D07A5">
      <w:pPr>
        <w:pStyle w:val="31Destaquelinhas"/>
        <w:pBdr>
          <w:top w:val="single" w:sz="4" w:space="1" w:color="000000" w:themeColor="text1"/>
          <w:bottom w:val="single" w:sz="4" w:space="1" w:color="000000" w:themeColor="text1"/>
        </w:pBdr>
      </w:pPr>
      <w:r w:rsidRPr="00DE20F3">
        <w:t>Inquestionável, assim, que o STJ, ao indeferir o HC, incorre em constrangimento ilegal à liberdade deambulatória, uma vez que, a um só tempo, autoriza a manutenção de decisão sem qualquer fundamentação jurídica e mantém encarcerado paciente que não teve sua prisão decretada com fundamentos concretos.</w:t>
      </w:r>
    </w:p>
    <w:p w14:paraId="67353DFA" w14:textId="5B00F6C1" w:rsidR="00DE20F3" w:rsidRPr="00DE20F3" w:rsidRDefault="00DE20F3" w:rsidP="00131862">
      <w:pPr>
        <w:pStyle w:val="0Corpo"/>
      </w:pPr>
      <w:r w:rsidRPr="00DE20F3">
        <w:t xml:space="preserve">Pede-se, portanto, que </w:t>
      </w:r>
      <w:proofErr w:type="spellStart"/>
      <w:r w:rsidRPr="00DE20F3">
        <w:t>esta</w:t>
      </w:r>
      <w:proofErr w:type="spellEnd"/>
      <w:r w:rsidRPr="00DE20F3">
        <w:t xml:space="preserve"> Corte Suprema não convalide decisão judicial que, após provocada mediante argumentos sérios, entrega tutela jurisdicional sem o esforço de enfrentá-los (decisão do TJRJ). </w:t>
      </w:r>
      <w:r w:rsidRPr="00DE20F3">
        <w:rPr>
          <w:i/>
          <w:iCs/>
        </w:rPr>
        <w:t>Data venia</w:t>
      </w:r>
      <w:r w:rsidRPr="00DE20F3">
        <w:t xml:space="preserve">, o provimento jurisdicional que negou a liminar é o exemplo didático sobre como </w:t>
      </w:r>
      <w:r w:rsidRPr="00DE20F3">
        <w:rPr>
          <w:b/>
          <w:bCs/>
        </w:rPr>
        <w:t>não</w:t>
      </w:r>
      <w:r w:rsidRPr="00DE20F3">
        <w:t xml:space="preserve"> proferir uma decisão.</w:t>
      </w:r>
    </w:p>
    <w:p w14:paraId="66269FD3" w14:textId="6BDD6EE1" w:rsidR="00DE20F3" w:rsidRDefault="00DE20F3" w:rsidP="00131862">
      <w:pPr>
        <w:pStyle w:val="0Corpo"/>
      </w:pPr>
      <w:r w:rsidRPr="00DE20F3">
        <w:t xml:space="preserve">Por fim, embora a jurisprudência do STF se incline no sentido de inadmitir </w:t>
      </w:r>
      <w:r w:rsidRPr="00DE20F3">
        <w:rPr>
          <w:i/>
          <w:iCs/>
        </w:rPr>
        <w:t>habeas corpus</w:t>
      </w:r>
      <w:r w:rsidRPr="00DE20F3">
        <w:t xml:space="preserve"> substitutivo do recurso próprio, entende a defesa que as ilegalidades aqui apontadas são aferíveis de plano, especialmente no que diz respeito à decisão proferida pela desembargadora do TJ</w:t>
      </w:r>
      <w:r>
        <w:t>SP</w:t>
      </w:r>
      <w:r w:rsidRPr="00DE20F3">
        <w:t>, de modo que a ordem, na pior das hipóteses, demanda concessão de ofício.</w:t>
      </w:r>
    </w:p>
    <w:p w14:paraId="1CF0A081" w14:textId="1BBD0C18" w:rsidR="00100883" w:rsidRDefault="00100883" w:rsidP="003D07A5">
      <w:pPr>
        <w:pStyle w:val="1Ttulo"/>
      </w:pPr>
      <w:r>
        <w:t>Pedidos</w:t>
      </w:r>
    </w:p>
    <w:p w14:paraId="2A081E07" w14:textId="03BAF4C8" w:rsidR="00100883" w:rsidRDefault="00100883" w:rsidP="00BA7330">
      <w:pPr>
        <w:pStyle w:val="11Descriodottulo"/>
      </w:pPr>
      <w:r>
        <w:t>Diante de todo o exposto, requer:</w:t>
      </w:r>
    </w:p>
    <w:p w14:paraId="689F0E50" w14:textId="77777777" w:rsidR="00100883" w:rsidRDefault="00100883" w:rsidP="00100883">
      <w:pPr>
        <w:pStyle w:val="5Listaalfa"/>
      </w:pPr>
      <w:r w:rsidRPr="00100883">
        <w:rPr>
          <w:b/>
          <w:bCs/>
        </w:rPr>
        <w:t>liminarmente</w:t>
      </w:r>
      <w:r w:rsidRPr="00812DED">
        <w:t>, a revogação da prisão preventiva, mediante imposição de medidas cautelares. No mérito, requerem a concessão da ordem, mediante a confirmação da liminar.</w:t>
      </w:r>
    </w:p>
    <w:p w14:paraId="29DC58DE" w14:textId="77777777" w:rsidR="00100883" w:rsidRDefault="00100883" w:rsidP="00131862">
      <w:pPr>
        <w:pStyle w:val="5Listaalfa"/>
      </w:pPr>
      <w:r>
        <w:rPr>
          <w:b/>
          <w:bCs/>
        </w:rPr>
        <w:t>s</w:t>
      </w:r>
      <w:r w:rsidRPr="00100883">
        <w:rPr>
          <w:b/>
          <w:bCs/>
        </w:rPr>
        <w:t>ubsidiariamente</w:t>
      </w:r>
      <w:r w:rsidRPr="00812DED">
        <w:t>, requerem, liminarmente, ao menos seja cassada a decisão que negou a liminar no TJRJ, ante a ausência de fundamentação, determinando-se que o Tribunal profira nova decisão, fundamentada. No mérito, a concessão da ordem, mediante confirmação da liminar.</w:t>
      </w:r>
    </w:p>
    <w:p w14:paraId="73AB3F00" w14:textId="3C01BDD5" w:rsidR="00100883" w:rsidRPr="00812DED" w:rsidRDefault="00100883" w:rsidP="00131862">
      <w:pPr>
        <w:pStyle w:val="5Listaalfa"/>
      </w:pPr>
      <w:r w:rsidRPr="00812DED">
        <w:t xml:space="preserve">Em todos os casos, em não conhecido do </w:t>
      </w:r>
      <w:r w:rsidRPr="00100883">
        <w:rPr>
          <w:i/>
          <w:iCs/>
        </w:rPr>
        <w:t>habeas corpus</w:t>
      </w:r>
      <w:r w:rsidRPr="00812DED">
        <w:t xml:space="preserve">, requer a concessão da ordem </w:t>
      </w:r>
      <w:r w:rsidRPr="00100883">
        <w:rPr>
          <w:i/>
          <w:iCs/>
        </w:rPr>
        <w:t>ex officio</w:t>
      </w:r>
      <w:r w:rsidRPr="00812DED">
        <w:t>.</w:t>
      </w:r>
    </w:p>
    <w:p w14:paraId="0B9CD7AB" w14:textId="77777777" w:rsidR="00100883" w:rsidRPr="003D07A5" w:rsidRDefault="00100883" w:rsidP="00131862">
      <w:pPr>
        <w:pStyle w:val="0Corpo"/>
        <w:rPr>
          <w:i/>
          <w:iCs/>
          <w:sz w:val="20"/>
          <w:szCs w:val="20"/>
        </w:rPr>
      </w:pPr>
      <w:r w:rsidRPr="003D07A5">
        <w:rPr>
          <w:i/>
          <w:iCs/>
          <w:sz w:val="20"/>
          <w:szCs w:val="20"/>
        </w:rPr>
        <w:t>Miguel Pereira (RJ), 07 de agosto de 2024.</w:t>
      </w:r>
    </w:p>
    <w:p w14:paraId="443B00B6" w14:textId="77777777" w:rsidR="00DF2B42" w:rsidRPr="00DF2B42" w:rsidRDefault="00DF2B42" w:rsidP="00100883">
      <w:pPr>
        <w:spacing w:before="200" w:after="200" w:line="264" w:lineRule="auto"/>
        <w:rPr>
          <w:rFonts w:ascii="Spectral" w:hAnsi="Spectral" w:cs="Microsoft New Tai Lue"/>
          <w:sz w:val="23"/>
          <w:szCs w:val="23"/>
        </w:rPr>
      </w:pPr>
    </w:p>
    <w:sectPr w:rsidR="00DF2B42" w:rsidRPr="00DF2B42" w:rsidSect="004F31A6">
      <w:headerReference w:type="default" r:id="rId14"/>
      <w:footerReference w:type="default" r:id="rId15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64EBC" w14:textId="77777777" w:rsidR="00527A5B" w:rsidRDefault="00527A5B" w:rsidP="009B30AA">
      <w:pPr>
        <w:spacing w:before="0" w:after="0" w:line="240" w:lineRule="auto"/>
      </w:pPr>
      <w:r>
        <w:separator/>
      </w:r>
    </w:p>
  </w:endnote>
  <w:endnote w:type="continuationSeparator" w:id="0">
    <w:p w14:paraId="28B2BEB7" w14:textId="77777777" w:rsidR="00527A5B" w:rsidRDefault="00527A5B" w:rsidP="009B30A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efair">
    <w:altName w:val="Arial"/>
    <w:charset w:val="00"/>
    <w:family w:val="auto"/>
    <w:pitch w:val="variable"/>
    <w:sig w:usb0="00000807" w:usb1="40000000" w:usb2="00000000" w:usb3="00000000" w:csb0="000000B3" w:csb1="00000000"/>
    <w:embedRegular r:id="rId1" w:fontKey="{51AE13D0-AA73-4839-9C0B-CB434F72DB15}"/>
    <w:embedBold r:id="rId2" w:fontKey="{7830F4F7-CC15-43AA-BA76-D17277A57B59}"/>
    <w:embedItalic r:id="rId3" w:fontKey="{49034429-56FA-4AE3-B532-A0228CC54808}"/>
    <w:embedBoldItalic r:id="rId4" w:fontKey="{FE8E7E71-308F-46E2-A7C6-9286E3CDC763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5" w:fontKey="{892CCCA3-6BEA-4613-A822-91BA67085465}"/>
    <w:embedBold r:id="rId6" w:fontKey="{55E90BE6-16A1-4350-995C-06689ABD71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104E996-048B-4DD0-96DE-2B6F6B3B458D}"/>
    <w:embedBold r:id="rId8" w:fontKey="{A74E089A-862C-4F6A-A664-E5EED5D123C4}"/>
    <w:embedItalic r:id="rId9" w:fontKey="{44761BC2-C2BC-4D3A-B453-9054A889C568}"/>
    <w:embedBoldItalic r:id="rId10" w:fontKey="{8DDDD398-1F8B-492A-887C-7BA41970517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A6D26319-7579-4E31-A3CD-648DCB0457B0}"/>
    <w:embedBold r:id="rId12" w:fontKey="{3EB49B27-70E3-46FD-9C73-2D71C6F65E35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13" w:fontKey="{8E3B9F42-5896-4504-8C39-E4DF7CF5D73A}"/>
    <w:embedBold r:id="rId14" w:fontKey="{708A5003-4AFA-4391-BBD3-A869C44C8B87}"/>
    <w:embedItalic r:id="rId15" w:fontKey="{639531BC-365A-4EF0-900E-645C59164FFE}"/>
  </w:font>
  <w:font w:name="Alegreya Sans Medium">
    <w:charset w:val="00"/>
    <w:family w:val="auto"/>
    <w:pitch w:val="variable"/>
    <w:sig w:usb0="6000028F" w:usb1="00000003" w:usb2="00000000" w:usb3="00000000" w:csb0="0000019F" w:csb1="00000000"/>
    <w:embedRegular r:id="rId16" w:fontKey="{E3D55498-847F-4D1A-A893-F7329505F8F6}"/>
  </w:font>
  <w:font w:name="Spectral">
    <w:panose1 w:val="02020502060000000000"/>
    <w:charset w:val="00"/>
    <w:family w:val="roman"/>
    <w:pitch w:val="variable"/>
    <w:sig w:usb0="E000027F" w:usb1="4000E43B" w:usb2="00000000" w:usb3="00000000" w:csb0="00000197" w:csb1="00000000"/>
    <w:embedRegular r:id="rId17" w:fontKey="{F604AD4E-EBB1-4C21-BB91-9572441F78EE}"/>
    <w:embedBold r:id="rId18" w:fontKey="{AA17E087-8A05-4DF9-AA17-A54789F156F1}"/>
    <w:embedItalic r:id="rId19" w:fontKey="{3D3DF253-1DC1-4747-A73F-F7181EE79A7C}"/>
    <w:embedBoldItalic r:id="rId20" w:fontKey="{421CD241-F81F-4B57-95DC-1451704F03C9}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  <w:embedRegular r:id="rId21" w:fontKey="{83012560-FB86-480E-8C9E-A25B8615EAE7}"/>
    <w:embedBold r:id="rId22" w:fontKey="{BEF09529-75AC-4B1B-B073-7F5FBB0AF9F0}"/>
    <w:embedItalic r:id="rId23" w:fontKey="{81178C05-3C83-4921-A911-C849AD320EF5}"/>
  </w:font>
  <w:font w:name="Geologica">
    <w:charset w:val="00"/>
    <w:family w:val="auto"/>
    <w:pitch w:val="variable"/>
    <w:sig w:usb0="A00002FF" w:usb1="4000206B" w:usb2="00000000" w:usb3="00000000" w:csb0="0000019F" w:csb1="00000000"/>
    <w:embedRegular r:id="rId24" w:fontKey="{98A18122-ABA0-4CA2-8A27-6E929D2A1B8C}"/>
    <w:embedBold r:id="rId25" w:fontKey="{9DB4292E-30C7-47DB-B1E5-81AFC63872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6" w:fontKey="{A8D292D9-771E-42DB-86A0-40D998095D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61EAE" w14:textId="59C7215F" w:rsidR="004F31A6" w:rsidRDefault="00DE1912" w:rsidP="004F31A6">
    <w:pPr>
      <w:pStyle w:val="Rodap"/>
      <w:tabs>
        <w:tab w:val="clear" w:pos="4252"/>
        <w:tab w:val="clear" w:pos="8504"/>
        <w:tab w:val="left" w:pos="506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75812AD" wp14:editId="4FB78C37">
              <wp:simplePos x="0" y="0"/>
              <wp:positionH relativeFrom="margin">
                <wp:align>center</wp:align>
              </wp:positionH>
              <wp:positionV relativeFrom="paragraph">
                <wp:posOffset>90805</wp:posOffset>
              </wp:positionV>
              <wp:extent cx="7480300" cy="296545"/>
              <wp:effectExtent l="0" t="0" r="0" b="0"/>
              <wp:wrapNone/>
              <wp:docPr id="177028928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0300" cy="2965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EE60F97" w14:textId="339E45D1" w:rsidR="00DE1912" w:rsidRPr="003D07A5" w:rsidRDefault="00DE1912" w:rsidP="00DE1912">
                          <w:pPr>
                            <w:spacing w:before="0" w:after="0"/>
                            <w:jc w:val="center"/>
                            <w:rPr>
                              <w:rFonts w:ascii="Geologica" w:hAnsi="Geologica"/>
                              <w:b/>
                              <w:bCs/>
                              <w:spacing w:val="6"/>
                              <w:sz w:val="20"/>
                              <w:szCs w:val="20"/>
                            </w:rPr>
                          </w:pPr>
                          <w:r w:rsidRPr="003D07A5">
                            <w:rPr>
                              <w:rFonts w:ascii="Geologica" w:hAnsi="Geologica" w:cs="Arial"/>
                              <w:b/>
                              <w:bCs/>
                              <w:spacing w:val="6"/>
                              <w:sz w:val="16"/>
                              <w:szCs w:val="16"/>
                              <w:lang w:val="en-US"/>
                            </w:rPr>
                            <w:t>Habeas Corpus – Marcos Avenir Silvestre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5812AD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0;margin-top:7.15pt;width:589pt;height:23.3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" filled="f" stroked="f" strokeweight=".5pt">
              <v:textbox>
                <w:txbxContent>
                  <w:p w14:paraId="6EE60F97" w14:textId="339E45D1" w:rsidR="00DE1912" w:rsidRPr="003D07A5" w:rsidRDefault="00DE1912" w:rsidP="00DE1912">
                    <w:pPr>
                      <w:spacing w:before="0" w:after="0"/>
                      <w:jc w:val="center"/>
                      <w:rPr>
                        <w:rFonts w:ascii="Geologica" w:hAnsi="Geologica"/>
                        <w:b/>
                        <w:bCs/>
                        <w:spacing w:val="6"/>
                        <w:sz w:val="20"/>
                        <w:szCs w:val="20"/>
                      </w:rPr>
                    </w:pPr>
                    <w:r w:rsidRPr="003D07A5">
                      <w:rPr>
                        <w:rFonts w:ascii="Geologica" w:hAnsi="Geologica" w:cs="Arial"/>
                        <w:b/>
                        <w:bCs/>
                        <w:spacing w:val="6"/>
                        <w:sz w:val="16"/>
                        <w:szCs w:val="16"/>
                        <w:lang w:val="en-US"/>
                      </w:rPr>
                      <w:t>Habeas Corpus – Marcos Avenir Silvestre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F31A6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C30F" w14:textId="266281DE" w:rsidR="00DE1912" w:rsidRDefault="00E325CF" w:rsidP="00DE1912">
    <w:pPr>
      <w:pStyle w:val="Rodap"/>
      <w:tabs>
        <w:tab w:val="clear" w:pos="4252"/>
        <w:tab w:val="clear" w:pos="8504"/>
        <w:tab w:val="center" w:pos="419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67C0F75" wp14:editId="3EED7620">
              <wp:simplePos x="0" y="0"/>
              <wp:positionH relativeFrom="margin">
                <wp:posOffset>-124460</wp:posOffset>
              </wp:positionH>
              <wp:positionV relativeFrom="paragraph">
                <wp:posOffset>-46355</wp:posOffset>
              </wp:positionV>
              <wp:extent cx="5410200" cy="501650"/>
              <wp:effectExtent l="0" t="0" r="0" b="0"/>
              <wp:wrapNone/>
              <wp:docPr id="618760414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0" cy="501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elacomgrade"/>
                            <w:tblW w:w="8359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359"/>
                          </w:tblGrid>
                          <w:tr w:rsidR="00E325CF" w14:paraId="5138DF6D" w14:textId="77777777" w:rsidTr="00AF5C7C">
                            <w:trPr>
                              <w:trHeight w:val="149"/>
                            </w:trPr>
                            <w:tc>
                              <w:tcPr>
                                <w:tcW w:w="8359" w:type="dxa"/>
                              </w:tcPr>
                              <w:p w14:paraId="4BD54EB2" w14:textId="5E10CA8E" w:rsidR="00E325CF" w:rsidRDefault="00E325CF" w:rsidP="00AF5C7C">
                                <w:pPr>
                                  <w:spacing w:after="40"/>
                                  <w:jc w:val="center"/>
                                  <w:rPr>
                                    <w:rFonts w:ascii="Aptos" w:hAnsi="Aptos"/>
                                    <w:color w:val="000000" w:themeColor="text1"/>
                                    <w:spacing w:val="6"/>
                                    <w:sz w:val="16"/>
                                    <w:szCs w:val="16"/>
                                  </w:rPr>
                                </w:pPr>
                                <w:r w:rsidRPr="00E325CF">
                                  <w:rPr>
                                    <w:rFonts w:ascii="Aptos" w:hAnsi="Aptos"/>
                                    <w:color w:val="000000" w:themeColor="text1"/>
                                    <w:spacing w:val="6"/>
                                    <w:sz w:val="16"/>
                                    <w:szCs w:val="16"/>
                                  </w:rPr>
                                  <w:t>Rua10, nº 123, Centro, Rio de Janeiro – RJ, CEP 74120-020</w:t>
                                </w:r>
                              </w:p>
                            </w:tc>
                          </w:tr>
                          <w:tr w:rsidR="00E325CF" w14:paraId="6C3E0CE4" w14:textId="77777777" w:rsidTr="00AF5C7C">
                            <w:trPr>
                              <w:trHeight w:val="365"/>
                            </w:trPr>
                            <w:tc>
                              <w:tcPr>
                                <w:tcW w:w="8359" w:type="dxa"/>
                              </w:tcPr>
                              <w:p w14:paraId="0DE02D7F" w14:textId="45379BDA" w:rsidR="00E325CF" w:rsidRPr="003D07A5" w:rsidRDefault="00E325CF" w:rsidP="00AF5C7C">
                                <w:pPr>
                                  <w:spacing w:before="40"/>
                                  <w:jc w:val="center"/>
                                  <w:rPr>
                                    <w:rFonts w:ascii="Aptos" w:hAnsi="Aptos"/>
                                    <w:spacing w:val="6"/>
                                    <w:sz w:val="16"/>
                                    <w:szCs w:val="16"/>
                                  </w:rPr>
                                </w:pPr>
                                <w:r w:rsidRPr="003D07A5">
                                  <w:rPr>
                                    <w:rFonts w:ascii="Geologica" w:hAnsi="Geologica" w:cs="Arial"/>
                                    <w:b/>
                                    <w:bCs/>
                                    <w:spacing w:val="6"/>
                                    <w:sz w:val="16"/>
                                    <w:szCs w:val="16"/>
                                    <w:lang w:val="en-US"/>
                                  </w:rPr>
                                  <w:t>www.tipografiajuridica.com | contato@tipojur.com | Tel.: (21) 2346-6789</w:t>
                                </w:r>
                              </w:p>
                            </w:tc>
                          </w:tr>
                        </w:tbl>
                        <w:p w14:paraId="2AFC4CFE" w14:textId="4D3C37F9" w:rsidR="00DE1912" w:rsidRPr="00D159A4" w:rsidRDefault="00DE1912" w:rsidP="00E325CF">
                          <w:pPr>
                            <w:spacing w:before="0" w:after="0"/>
                            <w:rPr>
                              <w:rFonts w:ascii="Aptos" w:hAnsi="Aptos"/>
                              <w:color w:val="000000" w:themeColor="text1"/>
                              <w:spacing w:val="6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7C0F75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style="position:absolute;left:0;text-align:left;margin-left:-9.8pt;margin-top:-3.65pt;width:426pt;height:39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" filled="f" stroked="f" strokeweight=".5pt">
              <v:textbox>
                <w:txbxContent>
                  <w:tbl>
                    <w:tblPr>
                      <w:tblStyle w:val="Tabelacomgrade"/>
                      <w:tblW w:w="8359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359"/>
                    </w:tblGrid>
                    <w:tr w:rsidR="00E325CF" w14:paraId="5138DF6D" w14:textId="77777777" w:rsidTr="00AF5C7C">
                      <w:trPr>
                        <w:trHeight w:val="149"/>
                      </w:trPr>
                      <w:tc>
                        <w:tcPr>
                          <w:tcW w:w="8359" w:type="dxa"/>
                        </w:tcPr>
                        <w:p w14:paraId="4BD54EB2" w14:textId="5E10CA8E" w:rsidR="00E325CF" w:rsidRDefault="00E325CF" w:rsidP="00AF5C7C">
                          <w:pPr>
                            <w:spacing w:after="40"/>
                            <w:jc w:val="center"/>
                            <w:rPr>
                              <w:rFonts w:ascii="Aptos" w:hAnsi="Aptos"/>
                              <w:color w:val="000000" w:themeColor="text1"/>
                              <w:spacing w:val="6"/>
                              <w:sz w:val="16"/>
                              <w:szCs w:val="16"/>
                            </w:rPr>
                          </w:pPr>
                          <w:r w:rsidRPr="00E325CF">
                            <w:rPr>
                              <w:rFonts w:ascii="Aptos" w:hAnsi="Aptos"/>
                              <w:color w:val="000000" w:themeColor="text1"/>
                              <w:spacing w:val="6"/>
                              <w:sz w:val="16"/>
                              <w:szCs w:val="16"/>
                            </w:rPr>
                            <w:t>Rua10, nº 123, Centro, Rio de Janeiro – RJ, CEP 74120-020</w:t>
                          </w:r>
                        </w:p>
                      </w:tc>
                    </w:tr>
                    <w:tr w:rsidR="00E325CF" w14:paraId="6C3E0CE4" w14:textId="77777777" w:rsidTr="00AF5C7C">
                      <w:trPr>
                        <w:trHeight w:val="365"/>
                      </w:trPr>
                      <w:tc>
                        <w:tcPr>
                          <w:tcW w:w="8359" w:type="dxa"/>
                        </w:tcPr>
                        <w:p w14:paraId="0DE02D7F" w14:textId="45379BDA" w:rsidR="00E325CF" w:rsidRPr="003D07A5" w:rsidRDefault="00E325CF" w:rsidP="00AF5C7C">
                          <w:pPr>
                            <w:spacing w:before="40"/>
                            <w:jc w:val="center"/>
                            <w:rPr>
                              <w:rFonts w:ascii="Aptos" w:hAnsi="Aptos"/>
                              <w:spacing w:val="6"/>
                              <w:sz w:val="16"/>
                              <w:szCs w:val="16"/>
                            </w:rPr>
                          </w:pPr>
                          <w:r w:rsidRPr="003D07A5">
                            <w:rPr>
                              <w:rFonts w:ascii="Geologica" w:hAnsi="Geologica" w:cs="Arial"/>
                              <w:b/>
                              <w:bCs/>
                              <w:spacing w:val="6"/>
                              <w:sz w:val="16"/>
                              <w:szCs w:val="16"/>
                              <w:lang w:val="en-US"/>
                            </w:rPr>
                            <w:t>www.tipografiajuridica.com | contato@tipojur.com | Tel.: (21) 2346-6789</w:t>
                          </w:r>
                        </w:p>
                      </w:tc>
                    </w:tr>
                  </w:tbl>
                  <w:p w14:paraId="2AFC4CFE" w14:textId="4D3C37F9" w:rsidR="00DE1912" w:rsidRPr="00D159A4" w:rsidRDefault="00DE1912" w:rsidP="00E325CF">
                    <w:pPr>
                      <w:spacing w:before="0" w:after="0"/>
                      <w:rPr>
                        <w:rFonts w:ascii="Aptos" w:hAnsi="Aptos"/>
                        <w:color w:val="000000" w:themeColor="text1"/>
                        <w:spacing w:val="6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DE1912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3ED5045" wp14:editId="7DB280C3">
              <wp:simplePos x="0" y="0"/>
              <wp:positionH relativeFrom="page">
                <wp:align>center</wp:align>
              </wp:positionH>
              <wp:positionV relativeFrom="paragraph">
                <wp:posOffset>-20955</wp:posOffset>
              </wp:positionV>
              <wp:extent cx="3213100" cy="259080"/>
              <wp:effectExtent l="0" t="0" r="0" b="0"/>
              <wp:wrapNone/>
              <wp:docPr id="1072817675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3100" cy="2590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C3A716" w14:textId="77777777" w:rsidR="00DE1912" w:rsidRPr="00D159A4" w:rsidRDefault="00DE1912" w:rsidP="00DE1912">
                          <w:pPr>
                            <w:rPr>
                              <w:rFonts w:ascii="Aptos" w:hAnsi="Aptos"/>
                              <w:color w:val="000000" w:themeColor="text1"/>
                              <w:spacing w:val="6"/>
                              <w:sz w:val="16"/>
                              <w:szCs w:val="16"/>
                            </w:rPr>
                          </w:pPr>
                          <w:r w:rsidRPr="00D159A4">
                            <w:rPr>
                              <w:rFonts w:ascii="Aptos" w:hAnsi="Aptos"/>
                              <w:color w:val="000000" w:themeColor="text1"/>
                              <w:spacing w:val="6"/>
                              <w:sz w:val="16"/>
                              <w:szCs w:val="16"/>
                            </w:rPr>
                            <w:t>Rua10, nº 127, Setor Oeste, Goiânia – Goiás. CEP 74120-020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ED5045" id="_x0000_s1028" type="#_x0000_t202" style="position:absolute;left:0;text-align:left;margin-left:0;margin-top:-1.65pt;width:253pt;height:20.4pt;z-index:2516705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" filled="f" stroked="f" strokeweight=".5pt">
              <v:textbox>
                <w:txbxContent>
                  <w:p w14:paraId="02C3A716" w14:textId="77777777" w:rsidR="00DE1912" w:rsidRPr="00D159A4" w:rsidRDefault="00DE1912" w:rsidP="00DE1912">
                    <w:pPr>
                      <w:rPr>
                        <w:rFonts w:ascii="Aptos" w:hAnsi="Aptos"/>
                        <w:color w:val="000000" w:themeColor="text1"/>
                        <w:spacing w:val="6"/>
                        <w:sz w:val="16"/>
                        <w:szCs w:val="16"/>
                      </w:rPr>
                    </w:pPr>
                    <w:r w:rsidRPr="00D159A4">
                      <w:rPr>
                        <w:rFonts w:ascii="Aptos" w:hAnsi="Aptos"/>
                        <w:color w:val="000000" w:themeColor="text1"/>
                        <w:spacing w:val="6"/>
                        <w:sz w:val="16"/>
                        <w:szCs w:val="16"/>
                      </w:rPr>
                      <w:t>Rua10, nº 127, Setor Oeste, Goiânia – Goiás. CEP 74120-020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E8D44" w14:textId="32699F67" w:rsidR="004F31A6" w:rsidRDefault="003A6A6F" w:rsidP="004F31A6">
    <w:pPr>
      <w:pStyle w:val="Rodap"/>
      <w:tabs>
        <w:tab w:val="clear" w:pos="4252"/>
        <w:tab w:val="clear" w:pos="8504"/>
        <w:tab w:val="left" w:pos="5062"/>
      </w:tabs>
    </w:pPr>
    <w:r w:rsidRPr="003D07A5">
      <w:rPr>
        <w:noProof/>
      </w:rPr>
      <w:drawing>
        <wp:anchor distT="0" distB="0" distL="114300" distR="114300" simplePos="0" relativeHeight="251682816" behindDoc="0" locked="0" layoutInCell="1" allowOverlap="1" wp14:anchorId="59AB4408" wp14:editId="2EE9D2A9">
          <wp:simplePos x="0" y="0"/>
          <wp:positionH relativeFrom="margin">
            <wp:posOffset>4859655</wp:posOffset>
          </wp:positionH>
          <wp:positionV relativeFrom="paragraph">
            <wp:posOffset>-145845</wp:posOffset>
          </wp:positionV>
          <wp:extent cx="409526" cy="499110"/>
          <wp:effectExtent l="0" t="0" r="0" b="0"/>
          <wp:wrapNone/>
          <wp:docPr id="1515988634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408762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9526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D9D2B93" wp14:editId="5DCC46EF">
              <wp:simplePos x="0" y="0"/>
              <wp:positionH relativeFrom="margin">
                <wp:posOffset>-46953</wp:posOffset>
              </wp:positionH>
              <wp:positionV relativeFrom="paragraph">
                <wp:posOffset>41696</wp:posOffset>
              </wp:positionV>
              <wp:extent cx="4199065" cy="312225"/>
              <wp:effectExtent l="0" t="0" r="0" b="0"/>
              <wp:wrapNone/>
              <wp:docPr id="155873159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9065" cy="312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C161AC" w14:textId="77777777" w:rsidR="00DE1912" w:rsidRPr="003A6A6F" w:rsidRDefault="00DE1912" w:rsidP="003A6A6F">
                          <w:pPr>
                            <w:spacing w:before="0" w:after="0"/>
                            <w:jc w:val="left"/>
                            <w:rPr>
                              <w:rFonts w:ascii="Geologica" w:hAnsi="Geologica"/>
                              <w:spacing w:val="6"/>
                              <w:sz w:val="20"/>
                              <w:szCs w:val="20"/>
                            </w:rPr>
                          </w:pPr>
                          <w:r w:rsidRPr="003D07A5">
                            <w:rPr>
                              <w:rFonts w:ascii="Geologica" w:hAnsi="Geologica" w:cs="Arial"/>
                              <w:b/>
                              <w:bCs/>
                              <w:spacing w:val="6"/>
                              <w:sz w:val="16"/>
                              <w:szCs w:val="16"/>
                              <w:lang w:val="en-US"/>
                            </w:rPr>
                            <w:t xml:space="preserve">Habeas Corpus – </w:t>
                          </w:r>
                          <w:r w:rsidRPr="003A6A6F">
                            <w:rPr>
                              <w:rFonts w:ascii="Geologica" w:hAnsi="Geologica" w:cs="Arial"/>
                              <w:spacing w:val="6"/>
                              <w:sz w:val="16"/>
                              <w:szCs w:val="16"/>
                              <w:lang w:val="en-US"/>
                            </w:rPr>
                            <w:t>Marcos Avenir Silvestre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9D2B9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3.7pt;margin-top:3.3pt;width:330.65pt;height:24.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" filled="f" stroked="f" strokeweight=".5pt">
              <v:textbox>
                <w:txbxContent>
                  <w:p w14:paraId="32C161AC" w14:textId="77777777" w:rsidR="00DE1912" w:rsidRPr="003A6A6F" w:rsidRDefault="00DE1912" w:rsidP="003A6A6F">
                    <w:pPr>
                      <w:spacing w:before="0" w:after="0"/>
                      <w:jc w:val="left"/>
                      <w:rPr>
                        <w:rFonts w:ascii="Geologica" w:hAnsi="Geologica"/>
                        <w:spacing w:val="6"/>
                        <w:sz w:val="20"/>
                        <w:szCs w:val="20"/>
                      </w:rPr>
                    </w:pPr>
                    <w:r w:rsidRPr="003D07A5">
                      <w:rPr>
                        <w:rFonts w:ascii="Geologica" w:hAnsi="Geologica" w:cs="Arial"/>
                        <w:b/>
                        <w:bCs/>
                        <w:spacing w:val="6"/>
                        <w:sz w:val="16"/>
                        <w:szCs w:val="16"/>
                        <w:lang w:val="en-US"/>
                      </w:rPr>
                      <w:t xml:space="preserve">Habeas Corpus – </w:t>
                    </w:r>
                    <w:r w:rsidRPr="003A6A6F">
                      <w:rPr>
                        <w:rFonts w:ascii="Geologica" w:hAnsi="Geologica" w:cs="Arial"/>
                        <w:spacing w:val="6"/>
                        <w:sz w:val="16"/>
                        <w:szCs w:val="16"/>
                        <w:lang w:val="en-US"/>
                      </w:rPr>
                      <w:t>Marcos Avenir Silvestre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F31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46FB4" w14:textId="77777777" w:rsidR="00527A5B" w:rsidRDefault="00527A5B" w:rsidP="009B30AA">
      <w:pPr>
        <w:spacing w:before="0" w:after="0" w:line="240" w:lineRule="auto"/>
      </w:pPr>
      <w:r>
        <w:separator/>
      </w:r>
    </w:p>
  </w:footnote>
  <w:footnote w:type="continuationSeparator" w:id="0">
    <w:p w14:paraId="445A2542" w14:textId="77777777" w:rsidR="00527A5B" w:rsidRDefault="00527A5B" w:rsidP="009B30A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8DE40" w14:textId="7561B0DE" w:rsidR="009B30AA" w:rsidRDefault="003D07A5">
    <w:pPr>
      <w:pStyle w:val="Cabealho"/>
    </w:pPr>
    <w:r w:rsidRPr="003D07A5">
      <w:rPr>
        <w:noProof/>
      </w:rPr>
      <w:drawing>
        <wp:anchor distT="0" distB="0" distL="114300" distR="114300" simplePos="0" relativeHeight="251680768" behindDoc="0" locked="0" layoutInCell="1" allowOverlap="1" wp14:anchorId="3FCB27AA" wp14:editId="160DB2A4">
          <wp:simplePos x="0" y="0"/>
          <wp:positionH relativeFrom="margin">
            <wp:posOffset>2330376</wp:posOffset>
          </wp:positionH>
          <wp:positionV relativeFrom="paragraph">
            <wp:posOffset>465404</wp:posOffset>
          </wp:positionV>
          <wp:extent cx="500584" cy="610085"/>
          <wp:effectExtent l="0" t="0" r="0" b="0"/>
          <wp:wrapNone/>
          <wp:docPr id="165408762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408762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0584" cy="6100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05D86" w14:textId="61B85EFA" w:rsidR="003D07A5" w:rsidRPr="003D07A5" w:rsidRDefault="003D07A5" w:rsidP="003D07A5">
    <w:pPr>
      <w:pStyle w:val="Cabealho"/>
      <w:rPr>
        <w:noProof/>
      </w:rPr>
    </w:pPr>
  </w:p>
  <w:p w14:paraId="2F8C3F6A" w14:textId="1059FE74" w:rsidR="006F3304" w:rsidRDefault="003A6A6F" w:rsidP="003D07A5">
    <w:pPr>
      <w:pStyle w:val="Cabealho"/>
      <w:rPr>
        <w:noProof/>
      </w:rPr>
    </w:pPr>
    <w:r w:rsidRPr="003D07A5">
      <w:rPr>
        <w:noProof/>
      </w:rPr>
      <w:drawing>
        <wp:anchor distT="0" distB="0" distL="114300" distR="114300" simplePos="0" relativeHeight="251678720" behindDoc="0" locked="0" layoutInCell="1" allowOverlap="1" wp14:anchorId="536860A4" wp14:editId="38048965">
          <wp:simplePos x="0" y="0"/>
          <wp:positionH relativeFrom="column">
            <wp:posOffset>-3981</wp:posOffset>
          </wp:positionH>
          <wp:positionV relativeFrom="paragraph">
            <wp:posOffset>113257</wp:posOffset>
          </wp:positionV>
          <wp:extent cx="2066075" cy="480561"/>
          <wp:effectExtent l="0" t="0" r="0" b="0"/>
          <wp:wrapNone/>
          <wp:docPr id="1416916785" name="Imagem 6" descr="Desenho de garrafa pret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6916785" name="Imagem 6" descr="Desenho de garrafa pret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6075" cy="480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75DFEAA" w14:textId="20B30F2D" w:rsidR="006F3304" w:rsidRDefault="006F3304" w:rsidP="003D07A5">
    <w:pPr>
      <w:pStyle w:val="Cabealho"/>
      <w:rPr>
        <w:noProof/>
      </w:rPr>
    </w:pPr>
  </w:p>
  <w:p w14:paraId="63C64184" w14:textId="653E0604" w:rsidR="006F3304" w:rsidRDefault="006F3304" w:rsidP="00B827A0">
    <w:pPr>
      <w:pStyle w:val="Cabealho"/>
      <w:rPr>
        <w:noProof/>
      </w:rPr>
    </w:pPr>
  </w:p>
  <w:p w14:paraId="04F01CA0" w14:textId="59C3A311" w:rsidR="006F3304" w:rsidRDefault="006F3304" w:rsidP="00B827A0">
    <w:pPr>
      <w:pStyle w:val="Cabealho"/>
      <w:rPr>
        <w:noProof/>
      </w:rPr>
    </w:pPr>
  </w:p>
  <w:p w14:paraId="70F80A64" w14:textId="482016F1" w:rsidR="006F3304" w:rsidRDefault="006F3304" w:rsidP="00B827A0">
    <w:pPr>
      <w:pStyle w:val="Cabealho"/>
      <w:rPr>
        <w:noProof/>
      </w:rPr>
    </w:pPr>
  </w:p>
  <w:p w14:paraId="101048DA" w14:textId="2842B0DD" w:rsidR="00C919E6" w:rsidRDefault="00C919E6" w:rsidP="00B827A0">
    <w:pPr>
      <w:pStyle w:val="Cabealho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A519" w14:textId="012BAAFD" w:rsidR="004F31A6" w:rsidRDefault="004F31A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6E6017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659021416" o:spid="_x0000_i1025" type="#_x0000_t75" style="width:298pt;height:373.5pt;visibility:visible;mso-wrap-style:square">
            <v:imagedata r:id="rId1" o:title=""/>
          </v:shape>
        </w:pict>
      </mc:Choice>
      <mc:Fallback>
        <w:drawing>
          <wp:inline distT="0" distB="0" distL="0" distR="0" wp14:anchorId="3BE6C077" wp14:editId="1E7266AE">
            <wp:extent cx="3784600" cy="4743450"/>
            <wp:effectExtent l="0" t="0" r="0" b="0"/>
            <wp:docPr id="1659021416" name="Imagem 1659021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D4F4A56"/>
    <w:multiLevelType w:val="multilevel"/>
    <w:tmpl w:val="3118E372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0263E67"/>
    <w:multiLevelType w:val="hybridMultilevel"/>
    <w:tmpl w:val="59A6ADCA"/>
    <w:lvl w:ilvl="0" w:tplc="C4E2AC18">
      <w:start w:val="1"/>
      <w:numFmt w:val="decimal"/>
      <w:pStyle w:val="sntesecontedo"/>
      <w:lvlText w:val="%1."/>
      <w:lvlJc w:val="left"/>
      <w:pPr>
        <w:ind w:left="2061" w:hanging="360"/>
      </w:pPr>
      <w:rPr>
        <w:rFonts w:hint="default"/>
        <w:b w:val="0"/>
        <w:bCs/>
        <w:i/>
        <w:i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4ECB131D"/>
    <w:multiLevelType w:val="hybridMultilevel"/>
    <w:tmpl w:val="671871A0"/>
    <w:lvl w:ilvl="0" w:tplc="9B7A33B0">
      <w:start w:val="1"/>
      <w:numFmt w:val="decimal"/>
      <w:pStyle w:val="1Ttulo"/>
      <w:lvlText w:val="%1."/>
      <w:lvlJc w:val="left"/>
      <w:pPr>
        <w:ind w:left="720" w:hanging="360"/>
      </w:pPr>
      <w:rPr>
        <w:rFonts w:cs="Bellefair" w:hint="default"/>
        <w:b/>
        <w:sz w:val="2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262D6F"/>
    <w:multiLevelType w:val="hybridMultilevel"/>
    <w:tmpl w:val="E780CF76"/>
    <w:lvl w:ilvl="0" w:tplc="93C0C7B0">
      <w:start w:val="1"/>
      <w:numFmt w:val="bullet"/>
      <w:pStyle w:val="4Lista1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B656062"/>
    <w:multiLevelType w:val="hybridMultilevel"/>
    <w:tmpl w:val="E87A1F4E"/>
    <w:lvl w:ilvl="0" w:tplc="76B2F87E">
      <w:start w:val="1"/>
      <w:numFmt w:val="lowerLetter"/>
      <w:pStyle w:val="5Listaalfa"/>
      <w:lvlText w:val="%1."/>
      <w:lvlJc w:val="left"/>
      <w:pPr>
        <w:ind w:left="720" w:hanging="360"/>
      </w:pPr>
      <w:rPr>
        <w:rFonts w:hint="default"/>
        <w:b w:val="0"/>
        <w:bCs/>
        <w:i/>
        <w:iCs/>
        <w:color w:val="152759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5380">
    <w:abstractNumId w:val="5"/>
  </w:num>
  <w:num w:numId="2" w16cid:durableId="993148584">
    <w:abstractNumId w:val="1"/>
  </w:num>
  <w:num w:numId="3" w16cid:durableId="654184047">
    <w:abstractNumId w:val="0"/>
  </w:num>
  <w:num w:numId="4" w16cid:durableId="2081829362">
    <w:abstractNumId w:val="2"/>
  </w:num>
  <w:num w:numId="5" w16cid:durableId="1860390131">
    <w:abstractNumId w:val="3"/>
  </w:num>
  <w:num w:numId="6" w16cid:durableId="194969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AA"/>
    <w:rsid w:val="00022413"/>
    <w:rsid w:val="00092BAE"/>
    <w:rsid w:val="000C12EE"/>
    <w:rsid w:val="000C7893"/>
    <w:rsid w:val="000E536D"/>
    <w:rsid w:val="00100883"/>
    <w:rsid w:val="001034B3"/>
    <w:rsid w:val="00131862"/>
    <w:rsid w:val="00176690"/>
    <w:rsid w:val="001876BF"/>
    <w:rsid w:val="001B068A"/>
    <w:rsid w:val="001B3318"/>
    <w:rsid w:val="001E22E3"/>
    <w:rsid w:val="00214ED4"/>
    <w:rsid w:val="00280A41"/>
    <w:rsid w:val="002B1EFB"/>
    <w:rsid w:val="002D34AA"/>
    <w:rsid w:val="002E15B0"/>
    <w:rsid w:val="002E58F6"/>
    <w:rsid w:val="002F5ACC"/>
    <w:rsid w:val="002F7ED7"/>
    <w:rsid w:val="00330F2D"/>
    <w:rsid w:val="00335AE9"/>
    <w:rsid w:val="003A6A6F"/>
    <w:rsid w:val="003D07A5"/>
    <w:rsid w:val="004316E8"/>
    <w:rsid w:val="004748C1"/>
    <w:rsid w:val="00485D04"/>
    <w:rsid w:val="00492641"/>
    <w:rsid w:val="004E1237"/>
    <w:rsid w:val="004F31A6"/>
    <w:rsid w:val="00503EFE"/>
    <w:rsid w:val="00516E8E"/>
    <w:rsid w:val="00527A5B"/>
    <w:rsid w:val="0053203A"/>
    <w:rsid w:val="0057017B"/>
    <w:rsid w:val="00577D09"/>
    <w:rsid w:val="00577DFD"/>
    <w:rsid w:val="00587E0B"/>
    <w:rsid w:val="00593AD0"/>
    <w:rsid w:val="005E3BE2"/>
    <w:rsid w:val="005F11FA"/>
    <w:rsid w:val="005F4A5E"/>
    <w:rsid w:val="0061178D"/>
    <w:rsid w:val="00644F92"/>
    <w:rsid w:val="006469A7"/>
    <w:rsid w:val="00647847"/>
    <w:rsid w:val="00673CF0"/>
    <w:rsid w:val="00677474"/>
    <w:rsid w:val="006A127E"/>
    <w:rsid w:val="006D42E5"/>
    <w:rsid w:val="006F0566"/>
    <w:rsid w:val="006F3304"/>
    <w:rsid w:val="00707776"/>
    <w:rsid w:val="00720C9D"/>
    <w:rsid w:val="00792014"/>
    <w:rsid w:val="0081373F"/>
    <w:rsid w:val="00846D60"/>
    <w:rsid w:val="0086092E"/>
    <w:rsid w:val="00873E88"/>
    <w:rsid w:val="00881058"/>
    <w:rsid w:val="00882DDA"/>
    <w:rsid w:val="008C3D47"/>
    <w:rsid w:val="008F4550"/>
    <w:rsid w:val="00933372"/>
    <w:rsid w:val="00935724"/>
    <w:rsid w:val="00950468"/>
    <w:rsid w:val="009A4B5E"/>
    <w:rsid w:val="009B30AA"/>
    <w:rsid w:val="009E1682"/>
    <w:rsid w:val="009E324A"/>
    <w:rsid w:val="009F1EEA"/>
    <w:rsid w:val="00A142DD"/>
    <w:rsid w:val="00A22FB3"/>
    <w:rsid w:val="00A4249B"/>
    <w:rsid w:val="00A45108"/>
    <w:rsid w:val="00AF5C7C"/>
    <w:rsid w:val="00B62441"/>
    <w:rsid w:val="00B640F5"/>
    <w:rsid w:val="00B827A0"/>
    <w:rsid w:val="00B91D17"/>
    <w:rsid w:val="00B920C6"/>
    <w:rsid w:val="00BA1771"/>
    <w:rsid w:val="00BA7330"/>
    <w:rsid w:val="00BB3E96"/>
    <w:rsid w:val="00BD07F3"/>
    <w:rsid w:val="00C47364"/>
    <w:rsid w:val="00C919E6"/>
    <w:rsid w:val="00C93B48"/>
    <w:rsid w:val="00CF08A1"/>
    <w:rsid w:val="00D00D66"/>
    <w:rsid w:val="00D24749"/>
    <w:rsid w:val="00D33D8F"/>
    <w:rsid w:val="00D43BC8"/>
    <w:rsid w:val="00D91950"/>
    <w:rsid w:val="00DB6D05"/>
    <w:rsid w:val="00DE1912"/>
    <w:rsid w:val="00DE20F3"/>
    <w:rsid w:val="00DE4604"/>
    <w:rsid w:val="00DF071A"/>
    <w:rsid w:val="00DF1BB4"/>
    <w:rsid w:val="00DF2B42"/>
    <w:rsid w:val="00E325CF"/>
    <w:rsid w:val="00EB021B"/>
    <w:rsid w:val="00F20076"/>
    <w:rsid w:val="00F50970"/>
    <w:rsid w:val="00F8715B"/>
    <w:rsid w:val="00FB7E79"/>
    <w:rsid w:val="00FC0580"/>
    <w:rsid w:val="00FD7295"/>
    <w:rsid w:val="00FD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96CE7F9"/>
  <w14:defaultImageDpi w14:val="32767"/>
  <w15:docId w15:val="{D28DF7C4-8EE4-458C-907A-122EDAFF5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325CF"/>
  </w:style>
  <w:style w:type="paragraph" w:styleId="Ttulo1">
    <w:name w:val="heading 1"/>
    <w:basedOn w:val="Normal"/>
    <w:next w:val="Normal"/>
    <w:link w:val="Ttulo1Char"/>
    <w:uiPriority w:val="9"/>
    <w:rsid w:val="004748C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333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3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4748C1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4748C1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47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4748C1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4748C1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933372"/>
    <w:pPr>
      <w:spacing w:before="360" w:after="240" w:line="288" w:lineRule="auto"/>
    </w:pPr>
    <w:rPr>
      <w:rFonts w:ascii="Alegreya Sans" w:hAnsi="Alegreya Sans"/>
      <w:b/>
      <w:bCs/>
      <w:noProof/>
      <w:color w:val="000000" w:themeColor="text1"/>
      <w:spacing w:val="10"/>
      <w:sz w:val="26"/>
      <w:szCs w:val="32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933372"/>
    <w:rPr>
      <w:rFonts w:ascii="Alegreya Sans" w:eastAsiaTheme="majorEastAsia" w:hAnsi="Alegreya Sans" w:cstheme="majorBidi"/>
      <w:b/>
      <w:bCs/>
      <w:i w:val="0"/>
      <w:iCs w:val="0"/>
      <w:noProof/>
      <w:color w:val="000000" w:themeColor="text1"/>
      <w:spacing w:val="10"/>
      <w:sz w:val="26"/>
      <w:szCs w:val="32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4748C1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4748C1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933372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933372"/>
    <w:rPr>
      <w:rFonts w:ascii="Alegreya Sans" w:eastAsiaTheme="majorEastAsia" w:hAnsi="Alegreya Sans" w:cstheme="majorBidi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3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33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5Lista">
    <w:name w:val="5 Lista"/>
    <w:basedOn w:val="PargrafodaLista"/>
    <w:next w:val="Normal"/>
    <w:link w:val="5ListaChar"/>
    <w:rsid w:val="00933372"/>
    <w:pPr>
      <w:numPr>
        <w:numId w:val="3"/>
      </w:numPr>
      <w:spacing w:line="288" w:lineRule="auto"/>
      <w:ind w:hanging="360"/>
    </w:pPr>
    <w:rPr>
      <w:rFonts w:ascii="Alegreya Sans" w:hAnsi="Alegreya Sans"/>
      <w:noProof/>
      <w:sz w:val="24"/>
      <w:szCs w:val="24"/>
      <w14:numForm w14:val="lining"/>
    </w:rPr>
  </w:style>
  <w:style w:type="character" w:customStyle="1" w:styleId="5ListaChar">
    <w:name w:val="5 Lista Char"/>
    <w:basedOn w:val="Fontepargpadro"/>
    <w:link w:val="5Lista"/>
    <w:rsid w:val="00933372"/>
    <w:rPr>
      <w:rFonts w:ascii="Alegreya Sans" w:hAnsi="Alegreya Sans"/>
      <w:noProof/>
      <w:sz w:val="24"/>
      <w:szCs w:val="24"/>
      <w14:numForm w14:val="lining"/>
    </w:rPr>
  </w:style>
  <w:style w:type="paragraph" w:styleId="PargrafodaLista">
    <w:name w:val="List Paragraph"/>
    <w:basedOn w:val="Normal"/>
    <w:uiPriority w:val="34"/>
    <w:rsid w:val="00933372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933372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933372"/>
    <w:rPr>
      <w:rFonts w:ascii="Alegreya Sans Medium" w:hAnsi="Alegreya Sans Medium"/>
      <w:color w:val="7A7256"/>
      <w:sz w:val="26"/>
      <w:szCs w:val="26"/>
      <w14:numForm w14:val="lining"/>
    </w:rPr>
  </w:style>
  <w:style w:type="paragraph" w:styleId="Cabealho">
    <w:name w:val="header"/>
    <w:basedOn w:val="Normal"/>
    <w:link w:val="CabealhoChar"/>
    <w:uiPriority w:val="99"/>
    <w:unhideWhenUsed/>
    <w:rsid w:val="009B30A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30AA"/>
  </w:style>
  <w:style w:type="paragraph" w:styleId="Rodap">
    <w:name w:val="footer"/>
    <w:basedOn w:val="Normal"/>
    <w:link w:val="RodapChar"/>
    <w:uiPriority w:val="99"/>
    <w:unhideWhenUsed/>
    <w:rsid w:val="009B30A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30AA"/>
  </w:style>
  <w:style w:type="paragraph" w:customStyle="1" w:styleId="ender1">
    <w:name w:val="ender.1"/>
    <w:next w:val="ender2"/>
    <w:rsid w:val="00DE20F3"/>
    <w:pPr>
      <w:spacing w:before="0" w:after="0" w:line="240" w:lineRule="auto"/>
    </w:pPr>
    <w:rPr>
      <w:rFonts w:ascii="Spectral" w:hAnsi="Spectral" w:cs="Bellefair"/>
      <w:i/>
      <w:iCs/>
      <w:sz w:val="24"/>
      <w:szCs w:val="24"/>
    </w:rPr>
  </w:style>
  <w:style w:type="paragraph" w:customStyle="1" w:styleId="ender2">
    <w:name w:val="ender.2"/>
    <w:next w:val="resini"/>
    <w:rsid w:val="00DE20F3"/>
    <w:pPr>
      <w:spacing w:before="0" w:after="480"/>
    </w:pPr>
    <w:rPr>
      <w:rFonts w:ascii="Spectral" w:hAnsi="Spectral" w:cs="Bellefair"/>
      <w:b/>
      <w:bCs/>
      <w:sz w:val="26"/>
      <w:szCs w:val="26"/>
    </w:rPr>
  </w:style>
  <w:style w:type="paragraph" w:customStyle="1" w:styleId="resini">
    <w:name w:val="res ini"/>
    <w:next w:val="descresini"/>
    <w:rsid w:val="00DE20F3"/>
    <w:pPr>
      <w:spacing w:before="0" w:after="0" w:line="240" w:lineRule="auto"/>
    </w:pPr>
    <w:rPr>
      <w:rFonts w:ascii="Spectral" w:hAnsi="Spectral" w:cs="Bellefair"/>
    </w:rPr>
  </w:style>
  <w:style w:type="paragraph" w:customStyle="1" w:styleId="descresini">
    <w:name w:val="desc res ini"/>
    <w:next w:val="sntese"/>
    <w:rsid w:val="00DE20F3"/>
    <w:pPr>
      <w:spacing w:before="0" w:line="240" w:lineRule="auto"/>
    </w:pPr>
    <w:rPr>
      <w:rFonts w:ascii="Spectral" w:hAnsi="Spectral" w:cs="Bellefair"/>
      <w:color w:val="152759"/>
    </w:rPr>
  </w:style>
  <w:style w:type="paragraph" w:customStyle="1" w:styleId="sntese">
    <w:name w:val="síntese"/>
    <w:next w:val="sntesecontedo"/>
    <w:rsid w:val="00DE20F3"/>
    <w:pPr>
      <w:spacing w:before="480" w:after="0"/>
      <w:ind w:left="1701"/>
    </w:pPr>
    <w:rPr>
      <w:rFonts w:ascii="Spectral" w:hAnsi="Spectral" w:cs="Bellefair"/>
      <w:b/>
      <w:bCs/>
      <w:i/>
      <w:iCs/>
      <w:color w:val="152759"/>
      <w:sz w:val="26"/>
      <w:szCs w:val="26"/>
    </w:rPr>
  </w:style>
  <w:style w:type="paragraph" w:customStyle="1" w:styleId="sntesecontedo">
    <w:name w:val="síntese conteúdo"/>
    <w:rsid w:val="00DE20F3"/>
    <w:pPr>
      <w:numPr>
        <w:numId w:val="2"/>
      </w:numPr>
      <w:spacing w:before="0" w:after="120" w:line="240" w:lineRule="auto"/>
      <w:ind w:left="1701" w:hanging="357"/>
    </w:pPr>
    <w:rPr>
      <w:rFonts w:ascii="Spectral" w:hAnsi="Spectral" w:cs="Bellefair"/>
      <w:sz w:val="24"/>
      <w:szCs w:val="24"/>
    </w:rPr>
  </w:style>
  <w:style w:type="paragraph" w:customStyle="1" w:styleId="qualificao">
    <w:name w:val="qualificação"/>
    <w:rsid w:val="00DE20F3"/>
    <w:pPr>
      <w:tabs>
        <w:tab w:val="left" w:pos="2100"/>
      </w:tabs>
      <w:spacing w:before="0" w:after="120" w:line="240" w:lineRule="auto"/>
      <w:ind w:left="1701"/>
    </w:pPr>
    <w:rPr>
      <w:rFonts w:ascii="Spectral" w:hAnsi="Spectral"/>
      <w:sz w:val="24"/>
      <w:szCs w:val="24"/>
    </w:rPr>
  </w:style>
  <w:style w:type="paragraph" w:customStyle="1" w:styleId="qualtexto">
    <w:name w:val="qual. texto"/>
    <w:rsid w:val="00DE20F3"/>
    <w:pPr>
      <w:tabs>
        <w:tab w:val="left" w:pos="2100"/>
      </w:tabs>
      <w:spacing w:line="240" w:lineRule="auto"/>
    </w:pPr>
    <w:rPr>
      <w:rFonts w:ascii="Spectral" w:hAnsi="Spectral"/>
      <w:sz w:val="24"/>
      <w:szCs w:val="24"/>
    </w:rPr>
  </w:style>
  <w:style w:type="paragraph" w:customStyle="1" w:styleId="HC">
    <w:name w:val="HC"/>
    <w:next w:val="liminar"/>
    <w:rsid w:val="00DE20F3"/>
    <w:pPr>
      <w:pBdr>
        <w:top w:val="single" w:sz="2" w:space="1" w:color="BFBFBF" w:themeColor="background1" w:themeShade="BF"/>
        <w:bottom w:val="single" w:sz="2" w:space="1" w:color="BFBFBF" w:themeColor="background1" w:themeShade="BF"/>
      </w:pBdr>
      <w:tabs>
        <w:tab w:val="left" w:pos="2100"/>
      </w:tabs>
      <w:spacing w:after="0" w:line="240" w:lineRule="auto"/>
      <w:jc w:val="center"/>
    </w:pPr>
    <w:rPr>
      <w:rFonts w:ascii="Spectral" w:hAnsi="Spectral"/>
      <w:b/>
      <w:bCs/>
      <w:color w:val="152759"/>
      <w:spacing w:val="60"/>
      <w:sz w:val="24"/>
      <w:szCs w:val="24"/>
    </w:rPr>
  </w:style>
  <w:style w:type="paragraph" w:customStyle="1" w:styleId="liminar">
    <w:name w:val="liminar"/>
    <w:next w:val="qualtexto"/>
    <w:rsid w:val="00DE20F3"/>
    <w:pPr>
      <w:pBdr>
        <w:top w:val="single" w:sz="2" w:space="1" w:color="BFBFBF" w:themeColor="background1" w:themeShade="BF"/>
        <w:bottom w:val="single" w:sz="2" w:space="1" w:color="BFBFBF" w:themeColor="background1" w:themeShade="BF"/>
      </w:pBdr>
      <w:tabs>
        <w:tab w:val="left" w:pos="2100"/>
      </w:tabs>
      <w:spacing w:before="0" w:line="240" w:lineRule="auto"/>
      <w:jc w:val="center"/>
    </w:pPr>
    <w:rPr>
      <w:rFonts w:ascii="Spectral" w:hAnsi="Spectral"/>
      <w:i/>
      <w:iCs/>
      <w:color w:val="152759"/>
      <w:sz w:val="24"/>
      <w:szCs w:val="24"/>
    </w:rPr>
  </w:style>
  <w:style w:type="paragraph" w:customStyle="1" w:styleId="1Ttulo">
    <w:name w:val="1 Título"/>
    <w:next w:val="11Descriodottulo"/>
    <w:qFormat/>
    <w:rsid w:val="003D07A5"/>
    <w:pPr>
      <w:keepNext/>
      <w:numPr>
        <w:numId w:val="4"/>
      </w:numPr>
      <w:tabs>
        <w:tab w:val="left" w:pos="1212"/>
      </w:tabs>
      <w:spacing w:after="0" w:line="240" w:lineRule="auto"/>
      <w:ind w:left="0" w:hanging="357"/>
    </w:pPr>
    <w:rPr>
      <w:rFonts w:ascii="Spectral" w:hAnsi="Spectral" w:cs="Bellefair"/>
      <w:b/>
      <w:bCs/>
      <w:sz w:val="27"/>
      <w:szCs w:val="27"/>
    </w:rPr>
  </w:style>
  <w:style w:type="paragraph" w:customStyle="1" w:styleId="11Descriodottulo">
    <w:name w:val="1.1 Descrição do título"/>
    <w:next w:val="0Corpo"/>
    <w:qFormat/>
    <w:rsid w:val="00BA7330"/>
    <w:pPr>
      <w:tabs>
        <w:tab w:val="left" w:pos="1212"/>
      </w:tabs>
      <w:spacing w:before="0" w:line="240" w:lineRule="auto"/>
    </w:pPr>
    <w:rPr>
      <w:rFonts w:ascii="Spectral" w:hAnsi="Spectral"/>
      <w:smallCaps/>
      <w:color w:val="404040" w:themeColor="text1" w:themeTint="BF"/>
      <w:sz w:val="24"/>
      <w:szCs w:val="24"/>
    </w:rPr>
  </w:style>
  <w:style w:type="paragraph" w:customStyle="1" w:styleId="0Corpo">
    <w:name w:val="0 Corpo"/>
    <w:link w:val="0CorpoChar"/>
    <w:qFormat/>
    <w:rsid w:val="00131862"/>
    <w:pPr>
      <w:spacing w:before="160" w:after="160" w:line="264" w:lineRule="auto"/>
      <w:ind w:firstLine="567"/>
    </w:pPr>
    <w:rPr>
      <w:rFonts w:ascii="Spectral" w:hAnsi="Spectral" w:cs="Microsoft New Tai Lue"/>
      <w:sz w:val="23"/>
      <w:szCs w:val="23"/>
    </w:rPr>
  </w:style>
  <w:style w:type="paragraph" w:customStyle="1" w:styleId="2Subttulo">
    <w:name w:val="2 Subtítulo"/>
    <w:next w:val="0Corpo"/>
    <w:qFormat/>
    <w:rsid w:val="00100883"/>
    <w:pPr>
      <w:spacing w:before="200" w:after="200" w:line="264" w:lineRule="auto"/>
    </w:pPr>
    <w:rPr>
      <w:rFonts w:ascii="Spectral" w:hAnsi="Spectral" w:cs="Microsoft New Tai Lue"/>
      <w:b/>
      <w:bCs/>
      <w:color w:val="404040" w:themeColor="text1" w:themeTint="BF"/>
      <w:sz w:val="23"/>
      <w:szCs w:val="23"/>
    </w:rPr>
  </w:style>
  <w:style w:type="character" w:customStyle="1" w:styleId="3Destaquefortecinza">
    <w:name w:val="3 Destaque forte cinza"/>
    <w:basedOn w:val="Fontepargpadro"/>
    <w:uiPriority w:val="1"/>
    <w:qFormat/>
    <w:rsid w:val="00100883"/>
    <w:rPr>
      <w:rFonts w:ascii="Spectral" w:hAnsi="Spectral" w:cs="Microsoft New Tai Lue"/>
      <w:b/>
      <w:bCs/>
      <w:color w:val="404040" w:themeColor="text1" w:themeTint="BF"/>
      <w:sz w:val="23"/>
      <w:szCs w:val="23"/>
    </w:rPr>
  </w:style>
  <w:style w:type="paragraph" w:customStyle="1" w:styleId="4Lista1">
    <w:name w:val="4 Lista 1"/>
    <w:qFormat/>
    <w:rsid w:val="00BA7330"/>
    <w:pPr>
      <w:numPr>
        <w:numId w:val="5"/>
      </w:numPr>
      <w:spacing w:before="200" w:after="200" w:line="264" w:lineRule="auto"/>
      <w:ind w:left="567" w:hanging="357"/>
      <w:contextualSpacing/>
    </w:pPr>
    <w:rPr>
      <w:rFonts w:ascii="Spectral" w:hAnsi="Spectral" w:cs="Microsoft New Tai Lue"/>
      <w:b/>
      <w:bCs/>
      <w:sz w:val="23"/>
      <w:szCs w:val="23"/>
    </w:rPr>
  </w:style>
  <w:style w:type="paragraph" w:customStyle="1" w:styleId="31Destaquelinhas">
    <w:name w:val="3.1 Destaque linhas"/>
    <w:next w:val="0Corpo"/>
    <w:qFormat/>
    <w:rsid w:val="00100883"/>
    <w:pPr>
      <w:pBdr>
        <w:top w:val="single" w:sz="4" w:space="1" w:color="152759"/>
        <w:bottom w:val="single" w:sz="4" w:space="1" w:color="152759"/>
      </w:pBdr>
      <w:spacing w:before="200" w:after="200" w:line="264" w:lineRule="auto"/>
      <w:ind w:firstLine="567"/>
    </w:pPr>
    <w:rPr>
      <w:rFonts w:ascii="Spectral" w:hAnsi="Spectral" w:cs="Microsoft New Tai Lue"/>
      <w:sz w:val="23"/>
      <w:szCs w:val="23"/>
    </w:rPr>
  </w:style>
  <w:style w:type="paragraph" w:customStyle="1" w:styleId="5Listaalfa">
    <w:name w:val="5 Lista alfa"/>
    <w:qFormat/>
    <w:rsid w:val="00100883"/>
    <w:pPr>
      <w:numPr>
        <w:numId w:val="6"/>
      </w:numPr>
      <w:spacing w:before="120" w:after="120"/>
      <w:ind w:left="567" w:hanging="567"/>
    </w:pPr>
    <w:rPr>
      <w:rFonts w:ascii="Spectral" w:hAnsi="Spectral" w:cs="Microsoft New Tai Lue"/>
      <w:sz w:val="23"/>
      <w:szCs w:val="23"/>
    </w:rPr>
  </w:style>
  <w:style w:type="table" w:styleId="Tabelacomgrade">
    <w:name w:val="Table Grid"/>
    <w:basedOn w:val="Tabelanormal"/>
    <w:uiPriority w:val="39"/>
    <w:rsid w:val="00B91D1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2E15B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E15B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E15B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E15B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E15B0"/>
    <w:rPr>
      <w:b/>
      <w:bCs/>
      <w:sz w:val="20"/>
      <w:szCs w:val="20"/>
    </w:rPr>
  </w:style>
  <w:style w:type="paragraph" w:customStyle="1" w:styleId="Textotabela">
    <w:name w:val="Texto tabela"/>
    <w:basedOn w:val="0Corpo"/>
    <w:link w:val="TextotabelaChar"/>
    <w:qFormat/>
    <w:rsid w:val="00131862"/>
    <w:pPr>
      <w:spacing w:before="60" w:after="60"/>
      <w:ind w:firstLine="0"/>
    </w:pPr>
    <w:rPr>
      <w:bCs/>
      <w:color w:val="404040" w:themeColor="text1" w:themeTint="BF"/>
      <w:sz w:val="20"/>
      <w:szCs w:val="20"/>
    </w:rPr>
  </w:style>
  <w:style w:type="character" w:customStyle="1" w:styleId="0CorpoChar">
    <w:name w:val="0 Corpo Char"/>
    <w:basedOn w:val="Fontepargpadro"/>
    <w:link w:val="0Corpo"/>
    <w:rsid w:val="00131862"/>
    <w:rPr>
      <w:rFonts w:ascii="Spectral" w:hAnsi="Spectral" w:cs="Microsoft New Tai Lue"/>
      <w:sz w:val="23"/>
      <w:szCs w:val="23"/>
    </w:rPr>
  </w:style>
  <w:style w:type="character" w:customStyle="1" w:styleId="TextotabelaChar">
    <w:name w:val="Texto tabela Char"/>
    <w:basedOn w:val="0CorpoChar"/>
    <w:link w:val="Textotabela"/>
    <w:rsid w:val="00131862"/>
    <w:rPr>
      <w:rFonts w:ascii="Spectral" w:hAnsi="Spectral" w:cs="Microsoft New Tai Lue"/>
      <w:bCs/>
      <w:color w:val="404040" w:themeColor="text1" w:themeTint="BF"/>
      <w:sz w:val="20"/>
      <w:szCs w:val="20"/>
    </w:rPr>
  </w:style>
  <w:style w:type="paragraph" w:customStyle="1" w:styleId="Textotabelanegrito">
    <w:name w:val="Texto tabela negrito"/>
    <w:link w:val="TextotabelanegritoChar"/>
    <w:qFormat/>
    <w:rsid w:val="00131862"/>
    <w:pPr>
      <w:spacing w:before="60" w:after="60" w:line="240" w:lineRule="auto"/>
      <w:jc w:val="right"/>
    </w:pPr>
    <w:rPr>
      <w:rFonts w:ascii="Spectral" w:hAnsi="Spectral" w:cs="Microsoft New Tai Lue"/>
    </w:rPr>
  </w:style>
  <w:style w:type="character" w:customStyle="1" w:styleId="TextotabelanegritoChar">
    <w:name w:val="Texto tabela negrito Char"/>
    <w:basedOn w:val="0CorpoChar"/>
    <w:link w:val="Textotabelanegrito"/>
    <w:rsid w:val="00131862"/>
    <w:rPr>
      <w:rFonts w:ascii="Spectral" w:hAnsi="Spectral" w:cs="Microsoft New Tai Lue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90CD9-778D-4526-826E-753799D63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1766</Words>
  <Characters>9541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4</cp:revision>
  <dcterms:created xsi:type="dcterms:W3CDTF">2025-04-14T22:32:00Z</dcterms:created>
  <dcterms:modified xsi:type="dcterms:W3CDTF">2025-05-15T23:16:00Z</dcterms:modified>
</cp:coreProperties>
</file>