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AÇÃO DE OBRIGAÇÃO DE FAZER</w:t>
      </w:r>
    </w:p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C/C INDENIZAÇÃO POR DANOS MORAIS E MATERIAIS</w:t>
      </w:r>
    </w:p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COM PEDIDO DE TUTELA DE URGÊNCIA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p>
      <w:pPr>
        <w:jc w:val="center"/>
      </w:pPr>
      <w:r>
        <w:rPr>
          <w:rFonts w:ascii="Times New Roman" w:hAnsi="Times New Roman"/>
          <w:b w:val="0"/>
          <w:color w:val="0D2340"/>
          <w:sz w:val="22"/>
          <w:spacing w:val="80"/>
        </w:rPr>
        <w:t>QUADRO-RESUMO</w:t>
      </w:r>
    </w:p>
    <w:p>
      <w:pPr>
        <w:jc w:val="center"/>
      </w:pPr>
      <w:r>
        <w:rPr>
          <w:color w:val="0D2340"/>
          <w:sz w:val="16"/>
        </w:rPr>
        <w:t>◆</w:t>
      </w:r>
    </w:p>
    <w:p/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Elemento</w:t>
            </w:r>
          </w:p>
        </w:tc>
        <w:tc>
          <w:tcPr>
            <w:tcW w:type="dxa" w:w="4677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Síntese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Contexto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O autor quitou integralmente empréstimo pessoal junto ao réu em 10/11/2024; o banco manteve a negativação do nome do autor nos cadastros de proteção ao crédito após a quitação.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Controvérsia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Se a manutenção da inscrição negativa após a quitação integral da dívida, e após escoado o prazo do art. 43, CDC c/c Súmula 548/STJ, gera dever de indenizar.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Fundamento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Súmula 548/STJ; art. 43, §§ 1º e 3º, do CDC; arts. 186 e 927 do Código Civil.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Prova relevante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Comprovante de quitação (Doc. 3); extrato SPC/Serasa com a negativação ainda ativa após a quitação (Doc. 4); e-mail de recusa de crédito comercial pelo fornecedor do autor (Doc. 6).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Pedido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Tutela de urgência para exclusão imediata da negativação; indenização por danos morais (R$ 10.000,00) e materiais (R$ 3.200,00).</w:t>
            </w:r>
          </w:p>
        </w:tc>
      </w:tr>
    </w:tbl>
    <w:p/>
    <w:p/>
    <w:p>
      <w:pPr>
        <w:jc w:val="center"/>
      </w:pPr>
      <w:r>
        <w:rPr>
          <w:b/>
          <w:i w:val="0"/>
        </w:rPr>
        <w:t>Ao Juízo da 3ª Vara Cível da Comarca de São José dos Campos/SP</w:t>
      </w:r>
    </w:p>
    <w:p/>
    <w:p>
      <w:pPr>
        <w:pStyle w:val="AECorpo"/>
      </w:pPr>
      <w:r>
        <w:rPr>
          <w:b w:val="0"/>
          <w:i w:val="0"/>
        </w:rPr>
        <w:t>ROBERTO CARLOS ALMEIDA SANTOS, brasileiro, casado, comerciante, portador da cédula de identidade RG nº 11.222.333-4 SSP/SP, inscrito no CPF sob o nº 111.222.333-44, residente e domiciliado na Rua das Acácias, nº 250, Jardim Aquarius, São José dos Campos/SP, CEP 12246-000, e-mail roberto.santos@exemplo.com.br, por seu advogado que esta subscreve (procuração anexa), vem, respeitosamente, à presença de Vossa Excelência propor a presente</w:t>
      </w:r>
    </w:p>
    <w:p/>
    <w:p>
      <w:pPr>
        <w:jc w:val="center"/>
      </w:pPr>
      <w:r>
        <w:rPr>
          <w:b/>
          <w:i w:val="0"/>
        </w:rPr>
        <w:t>AÇÃO DE OBRIGAÇÃO DE FAZER C/C INDENIZAÇÃO POR DANOS MORAIS E MATERIAIS, COM PEDIDO DE TUTELA DE URGÊNCIA</w:t>
      </w:r>
    </w:p>
    <w:p/>
    <w:p>
      <w:pPr>
        <w:pStyle w:val="AECorpo"/>
      </w:pPr>
      <w:r>
        <w:rPr>
          <w:b w:val="0"/>
          <w:i w:val="0"/>
        </w:rPr>
        <w:t>em face de BANCO FICTÍCIO NACIONAL S.A., pessoa jurídica de direito privado, inscrita no CNPJ sob o nº 00.000.000/0001-00, com sede na Avenida Central, nº 1.000, Centro, São Paulo/SP, pelos fatos e fundamentos a seguir expostos.</w:t>
      </w:r>
    </w:p>
    <w:p/>
    <w:p>
      <w:pPr>
        <w:pStyle w:val="AETtulo2"/>
      </w:pPr>
      <w:r>
        <w:rPr>
          <w:b/>
          <w:i w:val="0"/>
        </w:rPr>
        <w:t>I — DOS FATOS</w:t>
      </w:r>
    </w:p>
    <w:p/>
    <w:p>
      <w:pPr>
        <w:pStyle w:val="AECorpo"/>
      </w:pPr>
      <w:r>
        <w:rPr>
          <w:b w:val="0"/>
          <w:i w:val="0"/>
        </w:rPr>
        <w:t>Em 15/01/2024, o autor contraiu empréstimo pessoal no valor de R$ 8.000,00 junto ao réu, a ser pago em 12 (doze) parcelas mensais.</w:t>
      </w:r>
    </w:p>
    <w:p/>
    <w:p>
      <w:pPr>
        <w:pStyle w:val="AECorpo"/>
      </w:pPr>
      <w:r>
        <w:rPr>
          <w:b w:val="0"/>
          <w:i w:val="0"/>
        </w:rPr>
        <w:t>Em 10/11/2024, o autor quitou integralmente a última parcela do empréstimo, conforme comprovante de pagamento em anexo (Doc. 3).</w:t>
      </w:r>
    </w:p>
    <w:p/>
    <w:p>
      <w:pPr>
        <w:pStyle w:val="AECorpo"/>
      </w:pPr>
      <w:r>
        <w:rPr>
          <w:b w:val="0"/>
          <w:i w:val="0"/>
        </w:rPr>
        <w:t>Nos termos do art. 43, § 3º, do Código de Defesa do Consumidor e da Súmula 548 do Superior Tribunal de Justiça, incumbia ao réu promover a baixa da inscrição negativa no prazo de 5 (cinco) dias úteis a contar do pagamento integral do débito.</w:t>
      </w:r>
    </w:p>
    <w:p/>
    <w:p>
      <w:pPr>
        <w:pStyle w:val="AECorpo"/>
      </w:pPr>
      <w:r>
        <w:rPr>
          <w:b w:val="0"/>
          <w:i w:val="0"/>
        </w:rPr>
        <w:t>Ocorre que, ao tentar contratar novo financiamento para sua atividade comercial, o autor foi surpreendido, em 05/12/2024, ao constatar que seu nome permanecia inscrito nos cadastros de proteção ao crédito (SPC/Serasa) pela mesma dívida já quitada havia quase um mês (Doc. 4 — extrato SPC/Serasa).</w:t>
      </w:r>
    </w:p>
    <w:p/>
    <w:p>
      <w:pPr>
        <w:pStyle w:val="AECorpo"/>
      </w:pPr>
      <w:r>
        <w:rPr>
          <w:b w:val="0"/>
          <w:i w:val="0"/>
        </w:rPr>
        <w:t>Em 06/12/2024, o autor entrou em contato com o SAC do réu (protocolo nº 445566), sem que a situação fosse resolvida (Doc. 5 — comprovante de protocolo).</w:t>
      </w:r>
    </w:p>
    <w:p/>
    <w:p>
      <w:pPr>
        <w:pStyle w:val="AECorpo"/>
      </w:pPr>
      <w:r>
        <w:rPr>
          <w:b w:val="0"/>
          <w:i w:val="0"/>
        </w:rPr>
        <w:t>Em 10/12/2024, em razão da negativação indevida, o fornecedor do autor recusou a concessão de crédito para aquisição de mercadoria destinada à revenda em seu comércio, causando-lhe prejuízo material direto (Doc. 6 — e-mail de recusa do fornecedor).</w:t>
      </w:r>
    </w:p>
    <w:p/>
    <w:p>
      <w:pPr>
        <w:pStyle w:val="AECorpo"/>
      </w:pPr>
      <w:r>
        <w:rPr>
          <w:b w:val="0"/>
          <w:i w:val="0"/>
        </w:rPr>
        <w:t>Para melhor visualização da sequência dos fatos, veja-se a linha do tempo abaixo.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Data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Fato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Observação</w:t>
            </w:r>
          </w:p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15/01/2024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Contratação do empréstimo pessoal (R$ 8.000,00, 12x)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Doc. 2 — contrato</w:t>
            </w:r>
          </w:p>
        </w:tc>
        <w:tc>
          <w:tcPr>
            <w:tcW w:type="dxa" w:w="2339"/>
            <w:shd w:val="clear" w:color="auto" w:fill="F8F8F6"/>
          </w:tcPr>
          <w:p/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10/11/2024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Quitação integral da última parcela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Doc. 3 — comprovante de pagamento</w:t>
            </w:r>
          </w:p>
        </w:tc>
        <w:tc>
          <w:tcPr>
            <w:tcW w:type="dxa" w:w="2339"/>
            <w:shd w:val="clear" w:color="auto" w:fill="FFFFFF"/>
          </w:tcPr>
          <w:p/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20/11/2024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Vencimento do prazo do art. 43 § 3º CDC / Súmula 548 STJ (5 dias úteis) sem baixa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339"/>
            <w:shd w:val="clear" w:color="auto" w:fill="F8F8F6"/>
          </w:tcPr>
          <w:p/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05/12/2024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Autor constata que a negativação permanece ativa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Doc. 4 — extrato SPC/Serasa</w:t>
            </w:r>
          </w:p>
        </w:tc>
        <w:tc>
          <w:tcPr>
            <w:tcW w:type="dxa" w:w="2339"/>
            <w:shd w:val="clear" w:color="auto" w:fill="FFFFFF"/>
          </w:tcPr>
          <w:p/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06/12/2024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Contato com o SAC do réu sem solução (protocolo 445566)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Doc. 5 — comprovante de protocolo</w:t>
            </w:r>
          </w:p>
        </w:tc>
        <w:tc>
          <w:tcPr>
            <w:tcW w:type="dxa" w:w="2339"/>
            <w:shd w:val="clear" w:color="auto" w:fill="F8F8F6"/>
          </w:tcPr>
          <w:p/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10/12/2024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Recusa de crédito comercial pelo fornecedor do autor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Doc. 6 — e-mail de recusa</w:t>
            </w:r>
          </w:p>
        </w:tc>
        <w:tc>
          <w:tcPr>
            <w:tcW w:type="dxa" w:w="2339"/>
            <w:shd w:val="clear" w:color="auto" w:fill="FFFFFF"/>
          </w:tcPr>
          <w:p/>
        </w:tc>
      </w:tr>
    </w:tbl>
    <w:p/>
    <w:p/>
    <w:p>
      <w:pPr>
        <w:pStyle w:val="AETtulo2"/>
      </w:pPr>
      <w:r>
        <w:rPr>
          <w:b/>
          <w:i w:val="0"/>
        </w:rPr>
        <w:t>II — DA TUTELA DE URGÊNCIA</w:t>
      </w:r>
    </w:p>
    <w:p/>
    <w:p>
      <w:pPr>
        <w:pStyle w:val="AECorpo"/>
      </w:pPr>
      <w:r>
        <w:rPr>
          <w:b w:val="0"/>
          <w:i w:val="0"/>
        </w:rPr>
        <w:t>Estão presentes os requisitos do art. 300 do CPC para a concessão de tutela de urgência.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9354"/>
            <w:gridSpan w:val="2"/>
            <w:shd w:val="clear" w:color="auto" w:fill="F1F1EB"/>
          </w:tcPr>
          <w:p>
            <w:pPr>
              <w:jc w:val="center"/>
            </w:pPr>
            <w:r>
              <w:rPr>
                <w:b/>
                <w:i w:val="0"/>
              </w:rPr>
              <w:t>Requisitos da tutela de urgência (art. 300, CPC)</w:t>
            </w:r>
          </w:p>
        </w:tc>
      </w:tr>
      <w:tr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Probabilidade do direito</w:t>
            </w:r>
          </w:p>
        </w:tc>
        <w:tc>
          <w:tcPr>
            <w:tcW w:type="dxa" w:w="4677"/>
            <w:shd w:val="clear" w:color="auto" w:fill="F8F8F6"/>
          </w:tcPr>
          <w:p>
            <w:r>
              <w:rPr>
                <w:b w:val="0"/>
                <w:i w:val="0"/>
              </w:rPr>
              <w:t>Comprovante de quitação (Doc. 3) somado ao extrato que demonstra a negativação ainda ativa após o pagamento (Doc. 4), à vista do prazo do art. 43 § 3º CDC e da Súmula 548/STJ.</w:t>
            </w:r>
          </w:p>
        </w:tc>
      </w:tr>
      <w:tr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Perigo de dano</w:t>
            </w:r>
          </w:p>
        </w:tc>
        <w:tc>
          <w:tcPr>
            <w:tcW w:type="dxa" w:w="4677"/>
            <w:shd w:val="clear" w:color="auto" w:fill="FFFFFF"/>
          </w:tcPr>
          <w:p>
            <w:r>
              <w:rPr>
                <w:b w:val="0"/>
                <w:i w:val="0"/>
              </w:rPr>
              <w:t>O autor é comerciante e depende de crédito para sua atividade; a manutenção da negativação já lhe custou uma recusa concreta de crédito comercial (Doc. 6), e cada dia de manutenção agrava o prejuízo à sua atividade econômica.</w:t>
            </w:r>
          </w:p>
        </w:tc>
      </w:tr>
    </w:tbl>
    <w:p/>
    <w:p/>
    <w:p>
      <w:pPr>
        <w:pStyle w:val="AECorpo"/>
      </w:pPr>
      <w:r>
        <w:rPr>
          <w:b w:val="0"/>
          <w:i w:val="0"/>
        </w:rPr>
        <w:t>Diante do exposto, requer a concessão de tutela de urgência, inaudita altera parte, para determinar ao réu que promova a exclusão do nome do autor dos cadastros de proteção ao crédito (SPC/Serasa) no prazo de 5 (cinco) dias úteis, sob pena de multa diária a ser arbitrada por este Juízo.</w:t>
      </w:r>
    </w:p>
    <w:p/>
    <w:p>
      <w:pPr>
        <w:pStyle w:val="AETtulo2"/>
      </w:pPr>
      <w:r>
        <w:rPr>
          <w:b/>
          <w:i w:val="0"/>
        </w:rPr>
        <w:t>III — DO DIREITO</w:t>
      </w:r>
    </w:p>
    <w:p/>
    <w:p>
      <w:pPr>
        <w:pStyle w:val="AECorpo"/>
      </w:pPr>
      <w:r>
        <w:rPr>
          <w:b w:val="0"/>
          <w:i w:val="0"/>
        </w:rPr>
        <w:t>O art. 43, § 3º, do Código de Defesa do Consumidor exige que a correção de informação de cadastro inexata seja comunicada em até 5 (cinco) dias úteis.</w:t>
      </w:r>
    </w:p>
    <w:p/>
    <w:p>
      <w:pPr>
        <w:pStyle w:val="AECorpo"/>
      </w:pPr>
      <w:r>
        <w:rPr>
          <w:b w:val="0"/>
          <w:i w:val="0"/>
        </w:rPr>
        <w:t>O Superior Tribunal de Justiça consolidou essa exigência para a hipótese de pagamento integral do débito, conforme a súmula abaixo.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677"/>
        <w:gridCol w:w="4677"/>
      </w:tblGrid>
      <w:tr>
        <w:tc>
          <w:tcPr>
            <w:tcW w:type="dxa" w:w="4677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Súmula 548/STJ</w:t>
            </w:r>
          </w:p>
        </w:tc>
        <w:tc>
          <w:tcPr>
            <w:tcW w:type="dxa" w:w="4677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"Incumbe ao credor a exclusão do registro da dívida em nome do devedor no cadastro de inadimplentes no prazo de cinco dias úteis, a partir do integral e efetivo pagamento do débito."</w:t>
            </w:r>
          </w:p>
        </w:tc>
      </w:tr>
    </w:tbl>
    <w:p/>
    <w:p/>
    <w:p>
      <w:pPr>
        <w:pStyle w:val="AECorpo"/>
      </w:pPr>
      <w:r>
        <w:rPr>
          <w:b w:val="0"/>
          <w:i w:val="0"/>
        </w:rPr>
        <w:t>No caso concreto, o réu ultrapassou em muito esse prazo: a quitação ocorreu em 10/11/2024 e a negativação ainda estava ativa em 05/12/2024, quase um mês depois.</w:t>
      </w:r>
    </w:p>
    <w:p/>
    <w:p>
      <w:pPr>
        <w:pStyle w:val="AECorpo"/>
      </w:pPr>
      <w:r>
        <w:rPr>
          <w:b w:val="0"/>
          <w:i w:val="0"/>
        </w:rPr>
        <w:t>A manutenção indevida da inscrição, somada à ausência de solução administrativa (Doc. 5), configura ato ilícito nos termos dos arts. 186 e 927 do Código Civil, gerando o dever de indenizar.</w:t>
      </w:r>
    </w:p>
    <w:p/>
    <w:p>
      <w:pPr>
        <w:pStyle w:val="AETtulo2"/>
      </w:pPr>
      <w:r>
        <w:rPr>
          <w:b/>
          <w:i w:val="0"/>
        </w:rPr>
        <w:t>IV — DOS DANOS MORAIS E MATERIAIS</w:t>
      </w:r>
    </w:p>
    <w:p/>
    <w:p>
      <w:pPr>
        <w:pStyle w:val="AECorpo"/>
      </w:pPr>
      <w:r>
        <w:rPr>
          <w:b w:val="0"/>
          <w:i w:val="0"/>
        </w:rPr>
        <w:t>A manutenção indevida da inscrição após a quitação, nos moldes da Súmula 548/STJ já citada, caracteriza dano moral in re ipsa: a lesão à honra objetiva e à credibilidade do consumidor decorre do próprio fato da manutenção indevida, dispensada a prova de prejuízo concreto quanto a esse dano.</w:t>
      </w:r>
    </w:p>
    <w:p/>
    <w:p>
      <w:pPr>
        <w:pStyle w:val="AECorpo"/>
      </w:pPr>
      <w:r>
        <w:rPr>
          <w:b w:val="0"/>
          <w:i w:val="0"/>
        </w:rPr>
        <w:t>Já o dano material decorre diretamente da recusa de crédito comercial documentada no Doc. 6, consistindo em lucros cessantes pela perda da oportunidade de revenda da mercadoria.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Tipo de dano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Valor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Documento/Prova</w:t>
            </w:r>
          </w:p>
        </w:tc>
        <w:tc>
          <w:tcPr>
            <w:tcW w:type="dxa" w:w="2339"/>
            <w:shd w:val="clear" w:color="auto" w:fill="D9D9D9"/>
          </w:tcPr>
          <w:p>
            <w:pPr>
              <w:jc w:val="center"/>
            </w:pPr>
            <w:r>
              <w:rPr>
                <w:b/>
                <w:i w:val="0"/>
              </w:rPr>
              <w:t>Base/Observação</w:t>
            </w:r>
          </w:p>
        </w:tc>
      </w:tr>
      <w:tr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Dano moral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R$ 10.000,00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Docs. 3, 4 e 5</w:t>
            </w:r>
          </w:p>
        </w:tc>
        <w:tc>
          <w:tcPr>
            <w:tcW w:type="dxa" w:w="2339"/>
            <w:shd w:val="clear" w:color="auto" w:fill="FFFFFF"/>
          </w:tcPr>
          <w:p>
            <w:r>
              <w:rPr>
                <w:b w:val="0"/>
                <w:i w:val="0"/>
              </w:rPr>
              <w:t>Dano in re ipsa — manutenção indevida da negativação após a quitação</w:t>
            </w:r>
          </w:p>
        </w:tc>
      </w:tr>
      <w:tr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Dano material (lucros cessantes)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R$ 3.200,00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Doc. 6</w:t>
            </w:r>
          </w:p>
        </w:tc>
        <w:tc>
          <w:tcPr>
            <w:tcW w:type="dxa" w:w="2339"/>
            <w:shd w:val="clear" w:color="auto" w:fill="F8F8F6"/>
          </w:tcPr>
          <w:p>
            <w:r>
              <w:rPr>
                <w:b w:val="0"/>
                <w:i w:val="0"/>
              </w:rPr>
              <w:t>Recusa de crédito comercial documentada, valor correspondente à margem da revenda recusada</w:t>
            </w:r>
          </w:p>
        </w:tc>
      </w:tr>
    </w:tbl>
    <w:p/>
    <w:p/>
    <w:p>
      <w:pPr>
        <w:pStyle w:val="AETtulo2"/>
      </w:pPr>
      <w:r>
        <w:rPr>
          <w:b/>
          <w:i w:val="0"/>
        </w:rPr>
        <w:t>V — DOS PEDIDOS</w:t>
      </w:r>
    </w:p>
    <w:p/>
    <w:p>
      <w:pPr>
        <w:pStyle w:val="AECorpo"/>
      </w:pPr>
      <w:r>
        <w:rPr>
          <w:b w:val="0"/>
          <w:i w:val="0"/>
        </w:rPr>
        <w:t>Diante do exposto, requer:</w:t>
      </w:r>
    </w:p>
    <w:p/>
    <w:p>
      <w:pPr>
        <w:pStyle w:val="AECorpo"/>
      </w:pPr>
      <w:r>
        <w:rPr>
          <w:b w:val="0"/>
          <w:i w:val="0"/>
        </w:rPr>
        <w:t>a) a concessão de tutela de urgência, inaudita altera parte, para determinar ao réu que promova a exclusão do nome do autor dos cadastros de proteção ao crédito (SPC/Serasa) no prazo de 5 (cinco) dias úteis, sob pena de multa diária;</w:t>
      </w:r>
    </w:p>
    <w:p/>
    <w:p>
      <w:pPr>
        <w:pStyle w:val="AECorpo"/>
      </w:pPr>
      <w:r>
        <w:rPr>
          <w:b w:val="0"/>
          <w:i w:val="0"/>
        </w:rPr>
        <w:t>b) a citação do réu para, querendo, apresentar contestação, sob pena de revelia;</w:t>
      </w:r>
    </w:p>
    <w:p/>
    <w:p>
      <w:pPr>
        <w:pStyle w:val="AECorpo"/>
      </w:pPr>
      <w:r>
        <w:rPr>
          <w:b w:val="0"/>
          <w:i w:val="0"/>
        </w:rPr>
        <w:t>c) ao final, a confirmação da tutela de urgência e a condenação do réu ao pagamento de indenização por danos morais, no valor de R$ 10.000,00 (dez mil reais);</w:t>
      </w:r>
    </w:p>
    <w:p/>
    <w:p>
      <w:pPr>
        <w:pStyle w:val="AECorpo"/>
      </w:pPr>
      <w:r>
        <w:rPr>
          <w:b w:val="0"/>
          <w:i w:val="0"/>
        </w:rPr>
        <w:t>d) a condenação do réu ao pagamento de indenização por danos materiais (lucros cessantes), no valor de R$ 3.200,00 (três mil e duzentos reais);</w:t>
      </w:r>
    </w:p>
    <w:p/>
    <w:p>
      <w:pPr>
        <w:pStyle w:val="AECorpo"/>
      </w:pPr>
      <w:r>
        <w:rPr>
          <w:b w:val="0"/>
          <w:i w:val="0"/>
        </w:rPr>
        <w:t>e) a condenação do réu ao pagamento das custas processuais e honorários advocatícios.</w:t>
      </w:r>
    </w:p>
    <w:p/>
    <w:p>
      <w:pPr>
        <w:pStyle w:val="AECorpo"/>
      </w:pPr>
      <w:r>
        <w:rPr>
          <w:b w:val="0"/>
          <w:i w:val="0"/>
        </w:rPr>
        <w:t>Para comprovar os fatos alegados, requer-se a produção das seguintes provas:</w:t>
      </w:r>
    </w:p>
    <w:p/>
    <w:p>
      <w:pPr>
        <w:pStyle w:val="AECorpo"/>
      </w:pPr>
      <w:r>
        <w:rPr>
          <w:b w:val="0"/>
          <w:i w:val="0"/>
        </w:rPr>
        <w:t>Prova documental, já anexada com esta inicial (Docs. 1 a 6);</w:t>
      </w:r>
    </w:p>
    <w:p>
      <w:pPr>
        <w:pStyle w:val="AECorpo"/>
      </w:pPr>
      <w:r>
        <w:rPr>
          <w:b w:val="0"/>
          <w:i w:val="0"/>
        </w:rPr>
        <w:t>Depoimento pessoal do representante legal do réu;</w:t>
      </w:r>
    </w:p>
    <w:p>
      <w:pPr>
        <w:pStyle w:val="AECorpo"/>
      </w:pPr>
      <w:r>
        <w:rPr>
          <w:b w:val="0"/>
          <w:i w:val="0"/>
        </w:rPr>
        <w:t>Prova testemunhal, se necessária, a ser oportunamente arrolada;</w:t>
      </w:r>
    </w:p>
    <w:p>
      <w:pPr>
        <w:pStyle w:val="AECorpo"/>
      </w:pPr>
      <w:r>
        <w:rPr>
          <w:b w:val="0"/>
          <w:i w:val="0"/>
        </w:rPr>
        <w:t>Juntada de eventuais documentos supervenientes.</w:t>
      </w:r>
    </w:p>
    <w:p/>
    <w:p>
      <w:pPr>
        <w:pStyle w:val="AETtulo2"/>
      </w:pPr>
      <w:r>
        <w:rPr>
          <w:b/>
          <w:i w:val="0"/>
        </w:rPr>
        <w:t>VI — DO VALOR DA CAUSA</w:t>
      </w:r>
    </w:p>
    <w:p/>
    <w:p>
      <w:pPr>
        <w:pStyle w:val="AECorpo"/>
      </w:pPr>
      <w:r>
        <w:rPr>
          <w:b w:val="0"/>
          <w:i w:val="0"/>
        </w:rPr>
        <w:t>Dá-se à causa o valor de R$ 13.200,00 (treze mil e duzentos reais), correspondente à soma dos danos morais e materiais postulados.</w:t>
      </w:r>
    </w:p>
    <w:p/>
    <w:p>
      <w:pPr>
        <w:pStyle w:val="AECorpo"/>
      </w:pPr>
      <w:r>
        <w:rPr>
          <w:b w:val="0"/>
          <w:i w:val="0"/>
        </w:rPr>
        <w:t>Termos em que,</w:t>
      </w:r>
    </w:p>
    <w:p>
      <w:pPr>
        <w:pStyle w:val="AECorpo"/>
      </w:pPr>
      <w:r>
        <w:rPr>
          <w:b w:val="0"/>
          <w:i w:val="0"/>
        </w:rPr>
        <w:t>Pede deferimento.</w:t>
      </w:r>
    </w:p>
    <w:p/>
    <w:p>
      <w:pPr>
        <w:pStyle w:val="AECorpo"/>
      </w:pPr>
      <w:r>
        <w:rPr>
          <w:b w:val="0"/>
          <w:i w:val="0"/>
        </w:rPr>
        <w:t>São José dos Campos, 15 de janeiro de 2025.</w:t>
      </w:r>
    </w:p>
    <w:p/>
    <w:p/>
    <w:p/>
    <w:p>
      <w:pPr>
        <w:jc w:val="center"/>
      </w:pPr>
      <w:r>
        <w:rPr>
          <w:b/>
          <w:i w:val="0"/>
        </w:rPr>
        <w:t>Angelo Epifanio</w:t>
      </w:r>
    </w:p>
    <w:p>
      <w:pPr>
        <w:jc w:val="center"/>
      </w:pPr>
      <w:r>
        <w:rPr>
          <w:b w:val="0"/>
          <w:i w:val="0"/>
        </w:rPr>
        <w:t>OAB/SP [XXXXX]</w:t>
      </w:r>
    </w:p>
    <w:sectPr w:rsidR="00324285" w:rsidRPr="00C77D9B" w:rsidSect="00034616">
      <w:headerReference w:type="default" r:id="rId8"/>
      <w:footerReference w:type="default" r:id="rId9"/>
      <w:pgSz w:w="11906" w:h="16838"/>
      <w:pgMar w:top="1134" w:right="1134" w:bottom="1500" w:left="1417" w:header="283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00DEEB" w14:textId="77777777" w:rsidR="00560F98" w:rsidRDefault="00560F98">
      <w:pPr>
        <w:spacing w:after="0" w:line="240" w:lineRule="auto"/>
      </w:pPr>
      <w:r>
        <w:separator/>
      </w:r>
    </w:p>
  </w:endnote>
  <w:endnote w:type="continuationSeparator" w:id="0">
    <w:p w14:paraId="232E5919" w14:textId="77777777" w:rsidR="00560F98" w:rsidRDefault="00560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631FAF" w14:textId="77777777" w:rsidR="00324285" w:rsidRDefault="00000000">
    <w:pPr>
      <w:shd w:val="clear" w:color="auto" w:fill="0B2341"/>
      <w:spacing w:after="0" w:line="567" w:lineRule="exact"/>
      <w:ind w:left="-1417" w:right="-1134"/>
    </w:pPr>
    <w:r>
      <w:rPr>
        <w:rFonts w:ascii="Arial" w:hAnsi="Arial"/>
        <w:b/>
        <w:color w:val="FFFFFF"/>
        <w:spacing w:val="80"/>
        <w:sz w:val="32"/>
      </w:rPr>
      <w:t xml:space="preserve">   AE</w:t>
    </w:r>
    <w:r>
      <w:rPr>
        <w:rFonts w:ascii="Arial" w:hAnsi="Arial"/>
        <w:color w:val="FFFFFF"/>
        <w:sz w:val="14"/>
      </w:rPr>
      <w:t xml:space="preserve">   </w:t>
    </w:r>
    <w:r>
      <w:rPr>
        <w:rFonts w:ascii="Arial" w:hAnsi="Arial"/>
        <w:b/>
        <w:color w:val="FFFFFF"/>
        <w:spacing w:val="15"/>
        <w:sz w:val="16"/>
      </w:rPr>
      <w:t>ANGELO EPIFANIO ADVOCACIA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55CAD8" w14:textId="77777777" w:rsidR="00560F98" w:rsidRDefault="00560F98">
      <w:pPr>
        <w:spacing w:after="0" w:line="240" w:lineRule="auto"/>
      </w:pPr>
      <w:r>
        <w:separator/>
      </w:r>
    </w:p>
  </w:footnote>
  <w:footnote w:type="continuationSeparator" w:id="0">
    <w:p w14:paraId="1B4D2C98" w14:textId="77777777" w:rsidR="00560F98" w:rsidRDefault="00560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55" w:type="dxa"/>
      <w:tblLayout w:type="fixed"/>
      <w:tblLook w:val="04A0" w:firstRow="1" w:lastRow="0" w:firstColumn="1" w:lastColumn="0" w:noHBand="0" w:noVBand="1"/>
    </w:tblPr>
    <w:tblGrid>
      <w:gridCol w:w="851"/>
      <w:gridCol w:w="5669"/>
      <w:gridCol w:w="2835"/>
    </w:tblGrid>
    <w:tr w:rsidR="00324285" w14:paraId="124D8505" w14:textId="77777777">
      <w:tc>
        <w:tcPr>
          <w:tcW w:w="851" w:type="dxa"/>
          <w:vAlign w:val="center"/>
        </w:tcPr>
        <w:p w14:paraId="24D3D19D" w14:textId="77777777" w:rsidR="00324285" w:rsidRDefault="00324285"/>
      </w:tc>
      <w:tc>
        <w:tcPr>
          <w:tcW w:w="5669" w:type="dxa"/>
          <w:vAlign w:val="center"/>
        </w:tcPr>
        <w:p w14:paraId="6D1D3525" w14:textId="77777777" w:rsidR="00324285" w:rsidRDefault="00000000">
          <w:pPr>
            <w:pBdr>
              <w:bottom w:val="single" w:sz="4" w:space="3" w:color="B69A54"/>
            </w:pBdr>
            <w:spacing w:before="80" w:after="40" w:line="240" w:lineRule="auto"/>
            <w:jc w:val="center"/>
          </w:pPr>
          <w:r>
            <w:rPr>
              <w:rFonts w:ascii="Georgia" w:hAnsi="Georgia"/>
              <w:b/>
              <w:color w:val="0B2341"/>
              <w:spacing w:val="80"/>
              <w:sz w:val="56"/>
            </w:rPr>
            <w:t>AE</w:t>
          </w:r>
        </w:p>
        <w:p w14:paraId="148CC6BA" w14:textId="77777777" w:rsidR="00324285" w:rsidRDefault="00000000">
          <w:pPr>
            <w:pBdr>
              <w:bottom w:val="single" w:sz="4" w:space="3" w:color="B69A54"/>
            </w:pBdr>
            <w:spacing w:before="80" w:after="0" w:line="240" w:lineRule="auto"/>
            <w:jc w:val="center"/>
          </w:pPr>
          <w:r>
            <w:rPr>
              <w:rFonts w:ascii="Georgia" w:hAnsi="Georgia"/>
              <w:b/>
              <w:color w:val="0B2341"/>
              <w:spacing w:val="100"/>
              <w:sz w:val="18"/>
            </w:rPr>
            <w:t>ANGELO EPIFANIO</w:t>
          </w:r>
        </w:p>
        <w:p w14:paraId="77B091D4" w14:textId="77777777" w:rsidR="00324285" w:rsidRDefault="00000000">
          <w:pPr>
            <w:spacing w:before="60" w:after="80" w:line="240" w:lineRule="auto"/>
            <w:jc w:val="center"/>
          </w:pPr>
          <w:r>
            <w:rPr>
              <w:rFonts w:ascii="Arial" w:hAnsi="Arial"/>
              <w:color w:val="8A9099"/>
              <w:spacing w:val="160"/>
              <w:sz w:val="15"/>
            </w:rPr>
            <w:t>ADVOCACIA</w:t>
          </w:r>
        </w:p>
      </w:tc>
      <w:tc>
        <w:tcPr>
          <w:tcW w:w="2835" w:type="dxa"/>
          <w:vAlign w:val="center"/>
        </w:tcPr>
        <w:p w14:paraId="4BD75E10" w14:textId="77777777" w:rsidR="00324285" w:rsidRDefault="00000000">
          <w:pPr>
            <w:spacing w:after="20" w:line="240" w:lineRule="auto"/>
            <w:jc w:val="right"/>
          </w:pPr>
          <w:r>
            <w:rPr>
              <w:rFonts w:ascii="Arial" w:hAnsi="Arial"/>
              <w:b/>
              <w:color w:val="0B2341"/>
              <w:spacing w:val="80"/>
              <w:sz w:val="18"/>
            </w:rPr>
            <w:t>OAB/SP XXXXX</w:t>
          </w:r>
        </w:p>
        <w:p w14:paraId="204062CE" w14:textId="77777777" w:rsidR="00324285" w:rsidRDefault="00324285">
          <w:pPr>
            <w:spacing w:after="20" w:line="240" w:lineRule="auto"/>
            <w:jc w:val="right"/>
          </w:pPr>
        </w:p>
        <w:p w14:paraId="611B4E41" w14:textId="77777777" w:rsidR="00324285" w:rsidRDefault="00000000">
          <w:pPr>
            <w:spacing w:after="20" w:line="240" w:lineRule="auto"/>
            <w:jc w:val="right"/>
          </w:pPr>
          <w:r>
            <w:rPr>
              <w:rFonts w:ascii="Arial" w:hAnsi="Arial"/>
              <w:color w:val="8A9099"/>
              <w:sz w:val="15"/>
            </w:rPr>
            <w:t>www.angeloepifanio.com.br</w:t>
          </w:r>
        </w:p>
        <w:p w14:paraId="6F95F026" w14:textId="77777777" w:rsidR="00324285" w:rsidRDefault="00000000">
          <w:pPr>
            <w:spacing w:after="20" w:line="240" w:lineRule="auto"/>
            <w:jc w:val="right"/>
          </w:pPr>
          <w:r>
            <w:rPr>
              <w:rFonts w:ascii="Arial" w:hAnsi="Arial"/>
              <w:color w:val="8A9099"/>
              <w:sz w:val="15"/>
            </w:rPr>
            <w:t>contato@angeloepifanio.com.br</w:t>
          </w:r>
        </w:p>
        <w:p w14:paraId="662AC828" w14:textId="77777777" w:rsidR="00324285" w:rsidRDefault="00000000">
          <w:pPr>
            <w:spacing w:after="20" w:line="240" w:lineRule="auto"/>
            <w:jc w:val="right"/>
          </w:pPr>
          <w:r>
            <w:rPr>
              <w:rFonts w:ascii="Arial" w:hAnsi="Arial"/>
              <w:color w:val="8A9099"/>
              <w:sz w:val="15"/>
            </w:rPr>
            <w:t>(12) 99999-9999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17672">
    <w:abstractNumId w:val="8"/>
  </w:num>
  <w:num w:numId="2" w16cid:durableId="2014532668">
    <w:abstractNumId w:val="6"/>
  </w:num>
  <w:num w:numId="3" w16cid:durableId="1158963494">
    <w:abstractNumId w:val="5"/>
  </w:num>
  <w:num w:numId="4" w16cid:durableId="1158497298">
    <w:abstractNumId w:val="4"/>
  </w:num>
  <w:num w:numId="5" w16cid:durableId="1960794910">
    <w:abstractNumId w:val="7"/>
  </w:num>
  <w:num w:numId="6" w16cid:durableId="2121415484">
    <w:abstractNumId w:val="3"/>
  </w:num>
  <w:num w:numId="7" w16cid:durableId="55666669">
    <w:abstractNumId w:val="2"/>
  </w:num>
  <w:num w:numId="8" w16cid:durableId="1597666146">
    <w:abstractNumId w:val="1"/>
  </w:num>
  <w:num w:numId="9" w16cid:durableId="12660413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167"/>
    <w:rsid w:val="00324285"/>
    <w:rsid w:val="00326F90"/>
    <w:rsid w:val="00560F98"/>
    <w:rsid w:val="00AA1D8D"/>
    <w:rsid w:val="00B47730"/>
    <w:rsid w:val="00C77D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BEF08A"/>
  <w14:defaultImageDpi w14:val="300"/>
  <w15:docId w15:val="{D62E1F1A-1F7C-1A40-87EF-14D2F903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tulo1">
    <w:name w:val="AE Título 1"/>
    <w:pPr>
      <w:spacing w:before="240" w:after="120" w:line="360" w:lineRule="exact"/>
      <w:jc w:val="center"/>
    </w:pPr>
    <w:rPr>
      <w:rFonts w:ascii="Georgia" w:hAnsi="Georgia"/>
      <w:b/>
      <w:color w:val="0B2341"/>
      <w:sz w:val="28"/>
    </w:rPr>
  </w:style>
  <w:style w:type="paragraph" w:customStyle="1" w:styleId="AETtulo2">
    <w:name w:val="AE Título 2"/>
    <w:pPr>
      <w:spacing w:before="200" w:after="80" w:line="360" w:lineRule="exact"/>
    </w:pPr>
    <w:rPr>
      <w:rFonts w:ascii="Georgia" w:hAnsi="Georgia"/>
      <w:b/>
      <w:color w:val="0B2341"/>
      <w:sz w:val="24"/>
    </w:rPr>
  </w:style>
  <w:style w:type="paragraph" w:customStyle="1" w:styleId="AETtulo3">
    <w:name w:val="AE Título 3"/>
    <w:pPr>
      <w:spacing w:before="160" w:after="80" w:line="360" w:lineRule="exact"/>
    </w:pPr>
    <w:rPr>
      <w:rFonts w:ascii="Georgia" w:hAnsi="Georgia"/>
      <w:b/>
      <w:i/>
      <w:color w:val="173A63"/>
    </w:rPr>
  </w:style>
  <w:style w:type="paragraph" w:customStyle="1" w:styleId="AECorpo">
    <w:name w:val="AE Corpo"/>
    <w:pPr>
      <w:spacing w:after="120" w:line="360" w:lineRule="exact"/>
      <w:jc w:val="both"/>
    </w:pPr>
    <w:rPr>
      <w:rFonts w:ascii="Times New Roman" w:hAnsi="Times New Roman"/>
      <w:sz w:val="24"/>
    </w:rPr>
  </w:style>
  <w:style w:type="paragraph" w:customStyle="1" w:styleId="AECitao">
    <w:name w:val="AE Citação"/>
    <w:pPr>
      <w:spacing w:before="120" w:after="120" w:line="340" w:lineRule="exact"/>
      <w:jc w:val="both"/>
    </w:pPr>
    <w:rPr>
      <w:rFonts w:ascii="Times New Roman" w:hAnsi="Times New Roman"/>
      <w:i/>
      <w:color w:val="173A63"/>
    </w:rPr>
  </w:style>
  <w:style w:type="paragraph" w:customStyle="1" w:styleId="AENota">
    <w:name w:val="AE Nota"/>
    <w:pPr>
      <w:spacing w:after="60" w:line="240" w:lineRule="exact"/>
    </w:pPr>
    <w:rPr>
      <w:rFonts w:ascii="Arial" w:hAnsi="Arial"/>
      <w:color w:val="8A9099"/>
      <w:sz w:val="18"/>
    </w:rPr>
  </w:style>
  <w:style w:type="paragraph" w:customStyle="1" w:styleId="AEEndereamento">
    <w:name w:val="AE Endereçamento"/>
    <w:pPr>
      <w:spacing w:after="80" w:line="360" w:lineRule="exact"/>
    </w:pPr>
    <w:rPr>
      <w:rFonts w:ascii="Times New Roman" w:hAnsi="Times New Roman"/>
      <w:b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color w:val="B69A5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319</Words>
  <Characters>1788</Characters>
  <Application>Microsoft Office Word</Application>
  <DocSecurity>0</DocSecurity>
  <Lines>61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Epifanio</cp:lastModifiedBy>
  <cp:revision>2</cp:revision>
  <cp:lastPrinted>2026-06-30T00:05:00Z</cp:lastPrinted>
  <dcterms:created xsi:type="dcterms:W3CDTF">2013-12-23T23:15:00Z</dcterms:created>
  <dcterms:modified xsi:type="dcterms:W3CDTF">2026-06-30T00:35:00Z</dcterms:modified>
  <cp:category/>
</cp:coreProperties>
</file>