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5B2121C9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884412">
        <w:rPr>
          <w:rFonts w:ascii="Source Serif Pro" w:hAnsi="Source Serif Pro"/>
          <w:b/>
          <w:bCs/>
          <w:sz w:val="26"/>
          <w:szCs w:val="28"/>
        </w:rPr>
        <w:t>mo</w:t>
      </w:r>
      <w:r w:rsidR="00660CFA">
        <w:rPr>
          <w:rFonts w:ascii="Source Serif Pro" w:hAnsi="Source Serif Pro"/>
          <w:b/>
          <w:bCs/>
          <w:sz w:val="26"/>
          <w:szCs w:val="28"/>
        </w:rPr>
        <w:t>. Des. ...</w:t>
      </w:r>
    </w:p>
    <w:p w14:paraId="0BE51421" w14:textId="5653FA39" w:rsidR="00B968CC" w:rsidRPr="00B24A33" w:rsidRDefault="00660CFA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 xml:space="preserve">Relator da Apelação n. 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Default="005C54F8" w:rsidP="00EE0ABC">
      <w:pPr>
        <w:ind w:firstLine="567"/>
        <w:rPr>
          <w:rFonts w:ascii="Source Serif Pro" w:hAnsi="Source Serif Pro"/>
        </w:rPr>
      </w:pPr>
    </w:p>
    <w:p w14:paraId="76E1F4EA" w14:textId="77777777" w:rsidR="00837FD8" w:rsidRPr="00B24A33" w:rsidRDefault="00837FD8" w:rsidP="00EE0ABC">
      <w:pPr>
        <w:ind w:firstLine="567"/>
        <w:rPr>
          <w:rFonts w:ascii="Source Serif Pro" w:hAnsi="Source Serif Pro"/>
        </w:rPr>
      </w:pPr>
    </w:p>
    <w:p w14:paraId="1DE5A89B" w14:textId="3CBFEC98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4D5E43">
        <w:rPr>
          <w:rFonts w:ascii="Source Serif Pro" w:hAnsi="Source Serif Pro"/>
        </w:rPr>
        <w:t>já qualificado nos autos em epígrafe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5A6E55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</w:t>
      </w:r>
      <w:r w:rsidR="00763304">
        <w:rPr>
          <w:rFonts w:ascii="Source Serif Pro" w:hAnsi="Source Serif Pro"/>
        </w:rPr>
        <w:t xml:space="preserve">apresentar </w:t>
      </w:r>
    </w:p>
    <w:p w14:paraId="2CD2B9C5" w14:textId="2E294FC5" w:rsidR="00B57D96" w:rsidRPr="007A0B17" w:rsidRDefault="004D5E43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RAZÕES DO RECURSO DE APELAÇÃO</w:t>
      </w:r>
    </w:p>
    <w:p w14:paraId="190530AD" w14:textId="77777777" w:rsidR="004D5E43" w:rsidRDefault="004D5E43" w:rsidP="004D5E43">
      <w:pPr>
        <w:pStyle w:val="1Padropargrafo"/>
        <w:rPr>
          <w:sz w:val="24"/>
          <w:szCs w:val="24"/>
        </w:rPr>
      </w:pPr>
      <w:r>
        <w:rPr>
          <w:sz w:val="24"/>
          <w:szCs w:val="24"/>
        </w:rPr>
        <w:t>nos termos do art. 600, §4º</w:t>
      </w:r>
      <w:r>
        <w:rPr>
          <w:rFonts w:ascii="Source Serif Pro" w:hAnsi="Source Serif Pro"/>
        </w:rPr>
        <w:t xml:space="preserve">. </w:t>
      </w:r>
      <w:r>
        <w:rPr>
          <w:sz w:val="24"/>
          <w:szCs w:val="24"/>
        </w:rPr>
        <w:t xml:space="preserve">Outrossim, requer a juntada das razões, bem como que seja o recurso conhecido e provido em sua integralidade. </w:t>
      </w:r>
    </w:p>
    <w:p w14:paraId="6C261EA5" w14:textId="77777777" w:rsidR="004D5E43" w:rsidRPr="0015581C" w:rsidRDefault="004D5E43" w:rsidP="004D5E43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0D7286F9" w14:textId="56901489" w:rsidR="004D5E43" w:rsidRPr="0015581C" w:rsidRDefault="004D5E43" w:rsidP="004D5E43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Pr="0015581C">
        <w:rPr>
          <w:rFonts w:ascii="Source Serif Pro" w:hAnsi="Source Serif Pro"/>
        </w:rPr>
        <w:t xml:space="preserve">, </w:t>
      </w:r>
      <w:r>
        <w:rPr>
          <w:rFonts w:ascii="Source Serif Pro" w:hAnsi="Source Serif Pro"/>
        </w:rPr>
        <w:fldChar w:fldCharType="begin"/>
      </w:r>
      <w:r>
        <w:rPr>
          <w:rFonts w:ascii="Source Serif Pro" w:hAnsi="Source Serif Pro"/>
        </w:rPr>
        <w:instrText xml:space="preserve"> TIME \@ "d' de 'MMMM' de 'yyyy" </w:instrText>
      </w:r>
      <w:r>
        <w:rPr>
          <w:rFonts w:ascii="Source Serif Pro" w:hAnsi="Source Serif Pro"/>
        </w:rPr>
        <w:fldChar w:fldCharType="separate"/>
      </w:r>
      <w:r w:rsidR="00795FF5">
        <w:rPr>
          <w:rFonts w:ascii="Source Serif Pro" w:hAnsi="Source Serif Pro"/>
          <w:noProof/>
        </w:rPr>
        <w:t>26 de dezembro de 2025</w:t>
      </w:r>
      <w:r>
        <w:rPr>
          <w:rFonts w:ascii="Source Serif Pro" w:hAnsi="Source Serif Pro"/>
        </w:rPr>
        <w:fldChar w:fldCharType="end"/>
      </w:r>
      <w:r w:rsidRPr="0015581C">
        <w:rPr>
          <w:rFonts w:ascii="Source Serif Pro" w:hAnsi="Source Serif Pro"/>
        </w:rPr>
        <w:t>.</w:t>
      </w:r>
    </w:p>
    <w:p w14:paraId="7DB0A8A3" w14:textId="77777777" w:rsidR="004D5E43" w:rsidRDefault="004D5E43" w:rsidP="004D5E43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7D427F87" w14:textId="77777777" w:rsidR="004D5E43" w:rsidRDefault="004D5E43" w:rsidP="004D5E43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p w14:paraId="46AE4AF2" w14:textId="772928BF" w:rsidR="00EE0ABC" w:rsidRDefault="00EE0ABC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18AF53F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7F67B508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F9720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FF9DA39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4BAF797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81EE7DB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B599EEF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0AE7D1F0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AA4F7D1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469E48B4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82E0E04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668645AA" w14:textId="77777777" w:rsidR="004D5E43" w:rsidRPr="004D5E43" w:rsidRDefault="004D5E43" w:rsidP="004D5E43">
      <w:pPr>
        <w:spacing w:before="120" w:after="120"/>
        <w:jc w:val="both"/>
        <w:rPr>
          <w:rFonts w:ascii="Source Sans Pro" w:hAnsi="Source Sans Pro"/>
          <w:b/>
          <w:bCs/>
        </w:rPr>
      </w:pPr>
      <w:r w:rsidRPr="004D5E43">
        <w:rPr>
          <w:rFonts w:ascii="Source Sans Pro" w:hAnsi="Source Sans Pro"/>
          <w:b/>
          <w:bCs/>
        </w:rPr>
        <w:lastRenderedPageBreak/>
        <w:t>RAZÕES DE RECURSO DE APELAÇÃO</w:t>
      </w:r>
    </w:p>
    <w:p w14:paraId="482B66FF" w14:textId="76F27290" w:rsidR="004D5E43" w:rsidRPr="004D5E43" w:rsidRDefault="004D5E43" w:rsidP="004D5E43">
      <w:pPr>
        <w:spacing w:before="120" w:after="120"/>
        <w:jc w:val="both"/>
        <w:rPr>
          <w:rFonts w:ascii="Source Sans Pro" w:hAnsi="Source Sans Pro"/>
          <w:b/>
          <w:bCs/>
        </w:rPr>
      </w:pPr>
      <w:r w:rsidRPr="004D5E43">
        <w:rPr>
          <w:rFonts w:ascii="Source Sans Pro" w:hAnsi="Source Sans Pro"/>
          <w:b/>
          <w:bCs/>
        </w:rPr>
        <w:t xml:space="preserve">PROCESSO Nº: </w:t>
      </w:r>
      <w:r>
        <w:rPr>
          <w:rFonts w:ascii="Source Sans Pro" w:hAnsi="Source Sans Pro"/>
          <w:b/>
          <w:bCs/>
        </w:rPr>
        <w:t>....</w:t>
      </w:r>
    </w:p>
    <w:p w14:paraId="441B0F1E" w14:textId="51E707B8" w:rsidR="004D5E43" w:rsidRPr="004D5E43" w:rsidRDefault="004D5E43" w:rsidP="004D5E43">
      <w:pPr>
        <w:spacing w:before="120" w:after="120"/>
        <w:jc w:val="both"/>
        <w:rPr>
          <w:rFonts w:ascii="Source Sans Pro" w:hAnsi="Source Sans Pro"/>
          <w:b/>
          <w:bCs/>
        </w:rPr>
      </w:pPr>
      <w:r w:rsidRPr="004D5E43">
        <w:rPr>
          <w:rFonts w:ascii="Source Sans Pro" w:hAnsi="Source Sans Pro"/>
          <w:b/>
          <w:bCs/>
        </w:rPr>
        <w:t xml:space="preserve">APELANTE: </w:t>
      </w:r>
      <w:r>
        <w:rPr>
          <w:rFonts w:ascii="Source Sans Pro" w:hAnsi="Source Sans Pro"/>
          <w:b/>
          <w:bCs/>
        </w:rPr>
        <w:t>[NOME DO CLIENTE]</w:t>
      </w:r>
    </w:p>
    <w:p w14:paraId="5D1FBA81" w14:textId="77777777" w:rsidR="004D5E43" w:rsidRPr="004D5E43" w:rsidRDefault="004D5E43" w:rsidP="004D5E43">
      <w:pPr>
        <w:spacing w:before="120" w:after="120"/>
        <w:jc w:val="both"/>
        <w:rPr>
          <w:rFonts w:ascii="Source Sans Pro" w:hAnsi="Source Sans Pro"/>
          <w:b/>
          <w:bCs/>
        </w:rPr>
      </w:pPr>
      <w:r w:rsidRPr="004D5E43">
        <w:rPr>
          <w:rFonts w:ascii="Source Sans Pro" w:hAnsi="Source Sans Pro"/>
          <w:b/>
          <w:bCs/>
        </w:rPr>
        <w:t xml:space="preserve">APELADA: </w:t>
      </w:r>
      <w:r w:rsidRPr="004D5E43">
        <w:rPr>
          <w:rFonts w:ascii="Source Sans Pro" w:hAnsi="Source Sans Pro"/>
          <w:b/>
        </w:rPr>
        <w:t>JUSTIÇA PÚBLICA</w:t>
      </w:r>
    </w:p>
    <w:p w14:paraId="2542C114" w14:textId="77777777" w:rsidR="004D5E43" w:rsidRPr="004D5E43" w:rsidRDefault="004D5E43" w:rsidP="004D5E43">
      <w:pPr>
        <w:spacing w:line="240" w:lineRule="auto"/>
        <w:jc w:val="both"/>
        <w:rPr>
          <w:rFonts w:ascii="Source Sans Pro" w:hAnsi="Source Sans Pro"/>
          <w:b/>
          <w:bCs/>
          <w:u w:val="single"/>
        </w:rPr>
      </w:pPr>
    </w:p>
    <w:p w14:paraId="0CF5EA6B" w14:textId="77777777" w:rsidR="004D5E43" w:rsidRPr="004D5E43" w:rsidRDefault="004D5E43" w:rsidP="004D5E43">
      <w:pPr>
        <w:jc w:val="center"/>
        <w:rPr>
          <w:rFonts w:ascii="Source Sans Pro" w:hAnsi="Source Sans Pro"/>
          <w:b/>
          <w:bCs/>
          <w:sz w:val="28"/>
          <w:szCs w:val="28"/>
        </w:rPr>
      </w:pPr>
      <w:r w:rsidRPr="004D5E43">
        <w:rPr>
          <w:rFonts w:ascii="Source Sans Pro" w:hAnsi="Source Sans Pro"/>
          <w:b/>
          <w:bCs/>
          <w:sz w:val="28"/>
          <w:szCs w:val="28"/>
        </w:rPr>
        <w:t>EGRÉGIO COLÉGIO RECURSAL</w:t>
      </w:r>
    </w:p>
    <w:p w14:paraId="512ECFA8" w14:textId="77777777" w:rsidR="004D5E43" w:rsidRPr="004D5E43" w:rsidRDefault="004D5E43" w:rsidP="004D5E43">
      <w:pPr>
        <w:jc w:val="center"/>
        <w:rPr>
          <w:rFonts w:ascii="Source Sans Pro" w:hAnsi="Source Sans Pro"/>
          <w:b/>
          <w:bCs/>
          <w:sz w:val="28"/>
          <w:szCs w:val="28"/>
        </w:rPr>
      </w:pPr>
      <w:r w:rsidRPr="004D5E43">
        <w:rPr>
          <w:rFonts w:ascii="Source Sans Pro" w:hAnsi="Source Sans Pro"/>
          <w:b/>
          <w:bCs/>
          <w:sz w:val="28"/>
          <w:szCs w:val="28"/>
        </w:rPr>
        <w:t>COLENDA CÂMARA CRIMINAL</w:t>
      </w:r>
    </w:p>
    <w:p w14:paraId="0BE13022" w14:textId="77777777" w:rsidR="004D5E43" w:rsidRPr="004D5E43" w:rsidRDefault="004D5E43" w:rsidP="004D5E43">
      <w:pPr>
        <w:pStyle w:val="PargrafodaLista"/>
        <w:tabs>
          <w:tab w:val="left" w:pos="993"/>
        </w:tabs>
        <w:spacing w:after="0" w:line="240" w:lineRule="auto"/>
        <w:ind w:left="0"/>
        <w:contextualSpacing w:val="0"/>
        <w:jc w:val="center"/>
        <w:rPr>
          <w:rFonts w:ascii="Source Sans Pro" w:hAnsi="Source Sans Pro" w:cstheme="minorHAnsi"/>
        </w:rPr>
      </w:pPr>
      <w:r w:rsidRPr="004D5E43">
        <w:rPr>
          <w:rFonts w:ascii="Source Sans Pro" w:hAnsi="Source Sans Pro"/>
          <w:b/>
          <w:bCs/>
          <w:sz w:val="28"/>
          <w:szCs w:val="28"/>
        </w:rPr>
        <w:t>NOBRES JULGADORES</w:t>
      </w:r>
    </w:p>
    <w:p w14:paraId="300CAB92" w14:textId="77777777" w:rsidR="004D5E43" w:rsidRDefault="004D5E43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370C991D" w14:textId="76750986" w:rsidR="007D5D4E" w:rsidRDefault="007D5D4E" w:rsidP="007D5D4E">
      <w:pPr>
        <w:pStyle w:val="SemEspaamento"/>
      </w:pPr>
      <w:r>
        <w:t>Na respeitável sentença, o Juízo de primeiro grau condenou o Apelante pelo delito previsto na Lei n. 11.343/06 e, ao proceder à dosimetria da pena, exasperou a pena-base na primeira fase, atribuindo maior reprovação ao fato com fundamento, dentre outros aspectos, na quantidade e/ou natureza do entorpecente apreendido.</w:t>
      </w:r>
    </w:p>
    <w:p w14:paraId="2A46638F" w14:textId="77777777" w:rsidR="007D5D4E" w:rsidRDefault="007D5D4E" w:rsidP="007D5D4E">
      <w:pPr>
        <w:pStyle w:val="SemEspaamento"/>
      </w:pPr>
      <w:r>
        <w:t>Em seguida, na terceira fase, o magistrado reconheceu a incidência da causa de diminuição do art. 33, § 4º (tráfico privilegiado), porém modulou o redutor no patamar mínimo, justificando tal redução limitada, novamente, pela quantidade de droga, utilizada como elemento determinante para restringir a benesse.</w:t>
      </w:r>
    </w:p>
    <w:p w14:paraId="13E5E5B4" w14:textId="0E9B4A10" w:rsidR="003F6371" w:rsidRDefault="007D5D4E" w:rsidP="007D5D4E">
      <w:pPr>
        <w:pStyle w:val="SemEspaamento"/>
      </w:pPr>
      <w:r>
        <w:t>Diante desse cenário, a presente Apelação volta-se exclusivamente à correção da dosimetria, pois o mesmo critério (quantidade/natureza do entorpecente) foi empregado duas vezes em prejuízo do Apelante — primeiro para aumentar a pena-base e, depois, para reduzir o alcance do privilégio — circunstância que caracteriza indevida dupla valoração e enseja o necessário redimensionamento da reprimenda.</w:t>
      </w:r>
    </w:p>
    <w:p w14:paraId="2A389EC3" w14:textId="77777777" w:rsidR="004D5E43" w:rsidRDefault="004D5E43" w:rsidP="004A7B6D">
      <w:pPr>
        <w:pStyle w:val="SemEspaamento"/>
      </w:pPr>
    </w:p>
    <w:p w14:paraId="7BAC1333" w14:textId="77777777" w:rsidR="007D5D4E" w:rsidRDefault="007D5D4E" w:rsidP="004A7B6D">
      <w:pPr>
        <w:pStyle w:val="SemEspaamento"/>
      </w:pPr>
    </w:p>
    <w:p w14:paraId="0B865049" w14:textId="77777777" w:rsidR="004D5E43" w:rsidRDefault="004D5E43" w:rsidP="004A7B6D">
      <w:pPr>
        <w:pStyle w:val="SemEspaamento"/>
      </w:pPr>
    </w:p>
    <w:p w14:paraId="5087947A" w14:textId="5F51F989" w:rsidR="002D3115" w:rsidRDefault="004D5E43" w:rsidP="002D3115">
      <w:pPr>
        <w:pStyle w:val="Ttulo1"/>
        <w:spacing w:before="0" w:after="0" w:line="240" w:lineRule="auto"/>
      </w:pPr>
      <w:r>
        <w:lastRenderedPageBreak/>
        <w:t>FLAGRANTE BIS IN IDEM – QUANTIDADE DE DROGA</w:t>
      </w:r>
    </w:p>
    <w:p w14:paraId="7C57FDD5" w14:textId="75C3D512" w:rsidR="002D3115" w:rsidRPr="00547988" w:rsidRDefault="004D5E43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Dupla valoração da quantidade – vedação – STJ </w:t>
      </w:r>
      <w:proofErr w:type="spellStart"/>
      <w:r w:rsidRPr="004D5E43">
        <w:rPr>
          <w:rFonts w:ascii="Source Sans Pro" w:hAnsi="Source Sans Pro"/>
          <w:i/>
          <w:iCs/>
          <w:shd w:val="clear" w:color="auto" w:fill="FFFFFF" w:themeFill="background1"/>
        </w:rPr>
        <w:t>AgRg</w:t>
      </w:r>
      <w:proofErr w:type="spellEnd"/>
      <w:r w:rsidRPr="004D5E43">
        <w:rPr>
          <w:rFonts w:ascii="Source Sans Pro" w:hAnsi="Source Sans Pro"/>
          <w:i/>
          <w:iCs/>
          <w:shd w:val="clear" w:color="auto" w:fill="FFFFFF" w:themeFill="background1"/>
        </w:rPr>
        <w:t xml:space="preserve"> no REsp n. 2.048.549/MG</w:t>
      </w:r>
    </w:p>
    <w:p w14:paraId="70756E4E" w14:textId="77777777" w:rsidR="00E168D5" w:rsidRPr="00E168D5" w:rsidRDefault="00E168D5" w:rsidP="00E168D5">
      <w:pPr>
        <w:pStyle w:val="SemEspaamento"/>
      </w:pPr>
      <w:r w:rsidRPr="00E168D5">
        <w:t>Na respeitável sentença, o Juízo a quo reconheceu a incidência do tráfico privilegiado (art. 33, § 4º, da Lei 11.343/06), porém reduziu a pena no patamar mínimo, justificando tal modulação principalmente na quantidade de entorpecente apreendida.</w:t>
      </w:r>
    </w:p>
    <w:p w14:paraId="6415A736" w14:textId="77777777" w:rsidR="00E168D5" w:rsidRPr="00E168D5" w:rsidRDefault="00E168D5" w:rsidP="00E168D5">
      <w:pPr>
        <w:pStyle w:val="SemEspaamento"/>
      </w:pPr>
      <w:r w:rsidRPr="00E168D5">
        <w:t>Ocorre que o mesmo decisum, na primeira fase da dosimetria, já havia valorado negativamente a quantidade e/ou natureza da droga para exasperar a pena-base, atribuindo maior reprovabilidade ao fato com fundamento no mesmo dado objetivo.</w:t>
      </w:r>
    </w:p>
    <w:p w14:paraId="2DBCACA4" w14:textId="77777777" w:rsidR="00E168D5" w:rsidRPr="00E168D5" w:rsidRDefault="00E168D5" w:rsidP="00E168D5">
      <w:pPr>
        <w:pStyle w:val="SemEspaamento"/>
      </w:pPr>
      <w:r w:rsidRPr="00E168D5">
        <w:t>Assim, verifica-se inequívoca ocorrência de bis in idem: o critério “quantidade/natureza” foi empregado uma primeira vez para elevar a pena-base e, novamente, foi reutilizado para reduzir o alcance do redutor na terceira fase, resultando em dupla censura sobre o mesmo vetor fático.</w:t>
      </w:r>
    </w:p>
    <w:p w14:paraId="3A37EA3E" w14:textId="77777777" w:rsidR="00E168D5" w:rsidRPr="00E168D5" w:rsidRDefault="00E168D5" w:rsidP="00E168D5">
      <w:pPr>
        <w:pStyle w:val="SemEspaamento"/>
      </w:pPr>
      <w:r w:rsidRPr="00E168D5">
        <w:t xml:space="preserve">A individualização da pena exige coerência interna do cálculo trifásico. Se a quantidade/natureza foi o fundamento eleito para majorar a reprimenda na etapa inicial, sua utilização posterior, para modular a fração do § 4º, deixa de ser “valoração” e passa a ser </w:t>
      </w:r>
      <w:proofErr w:type="spellStart"/>
      <w:r w:rsidRPr="00E168D5">
        <w:t>revaloração</w:t>
      </w:r>
      <w:proofErr w:type="spellEnd"/>
      <w:r w:rsidRPr="00E168D5">
        <w:t xml:space="preserve"> punitiva do mesmo elemento, agravando indevidamente o </w:t>
      </w:r>
      <w:proofErr w:type="gramStart"/>
      <w:r w:rsidRPr="00E168D5">
        <w:t>resultado final</w:t>
      </w:r>
      <w:proofErr w:type="gramEnd"/>
      <w:r w:rsidRPr="00E168D5">
        <w:t>.</w:t>
      </w:r>
    </w:p>
    <w:p w14:paraId="0E221E20" w14:textId="77777777" w:rsidR="00E168D5" w:rsidRPr="00E168D5" w:rsidRDefault="00E168D5" w:rsidP="00E168D5">
      <w:pPr>
        <w:pStyle w:val="SemEspaamento"/>
      </w:pPr>
      <w:r w:rsidRPr="00E168D5">
        <w:t>O Superior Tribunal de Justiça já enfrentou exatamente essa hipótese, consolidando entendimento no sentido de que não se admite a reutilização do mesmo parâmetro em fases distintas quando ele já serviu para agravar a reprimenda.</w:t>
      </w:r>
    </w:p>
    <w:p w14:paraId="6305D3CC" w14:textId="08D196BE" w:rsidR="004D5E43" w:rsidRDefault="004D5E43" w:rsidP="004D5E43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bookmarkStart w:id="0" w:name="_Hlk214458189"/>
      <w:bookmarkStart w:id="1" w:name="_Hlk217575538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bookmarkEnd w:id="0"/>
      <w:proofErr w:type="spellStart"/>
      <w:r w:rsidR="00E168D5" w:rsidRPr="00E168D5">
        <w:rPr>
          <w:color w:val="808080" w:themeColor="background1" w:themeShade="80"/>
        </w:rPr>
        <w:t>AgRg</w:t>
      </w:r>
      <w:proofErr w:type="spellEnd"/>
      <w:r w:rsidR="00E168D5" w:rsidRPr="00E168D5">
        <w:rPr>
          <w:color w:val="808080" w:themeColor="background1" w:themeShade="80"/>
        </w:rPr>
        <w:t xml:space="preserve"> no REsp n. 2.048.549/MG, relator Ministro Reynaldo Soares da Fonseca, Quinta Turma, julgado em 8/8/2023</w:t>
      </w:r>
      <w:r>
        <w:rPr>
          <w:color w:val="808080" w:themeColor="background1" w:themeShade="80"/>
        </w:rPr>
        <w:t>.</w:t>
      </w:r>
    </w:p>
    <w:p w14:paraId="719B21A2" w14:textId="02542284" w:rsidR="004D5E43" w:rsidRDefault="00E168D5" w:rsidP="004D5E43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E168D5">
        <w:rPr>
          <w:i/>
          <w:iCs/>
        </w:rPr>
        <w:t>Valorada a quantidade e natureza da droga na primeira etapa da dosimetria, inviável sua utilização na terceira etapa para negar ou mesmo modular o fator de diminuição da pena pelo privilégio do tráfico de drogas.</w:t>
      </w:r>
    </w:p>
    <w:bookmarkEnd w:id="1"/>
    <w:p w14:paraId="5DDDB708" w14:textId="77777777" w:rsidR="00E168D5" w:rsidRPr="00E168D5" w:rsidRDefault="00E168D5" w:rsidP="00E168D5">
      <w:pPr>
        <w:pStyle w:val="SemEspaamento"/>
      </w:pPr>
      <w:r w:rsidRPr="00E168D5">
        <w:t xml:space="preserve">A </w:t>
      </w:r>
      <w:proofErr w:type="spellStart"/>
      <w:r w:rsidRPr="00E168D5">
        <w:t>ratio</w:t>
      </w:r>
      <w:proofErr w:type="spellEnd"/>
      <w:r w:rsidRPr="00E168D5">
        <w:t xml:space="preserve"> </w:t>
      </w:r>
      <w:proofErr w:type="spellStart"/>
      <w:r w:rsidRPr="00E168D5">
        <w:t>decidendi</w:t>
      </w:r>
      <w:proofErr w:type="spellEnd"/>
      <w:r w:rsidRPr="00E168D5">
        <w:t xml:space="preserve"> do precedente é inequívoca e plenamente aplicável ao caso: se a quantidade/natureza já operou como fator de recrudescimento da pena-base, </w:t>
      </w:r>
      <w:r w:rsidRPr="00E168D5">
        <w:lastRenderedPageBreak/>
        <w:t>não pode ser reciclada para limitar a benesse do § 4º, sob pena de esvaziar a lógica do sistema e transformar o redutor em mecanismo meramente formal.</w:t>
      </w:r>
    </w:p>
    <w:p w14:paraId="1DC39875" w14:textId="77777777" w:rsidR="00E168D5" w:rsidRPr="00E168D5" w:rsidRDefault="00E168D5" w:rsidP="00E168D5">
      <w:pPr>
        <w:pStyle w:val="SemEspaamento"/>
      </w:pPr>
      <w:r w:rsidRPr="00E168D5">
        <w:t>Essa duplicidade de valoração, além de contrariar o entendimento do STJ, compromete a proporcionalidade do apenamento, porque o apelante acaba sofrendo um incremento “invisível” na pena final: aumenta-se na base e, depois, impede-se a redução efetiva, alcançando resultado mais gravoso do que o permitido pela técnica dosimétrica.</w:t>
      </w:r>
    </w:p>
    <w:p w14:paraId="73BC7F37" w14:textId="77777777" w:rsidR="00E168D5" w:rsidRPr="00E168D5" w:rsidRDefault="00E168D5" w:rsidP="00E168D5">
      <w:pPr>
        <w:pStyle w:val="SemEspaamento"/>
      </w:pPr>
      <w:r w:rsidRPr="00E168D5">
        <w:t>Deve-se observar que o § 4º do art. 33 foi concebido para diferenciar situações de menor gravidade concreta e afastar a equiparação automática ao traficante profissional. A modulação do quantum de redução, quando realizada, precisa se apoiar em fundamentos autônomos, e não repetir o mesmo elemento já utilizado para majorar a pena-base.</w:t>
      </w:r>
    </w:p>
    <w:p w14:paraId="21696275" w14:textId="77777777" w:rsidR="00E168D5" w:rsidRPr="00E168D5" w:rsidRDefault="00E168D5" w:rsidP="00E168D5">
      <w:pPr>
        <w:pStyle w:val="SemEspaamento"/>
      </w:pPr>
      <w:r w:rsidRPr="00E168D5">
        <w:t xml:space="preserve">Logo, mantendo-se o reconhecimento do tráfico privilegiado (como já fez o Juízo de origem), impõe-se o redimensionamento do patamar de redução na terceira fase, afastando a justificativa calcada exclusivamente na quantidade/natureza já considerada na primeira etapa, em estrita observância ao comando do STJ no </w:t>
      </w:r>
      <w:proofErr w:type="spellStart"/>
      <w:r w:rsidRPr="00E168D5">
        <w:t>AgRg</w:t>
      </w:r>
      <w:proofErr w:type="spellEnd"/>
      <w:r w:rsidRPr="00E168D5">
        <w:t xml:space="preserve"> no REsp 2.048.549/MG.</w:t>
      </w:r>
    </w:p>
    <w:p w14:paraId="62F2F78C" w14:textId="3FF4C06F" w:rsidR="00E168D5" w:rsidRDefault="00E168D5" w:rsidP="00E168D5">
      <w:pPr>
        <w:pStyle w:val="SemEspaamento"/>
      </w:pPr>
      <w:r w:rsidRPr="00E168D5">
        <w:t>Em consequência, requer-se o provimento do recurso para que seja reconhecida a nulidade material do bis in idem na dosimetria, reajustando-se a fração do redutor do art. 33, § 4º</w:t>
      </w:r>
      <w:r>
        <w:t>, aplicando-o em seu grau máximo</w:t>
      </w:r>
      <w:r w:rsidRPr="00E168D5">
        <w:t>, sem reutilização da quantidade/natureza já valoradas na pena-base, com o consequente redimensionamento da pena final e reflexos nas demais consequências penais (regime e eventual substituição), conforme o novo quantum fixado.</w:t>
      </w:r>
    </w:p>
    <w:p w14:paraId="40770274" w14:textId="77777777" w:rsidR="00515025" w:rsidRDefault="00515025" w:rsidP="00E168D5">
      <w:pPr>
        <w:pStyle w:val="SemEspaamento"/>
      </w:pPr>
    </w:p>
    <w:p w14:paraId="05C076EE" w14:textId="77777777" w:rsidR="00795FF5" w:rsidRDefault="00795FF5" w:rsidP="00E168D5">
      <w:pPr>
        <w:pStyle w:val="SemEspaamento"/>
      </w:pPr>
    </w:p>
    <w:p w14:paraId="50DC2010" w14:textId="77777777" w:rsidR="00795FF5" w:rsidRDefault="00795FF5" w:rsidP="00E168D5">
      <w:pPr>
        <w:pStyle w:val="SemEspaamento"/>
      </w:pPr>
    </w:p>
    <w:p w14:paraId="14C68C9A" w14:textId="77777777" w:rsidR="00795FF5" w:rsidRDefault="00795FF5" w:rsidP="00E168D5">
      <w:pPr>
        <w:pStyle w:val="SemEspaamento"/>
      </w:pPr>
    </w:p>
    <w:p w14:paraId="1E6AC8FB" w14:textId="77777777" w:rsidR="00795FF5" w:rsidRDefault="00795FF5" w:rsidP="00E168D5">
      <w:pPr>
        <w:pStyle w:val="SemEspaamento"/>
      </w:pPr>
    </w:p>
    <w:p w14:paraId="165E7684" w14:textId="3A441C85" w:rsidR="00515025" w:rsidRDefault="00515025" w:rsidP="00515025">
      <w:pPr>
        <w:pStyle w:val="Ttulo1"/>
        <w:spacing w:before="0" w:after="0" w:line="240" w:lineRule="auto"/>
      </w:pPr>
      <w:r w:rsidRPr="00515025">
        <w:lastRenderedPageBreak/>
        <w:t>DO PREQUESTIONAMENTO</w:t>
      </w:r>
    </w:p>
    <w:p w14:paraId="2E1D3C85" w14:textId="77777777" w:rsidR="00515025" w:rsidRDefault="00515025" w:rsidP="00515025">
      <w:pPr>
        <w:pStyle w:val="SemEspaamento"/>
      </w:pPr>
      <w:r>
        <w:t>Para fins de interposição de eventuais Recursos aos Tribunais Superiores, requer o Apelante que este Egrégio Tribunal se manifeste expressamente sobre as matérias federais e constitucionais ventiladas nas presentes razões, em especial: (i) a vedação ao bis in idem na dosimetria; (</w:t>
      </w:r>
      <w:proofErr w:type="spellStart"/>
      <w:r>
        <w:t>ii</w:t>
      </w:r>
      <w:proofErr w:type="spellEnd"/>
      <w:r>
        <w:t>) a impossibilidade de utilizar a quantidade/natureza da droga para exasperar a pena-base e, novamente, modular (ou restringir) a fração da causa de diminuição do art. 33, § 4º, da Lei n. 11.343/06; e (</w:t>
      </w:r>
      <w:proofErr w:type="spellStart"/>
      <w:r>
        <w:t>iii</w:t>
      </w:r>
      <w:proofErr w:type="spellEnd"/>
      <w:r>
        <w:t xml:space="preserve">) a necessidade de redimensionamento do quantum de redução na terceira fase, conforme o entendimento consolidado no </w:t>
      </w:r>
      <w:proofErr w:type="spellStart"/>
      <w:r>
        <w:t>AgRg</w:t>
      </w:r>
      <w:proofErr w:type="spellEnd"/>
      <w:r>
        <w:t xml:space="preserve"> no REsp n. 2.048.549/MG.</w:t>
      </w:r>
    </w:p>
    <w:p w14:paraId="6227F17C" w14:textId="77777777" w:rsidR="00515025" w:rsidRDefault="00515025" w:rsidP="00515025">
      <w:pPr>
        <w:pStyle w:val="SemEspaamento"/>
      </w:pPr>
      <w:r>
        <w:t>Requer-se, ainda, pronunciamento explícito acerca da correta aplicação do critério trifásico (art. 68 do CP) e das circunstâncias judiciais (art. 59 do CP), bem como do modo de valoração da quantidade/natureza do entorpecente na dosimetria (art. 42 da Lei n. 11.343/06), evitando-se que o mesmo vetor seja empregado em duplicidade com efeito agravador.</w:t>
      </w:r>
    </w:p>
    <w:p w14:paraId="016CF4A5" w14:textId="77777777" w:rsidR="00515025" w:rsidRDefault="00515025" w:rsidP="00515025">
      <w:pPr>
        <w:pStyle w:val="SemEspaamento"/>
      </w:pPr>
      <w:r>
        <w:t>Do mesmo modo, pede-se que conste do acórdão, de forma clara e direta, se houve (ou não) dupla valoração do mesmo dado fático (quantidade/natureza), com indicação expressa das razões pelas quais a Câmara entende possível ou vedado o reemprego do critério na terceira fase, enfrentando-se a tese defensiva tal como deduzida.</w:t>
      </w:r>
    </w:p>
    <w:p w14:paraId="67FD4552" w14:textId="1EE0FB13" w:rsidR="00515025" w:rsidRDefault="00515025" w:rsidP="00515025">
      <w:pPr>
        <w:pStyle w:val="SemEspaamento"/>
      </w:pPr>
      <w:r>
        <w:t>Por cautela, caso alguma das teses acima não seja enfrentada de maneira expressa, requer o Apelante que o acórdão registre, ao menos, a análise do ponto sob a ótica do prequestionamento, consignando-se a conclusão do Colegiado sobre a violação (ou não) à técnica dosimétrica e à vedação do bis in idem, a fim de viabilizar o debate em sede extraordinária, se necessário.</w:t>
      </w:r>
    </w:p>
    <w:p w14:paraId="4FFC1FD8" w14:textId="77777777" w:rsidR="00515025" w:rsidRPr="00E168D5" w:rsidRDefault="00515025" w:rsidP="00E168D5">
      <w:pPr>
        <w:pStyle w:val="SemEspaamento"/>
      </w:pPr>
    </w:p>
    <w:p w14:paraId="65AEAF1A" w14:textId="264C72D2" w:rsidR="00A61153" w:rsidRDefault="00A61153" w:rsidP="00A61153">
      <w:pPr>
        <w:pStyle w:val="SemEspaamento"/>
      </w:pPr>
    </w:p>
    <w:p w14:paraId="5E68A849" w14:textId="77777777" w:rsidR="00515025" w:rsidRDefault="00515025" w:rsidP="00A61153">
      <w:pPr>
        <w:pStyle w:val="SemEspaamento"/>
      </w:pPr>
    </w:p>
    <w:p w14:paraId="37452137" w14:textId="77777777" w:rsidR="00515025" w:rsidRDefault="00515025" w:rsidP="00A61153">
      <w:pPr>
        <w:pStyle w:val="SemEspaamento"/>
      </w:pPr>
    </w:p>
    <w:p w14:paraId="1F8A9D7B" w14:textId="77777777" w:rsidR="00515025" w:rsidRDefault="00515025" w:rsidP="00A61153">
      <w:pPr>
        <w:pStyle w:val="SemEspaamento"/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lastRenderedPageBreak/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71164FFD" w14:textId="77777777" w:rsidR="00E168D5" w:rsidRPr="00E168D5" w:rsidRDefault="00E168D5" w:rsidP="00E168D5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E168D5">
        <w:rPr>
          <w:rFonts w:ascii="Source Serif Pro" w:hAnsi="Source Serif Pro"/>
        </w:rPr>
        <w:t>Diante do exposto, requer o Apelante a Vossas Excelências:</w:t>
      </w:r>
    </w:p>
    <w:p w14:paraId="3BA25BA2" w14:textId="72D600C3" w:rsidR="00E168D5" w:rsidRPr="00E168D5" w:rsidRDefault="00E168D5" w:rsidP="00E168D5">
      <w:pPr>
        <w:pStyle w:val="PargrafodaLista"/>
        <w:numPr>
          <w:ilvl w:val="0"/>
          <w:numId w:val="35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E168D5">
        <w:rPr>
          <w:rFonts w:ascii="Source Serif Pro" w:hAnsi="Source Serif Pro"/>
          <w:b/>
          <w:bCs/>
        </w:rPr>
        <w:t xml:space="preserve">O conhecimento e provimento da presente Apelação, para que seja reconhecido o bis in idem, </w:t>
      </w:r>
      <w:r w:rsidRPr="00E168D5">
        <w:rPr>
          <w:rFonts w:ascii="Source Serif Pro" w:hAnsi="Source Serif Pro"/>
        </w:rPr>
        <w:t xml:space="preserve">uma vez que a quantidade e/ou natureza da droga já foi utilizada para exasperar a pena-base (1ª fase) e, indevidamente, foi empregada novamente para modular o redutor do art. 33, § 4º, da Lei 11.343/06 no patamar mínimo (3ª fase), em afronta ao entendimento do STJ no </w:t>
      </w:r>
      <w:proofErr w:type="spellStart"/>
      <w:r w:rsidRPr="00E168D5">
        <w:rPr>
          <w:rFonts w:ascii="Source Serif Pro" w:hAnsi="Source Serif Pro"/>
        </w:rPr>
        <w:t>AgRg</w:t>
      </w:r>
      <w:proofErr w:type="spellEnd"/>
      <w:r w:rsidRPr="00E168D5">
        <w:rPr>
          <w:rFonts w:ascii="Source Serif Pro" w:hAnsi="Source Serif Pro"/>
        </w:rPr>
        <w:t xml:space="preserve"> no REsp n. 2.048.549/MG;</w:t>
      </w:r>
    </w:p>
    <w:p w14:paraId="5EA223A1" w14:textId="4A9A220D" w:rsidR="00E168D5" w:rsidRPr="00E168D5" w:rsidRDefault="00E168D5" w:rsidP="00E168D5">
      <w:pPr>
        <w:pStyle w:val="PargrafodaLista"/>
        <w:numPr>
          <w:ilvl w:val="0"/>
          <w:numId w:val="35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E168D5">
        <w:rPr>
          <w:rFonts w:ascii="Source Serif Pro" w:hAnsi="Source Serif Pro"/>
        </w:rPr>
        <w:t xml:space="preserve">Em consequência, seja determinado o redimensionamento da pena, </w:t>
      </w:r>
      <w:r w:rsidRPr="00E168D5">
        <w:rPr>
          <w:rFonts w:ascii="Source Serif Pro" w:hAnsi="Source Serif Pro"/>
          <w:b/>
          <w:bCs/>
        </w:rPr>
        <w:t>aplicando-se o redutor do tráfico privilegiado em seu grau máximo</w:t>
      </w:r>
      <w:r>
        <w:rPr>
          <w:rFonts w:ascii="Source Serif Pro" w:hAnsi="Source Serif Pro"/>
        </w:rPr>
        <w:t>, qual seja, 2/3.</w:t>
      </w:r>
      <w:r w:rsidRPr="00E168D5">
        <w:rPr>
          <w:rFonts w:ascii="Source Serif Pro" w:hAnsi="Source Serif Pro"/>
        </w:rPr>
        <w:t>;</w:t>
      </w:r>
    </w:p>
    <w:p w14:paraId="0D3DAD6F" w14:textId="34725613" w:rsidR="00E168D5" w:rsidRPr="00E168D5" w:rsidRDefault="00E168D5" w:rsidP="00E168D5">
      <w:pPr>
        <w:pStyle w:val="PargrafodaLista"/>
        <w:numPr>
          <w:ilvl w:val="0"/>
          <w:numId w:val="35"/>
        </w:numPr>
        <w:spacing w:before="120" w:after="120" w:line="312" w:lineRule="auto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Derradeiramente, com a aplicação do redutor em seu grau máximo</w:t>
      </w:r>
      <w:r w:rsidRPr="00E168D5">
        <w:rPr>
          <w:rFonts w:ascii="Source Serif Pro" w:hAnsi="Source Serif Pro"/>
        </w:rPr>
        <w:t xml:space="preserve">, sejam reavaliados e ajustados, se cabíveis, o </w:t>
      </w:r>
      <w:r w:rsidRPr="00E168D5">
        <w:rPr>
          <w:rFonts w:ascii="Source Serif Pro" w:hAnsi="Source Serif Pro"/>
          <w:b/>
          <w:bCs/>
        </w:rPr>
        <w:t>regime inicial de cumprimento da pena</w:t>
      </w:r>
      <w:r w:rsidRPr="00E168D5">
        <w:rPr>
          <w:rFonts w:ascii="Source Serif Pro" w:hAnsi="Source Serif Pro"/>
        </w:rPr>
        <w:t xml:space="preserve"> e as </w:t>
      </w:r>
      <w:r w:rsidRPr="00E168D5">
        <w:rPr>
          <w:rFonts w:ascii="Source Serif Pro" w:hAnsi="Source Serif Pro"/>
          <w:b/>
          <w:bCs/>
        </w:rPr>
        <w:t>demais consequências penais</w:t>
      </w:r>
      <w:r w:rsidRPr="00E168D5">
        <w:rPr>
          <w:rFonts w:ascii="Source Serif Pro" w:hAnsi="Source Serif Pro"/>
        </w:rPr>
        <w:t xml:space="preserve"> decorrentes do novo quantum (inclusive eventual substituição da pena privativa de liberdade por restritivas de direitos, se presentes os requisitos);</w:t>
      </w:r>
    </w:p>
    <w:p w14:paraId="7E35C7C3" w14:textId="77777777" w:rsidR="00E168D5" w:rsidRDefault="00E168D5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191844BF" w14:textId="2B873CD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3166C0D9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795FF5">
        <w:rPr>
          <w:rFonts w:ascii="Source Serif Pro" w:hAnsi="Source Serif Pro"/>
          <w:noProof/>
        </w:rPr>
        <w:t>26 de dezembro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364C7" w14:textId="77777777" w:rsidR="004C6947" w:rsidRDefault="004C6947" w:rsidP="00BA1F94">
      <w:pPr>
        <w:spacing w:after="0" w:line="240" w:lineRule="auto"/>
      </w:pPr>
      <w:r>
        <w:separator/>
      </w:r>
    </w:p>
  </w:endnote>
  <w:endnote w:type="continuationSeparator" w:id="0">
    <w:p w14:paraId="4FB1ADE7" w14:textId="77777777" w:rsidR="004C6947" w:rsidRDefault="004C6947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32A23E0" w:rsidR="001E7DF5" w:rsidRPr="00D14593" w:rsidRDefault="00860199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32A6B654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www.guarnierimartins.com.br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 xml:space="preserve"> contato@guarnierimartins.com.br</w:t>
    </w:r>
    <w:proofErr w:type="gramEnd"/>
  </w:p>
  <w:p w14:paraId="1E5600C1" w14:textId="5A722ACD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>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A0EE9" w14:textId="77777777" w:rsidR="004C6947" w:rsidRDefault="004C6947" w:rsidP="00BA1F94">
      <w:pPr>
        <w:spacing w:after="0" w:line="240" w:lineRule="auto"/>
      </w:pPr>
      <w:r>
        <w:separator/>
      </w:r>
    </w:p>
  </w:footnote>
  <w:footnote w:type="continuationSeparator" w:id="0">
    <w:p w14:paraId="1CAF12EB" w14:textId="77777777" w:rsidR="004C6947" w:rsidRDefault="004C6947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6EA408D7" w:rsidR="00585236" w:rsidRDefault="0083519F" w:rsidP="00585236">
    <w:pPr>
      <w:pStyle w:val="Cabealho"/>
      <w:jc w:val="center"/>
    </w:pPr>
    <w:r>
      <w:rPr>
        <w:noProof/>
      </w:rPr>
      <w:drawing>
        <wp:inline distT="0" distB="0" distL="0" distR="0" wp14:anchorId="25F41A04" wp14:editId="2096D350">
          <wp:extent cx="1905000" cy="795655"/>
          <wp:effectExtent l="0" t="0" r="0" b="4445"/>
          <wp:docPr id="967337052" name="Imagem 4" descr="Placa azul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337052" name="Imagem 4" descr="Placa azul com letras brancas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795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1920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D252D"/>
    <w:multiLevelType w:val="hybridMultilevel"/>
    <w:tmpl w:val="446EA6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00EF456">
      <w:start w:val="1"/>
      <w:numFmt w:val="upperRoman"/>
      <w:lvlText w:val="(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9" w15:restartNumberingAfterBreak="0">
    <w:nsid w:val="52781C1E"/>
    <w:multiLevelType w:val="hybridMultilevel"/>
    <w:tmpl w:val="C284B9AE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1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2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5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2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7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3"/>
  </w:num>
  <w:num w:numId="13" w16cid:durableId="1542085398">
    <w:abstractNumId w:val="9"/>
  </w:num>
  <w:num w:numId="14" w16cid:durableId="1800220788">
    <w:abstractNumId w:val="27"/>
  </w:num>
  <w:num w:numId="15" w16cid:durableId="189689990">
    <w:abstractNumId w:val="22"/>
  </w:num>
  <w:num w:numId="16" w16cid:durableId="106320463">
    <w:abstractNumId w:val="24"/>
  </w:num>
  <w:num w:numId="17" w16cid:durableId="757795001">
    <w:abstractNumId w:val="5"/>
  </w:num>
  <w:num w:numId="18" w16cid:durableId="507915239">
    <w:abstractNumId w:val="23"/>
  </w:num>
  <w:num w:numId="19" w16cid:durableId="985084700">
    <w:abstractNumId w:val="21"/>
  </w:num>
  <w:num w:numId="20" w16cid:durableId="700283364">
    <w:abstractNumId w:val="18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20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5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5"/>
  </w:num>
  <w:num w:numId="31" w16cid:durableId="939022436">
    <w:abstractNumId w:val="16"/>
  </w:num>
  <w:num w:numId="32" w16cid:durableId="1358387731">
    <w:abstractNumId w:val="26"/>
  </w:num>
  <w:num w:numId="33" w16cid:durableId="1918588421">
    <w:abstractNumId w:val="11"/>
  </w:num>
  <w:num w:numId="34" w16cid:durableId="468980014">
    <w:abstractNumId w:val="14"/>
  </w:num>
  <w:num w:numId="35" w16cid:durableId="13301312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633B8"/>
    <w:rsid w:val="000765C6"/>
    <w:rsid w:val="00082385"/>
    <w:rsid w:val="000911F8"/>
    <w:rsid w:val="000A234B"/>
    <w:rsid w:val="000B2591"/>
    <w:rsid w:val="001153D8"/>
    <w:rsid w:val="00144A4B"/>
    <w:rsid w:val="0015581C"/>
    <w:rsid w:val="00163268"/>
    <w:rsid w:val="001649B5"/>
    <w:rsid w:val="0017232D"/>
    <w:rsid w:val="001828A8"/>
    <w:rsid w:val="001C6CE0"/>
    <w:rsid w:val="001E64BE"/>
    <w:rsid w:val="001E7DF5"/>
    <w:rsid w:val="001F3409"/>
    <w:rsid w:val="0021210F"/>
    <w:rsid w:val="0021462C"/>
    <w:rsid w:val="00255925"/>
    <w:rsid w:val="00265B72"/>
    <w:rsid w:val="002731A1"/>
    <w:rsid w:val="00293568"/>
    <w:rsid w:val="002C012C"/>
    <w:rsid w:val="002D3115"/>
    <w:rsid w:val="002E0484"/>
    <w:rsid w:val="002E6FB4"/>
    <w:rsid w:val="002F00FD"/>
    <w:rsid w:val="002F4394"/>
    <w:rsid w:val="00307183"/>
    <w:rsid w:val="00311836"/>
    <w:rsid w:val="00324907"/>
    <w:rsid w:val="00334B83"/>
    <w:rsid w:val="00335715"/>
    <w:rsid w:val="0035269F"/>
    <w:rsid w:val="003602F7"/>
    <w:rsid w:val="003A171C"/>
    <w:rsid w:val="003A1DD2"/>
    <w:rsid w:val="003A76A4"/>
    <w:rsid w:val="003A7CB9"/>
    <w:rsid w:val="003D1578"/>
    <w:rsid w:val="003F6371"/>
    <w:rsid w:val="0041600B"/>
    <w:rsid w:val="00421C44"/>
    <w:rsid w:val="004526A3"/>
    <w:rsid w:val="00462A1D"/>
    <w:rsid w:val="00466093"/>
    <w:rsid w:val="00473494"/>
    <w:rsid w:val="004A1397"/>
    <w:rsid w:val="004A7B6D"/>
    <w:rsid w:val="004B23AC"/>
    <w:rsid w:val="004C2B0E"/>
    <w:rsid w:val="004C6947"/>
    <w:rsid w:val="004C78F2"/>
    <w:rsid w:val="004D5E43"/>
    <w:rsid w:val="004F6860"/>
    <w:rsid w:val="00502064"/>
    <w:rsid w:val="00510D1D"/>
    <w:rsid w:val="00515025"/>
    <w:rsid w:val="005271CA"/>
    <w:rsid w:val="00547988"/>
    <w:rsid w:val="00552F50"/>
    <w:rsid w:val="0056423A"/>
    <w:rsid w:val="005701F5"/>
    <w:rsid w:val="005702CF"/>
    <w:rsid w:val="00575469"/>
    <w:rsid w:val="00585236"/>
    <w:rsid w:val="00596D6C"/>
    <w:rsid w:val="005A6E55"/>
    <w:rsid w:val="005B5CB7"/>
    <w:rsid w:val="005C54F8"/>
    <w:rsid w:val="005F47A7"/>
    <w:rsid w:val="00610767"/>
    <w:rsid w:val="00617C7C"/>
    <w:rsid w:val="00636660"/>
    <w:rsid w:val="00636D00"/>
    <w:rsid w:val="006419C1"/>
    <w:rsid w:val="0064461A"/>
    <w:rsid w:val="00660CFA"/>
    <w:rsid w:val="00673A8C"/>
    <w:rsid w:val="006A3AEB"/>
    <w:rsid w:val="006B1A62"/>
    <w:rsid w:val="006B1C85"/>
    <w:rsid w:val="006D5BE0"/>
    <w:rsid w:val="006E0323"/>
    <w:rsid w:val="006E26AE"/>
    <w:rsid w:val="006F33DE"/>
    <w:rsid w:val="007020CA"/>
    <w:rsid w:val="00716815"/>
    <w:rsid w:val="00720D57"/>
    <w:rsid w:val="00724E8D"/>
    <w:rsid w:val="00746620"/>
    <w:rsid w:val="00763304"/>
    <w:rsid w:val="00764F76"/>
    <w:rsid w:val="00795FF5"/>
    <w:rsid w:val="007A0B17"/>
    <w:rsid w:val="007B7295"/>
    <w:rsid w:val="007D5D4E"/>
    <w:rsid w:val="007E3DC1"/>
    <w:rsid w:val="007F0F05"/>
    <w:rsid w:val="00802A06"/>
    <w:rsid w:val="0081592C"/>
    <w:rsid w:val="008235F0"/>
    <w:rsid w:val="0083519F"/>
    <w:rsid w:val="00837FD8"/>
    <w:rsid w:val="0085250D"/>
    <w:rsid w:val="00860199"/>
    <w:rsid w:val="00880278"/>
    <w:rsid w:val="00884412"/>
    <w:rsid w:val="008B03CF"/>
    <w:rsid w:val="008B41F3"/>
    <w:rsid w:val="008F0F7D"/>
    <w:rsid w:val="00902436"/>
    <w:rsid w:val="00915234"/>
    <w:rsid w:val="00924899"/>
    <w:rsid w:val="00941BFE"/>
    <w:rsid w:val="009825A3"/>
    <w:rsid w:val="00983A54"/>
    <w:rsid w:val="0099073D"/>
    <w:rsid w:val="009A601B"/>
    <w:rsid w:val="009D178E"/>
    <w:rsid w:val="009E098F"/>
    <w:rsid w:val="009F311E"/>
    <w:rsid w:val="00A01420"/>
    <w:rsid w:val="00A47F27"/>
    <w:rsid w:val="00A61153"/>
    <w:rsid w:val="00A73B53"/>
    <w:rsid w:val="00A82AD8"/>
    <w:rsid w:val="00A8787D"/>
    <w:rsid w:val="00A87D34"/>
    <w:rsid w:val="00A97C42"/>
    <w:rsid w:val="00AA08C3"/>
    <w:rsid w:val="00AA31B3"/>
    <w:rsid w:val="00AB2011"/>
    <w:rsid w:val="00B0317F"/>
    <w:rsid w:val="00B04357"/>
    <w:rsid w:val="00B15A4E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6F5E"/>
    <w:rsid w:val="00BF64DD"/>
    <w:rsid w:val="00C01E5D"/>
    <w:rsid w:val="00C56908"/>
    <w:rsid w:val="00C86BDE"/>
    <w:rsid w:val="00C925C7"/>
    <w:rsid w:val="00C9595C"/>
    <w:rsid w:val="00C96CB7"/>
    <w:rsid w:val="00CA2809"/>
    <w:rsid w:val="00CA3287"/>
    <w:rsid w:val="00CB50FF"/>
    <w:rsid w:val="00CE6C3F"/>
    <w:rsid w:val="00D03532"/>
    <w:rsid w:val="00D121F1"/>
    <w:rsid w:val="00D14593"/>
    <w:rsid w:val="00D343B2"/>
    <w:rsid w:val="00D37B62"/>
    <w:rsid w:val="00D75D54"/>
    <w:rsid w:val="00D7692D"/>
    <w:rsid w:val="00D934F0"/>
    <w:rsid w:val="00D94708"/>
    <w:rsid w:val="00DB0C17"/>
    <w:rsid w:val="00DB7797"/>
    <w:rsid w:val="00E168D5"/>
    <w:rsid w:val="00E260D2"/>
    <w:rsid w:val="00E60E76"/>
    <w:rsid w:val="00E70C92"/>
    <w:rsid w:val="00EB489A"/>
    <w:rsid w:val="00ED0C3A"/>
    <w:rsid w:val="00ED2877"/>
    <w:rsid w:val="00EE0ABC"/>
    <w:rsid w:val="00F02F97"/>
    <w:rsid w:val="00F10092"/>
    <w:rsid w:val="00F3233A"/>
    <w:rsid w:val="00F35BC5"/>
    <w:rsid w:val="00F37C97"/>
    <w:rsid w:val="00F46652"/>
    <w:rsid w:val="00F53D0B"/>
    <w:rsid w:val="00F81339"/>
    <w:rsid w:val="00F84566"/>
    <w:rsid w:val="00F85AD9"/>
    <w:rsid w:val="00F94532"/>
    <w:rsid w:val="00FA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50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  <w:style w:type="paragraph" w:customStyle="1" w:styleId="1Padropargrafo">
    <w:name w:val="1. Padrão parágrafo"/>
    <w:basedOn w:val="Normal"/>
    <w:link w:val="1PadropargrafoChar"/>
    <w:qFormat/>
    <w:rsid w:val="004D5E43"/>
    <w:pPr>
      <w:spacing w:before="240" w:after="240" w:line="312" w:lineRule="auto"/>
      <w:ind w:firstLine="1134"/>
      <w:jc w:val="both"/>
    </w:pPr>
    <w:rPr>
      <w:rFonts w:ascii="Nunito" w:hAnsi="Nunito"/>
      <w:kern w:val="0"/>
      <w:sz w:val="22"/>
      <w:szCs w:val="22"/>
      <w14:ligatures w14:val="none"/>
    </w:rPr>
  </w:style>
  <w:style w:type="character" w:customStyle="1" w:styleId="1PadropargrafoChar">
    <w:name w:val="1. Padrão parágrafo Char"/>
    <w:basedOn w:val="Fontepargpadro"/>
    <w:link w:val="1Padropargrafo"/>
    <w:rsid w:val="004D5E43"/>
    <w:rPr>
      <w:rFonts w:ascii="Nunito" w:hAnsi="Nuni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1217</Words>
  <Characters>6766</Characters>
  <Application>Microsoft Office Word</Application>
  <DocSecurity>0</DocSecurity>
  <Lines>162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7</cp:revision>
  <cp:lastPrinted>2025-10-14T13:26:00Z</cp:lastPrinted>
  <dcterms:created xsi:type="dcterms:W3CDTF">2025-12-26T15:19:00Z</dcterms:created>
  <dcterms:modified xsi:type="dcterms:W3CDTF">2025-12-26T16:22:00Z</dcterms:modified>
</cp:coreProperties>
</file>