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5B2121C9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4B23AC">
        <w:rPr>
          <w:rFonts w:ascii="Source Serif Pro" w:hAnsi="Source Serif Pro"/>
          <w:b/>
          <w:bCs/>
          <w:sz w:val="26"/>
          <w:szCs w:val="28"/>
        </w:rPr>
        <w:t>Ex</w:t>
      </w:r>
      <w:r w:rsidR="00884412">
        <w:rPr>
          <w:rFonts w:ascii="Source Serif Pro" w:hAnsi="Source Serif Pro"/>
          <w:b/>
          <w:bCs/>
          <w:sz w:val="26"/>
          <w:szCs w:val="28"/>
        </w:rPr>
        <w:t>mo</w:t>
      </w:r>
      <w:r w:rsidR="00660CFA">
        <w:rPr>
          <w:rFonts w:ascii="Source Serif Pro" w:hAnsi="Source Serif Pro"/>
          <w:b/>
          <w:bCs/>
          <w:sz w:val="26"/>
          <w:szCs w:val="28"/>
        </w:rPr>
        <w:t>. Des. ...</w:t>
      </w:r>
    </w:p>
    <w:p w14:paraId="0BE51421" w14:textId="5653FA39" w:rsidR="00B968CC" w:rsidRPr="00B24A33" w:rsidRDefault="00660CFA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 xml:space="preserve">Relator da Apelação n. </w:t>
      </w:r>
    </w:p>
    <w:p w14:paraId="39684049" w14:textId="77777777" w:rsidR="00F3233A" w:rsidRDefault="00F3233A" w:rsidP="00DB7797">
      <w:pPr>
        <w:spacing w:before="360" w:after="0"/>
        <w:rPr>
          <w:rFonts w:ascii="Source Serif Pro" w:hAnsi="Source Serif Pro" w:cs="Segoe UI Semibold"/>
          <w:noProof/>
          <w:spacing w:val="10"/>
          <w:sz w:val="21"/>
          <w:szCs w:val="21"/>
        </w:rPr>
      </w:pPr>
    </w:p>
    <w:p w14:paraId="45BE129E" w14:textId="77777777" w:rsidR="00F3233A" w:rsidRPr="00B24A33" w:rsidRDefault="00F3233A">
      <w:pPr>
        <w:rPr>
          <w:rFonts w:ascii="Source Serif Pro" w:hAnsi="Source Serif Pro"/>
        </w:rPr>
      </w:pPr>
    </w:p>
    <w:p w14:paraId="1D46FD50" w14:textId="77777777" w:rsidR="005C54F8" w:rsidRDefault="005C54F8" w:rsidP="00EE0ABC">
      <w:pPr>
        <w:ind w:firstLine="567"/>
        <w:rPr>
          <w:rFonts w:ascii="Source Serif Pro" w:hAnsi="Source Serif Pro"/>
        </w:rPr>
      </w:pPr>
    </w:p>
    <w:p w14:paraId="76E1F4EA" w14:textId="77777777" w:rsidR="00837FD8" w:rsidRPr="00B24A33" w:rsidRDefault="00837FD8" w:rsidP="00EE0ABC">
      <w:pPr>
        <w:ind w:firstLine="567"/>
        <w:rPr>
          <w:rFonts w:ascii="Source Serif Pro" w:hAnsi="Source Serif Pro"/>
        </w:rPr>
      </w:pPr>
    </w:p>
    <w:p w14:paraId="1DE5A89B" w14:textId="3CBFEC98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4D5E43">
        <w:rPr>
          <w:rFonts w:ascii="Source Serif Pro" w:hAnsi="Source Serif Pro"/>
        </w:rPr>
        <w:t>já qualificado nos autos em epígrafe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>
        <w:rPr>
          <w:rFonts w:ascii="Source Serif Pro" w:hAnsi="Source Serif Pro"/>
        </w:rPr>
        <w:t xml:space="preserve">vem a presença </w:t>
      </w:r>
      <w:r w:rsidR="005A6E55">
        <w:rPr>
          <w:rFonts w:ascii="Source Serif Pro" w:hAnsi="Source Serif Pro"/>
        </w:rPr>
        <w:t>de Vossa Excelência</w:t>
      </w:r>
      <w:r>
        <w:rPr>
          <w:rFonts w:ascii="Source Serif Pro" w:hAnsi="Source Serif Pro"/>
        </w:rPr>
        <w:t xml:space="preserve"> </w:t>
      </w:r>
      <w:r w:rsidR="00763304">
        <w:rPr>
          <w:rFonts w:ascii="Source Serif Pro" w:hAnsi="Source Serif Pro"/>
        </w:rPr>
        <w:t xml:space="preserve">apresentar </w:t>
      </w:r>
    </w:p>
    <w:p w14:paraId="2CD2B9C5" w14:textId="2E294FC5" w:rsidR="00B57D96" w:rsidRPr="007A0B17" w:rsidRDefault="004D5E43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RAZÕES DO RECURSO DE APELAÇÃO</w:t>
      </w:r>
    </w:p>
    <w:p w14:paraId="190530AD" w14:textId="77777777" w:rsidR="004D5E43" w:rsidRPr="00323EF9" w:rsidRDefault="004D5E43" w:rsidP="004D5E43">
      <w:pPr>
        <w:pStyle w:val="1Padropargrafo"/>
        <w:rPr>
          <w:rFonts w:ascii="Source Serif Pro" w:hAnsi="Source Serif Pro"/>
          <w:kern w:val="2"/>
          <w:sz w:val="24"/>
          <w:szCs w:val="24"/>
          <w14:ligatures w14:val="standardContextual"/>
        </w:rPr>
      </w:pPr>
      <w:r w:rsidRPr="00323EF9">
        <w:rPr>
          <w:rFonts w:ascii="Source Serif Pro" w:hAnsi="Source Serif Pro"/>
          <w:kern w:val="2"/>
          <w:sz w:val="24"/>
          <w:szCs w:val="24"/>
          <w14:ligatures w14:val="standardContextual"/>
        </w:rPr>
        <w:t xml:space="preserve">nos termos do art. 600, §4º. Outrossim, requer a juntada das razões, bem como que seja o recurso conhecido e provido em sua integralidade. </w:t>
      </w:r>
    </w:p>
    <w:p w14:paraId="6C261EA5" w14:textId="77777777" w:rsidR="004D5E43" w:rsidRPr="00F8728F" w:rsidRDefault="004D5E43" w:rsidP="00F8728F">
      <w:pPr>
        <w:pStyle w:val="1Padropargrafo"/>
        <w:rPr>
          <w:rFonts w:ascii="Source Serif Pro" w:hAnsi="Source Serif Pro"/>
          <w:kern w:val="2"/>
          <w:sz w:val="24"/>
          <w:szCs w:val="24"/>
          <w14:ligatures w14:val="standardContextual"/>
        </w:rPr>
      </w:pP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t>Respeitosamente, requer o deferimento.</w:t>
      </w:r>
    </w:p>
    <w:p w14:paraId="0D7286F9" w14:textId="29FC21FE" w:rsidR="004D5E43" w:rsidRPr="00F8728F" w:rsidRDefault="004D5E43" w:rsidP="00F8728F">
      <w:pPr>
        <w:pStyle w:val="1Padropargrafo"/>
        <w:rPr>
          <w:rFonts w:ascii="Source Serif Pro" w:hAnsi="Source Serif Pro"/>
          <w:kern w:val="2"/>
          <w:sz w:val="24"/>
          <w:szCs w:val="24"/>
          <w14:ligatures w14:val="standardContextual"/>
        </w:rPr>
      </w:pP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t xml:space="preserve">Cidade e estado, </w:t>
      </w: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fldChar w:fldCharType="begin"/>
      </w: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instrText xml:space="preserve"> TIME \@ "d' de 'MMMM' de 'yyyy" </w:instrText>
      </w: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fldChar w:fldCharType="separate"/>
      </w:r>
      <w:r w:rsidR="00412B7E">
        <w:rPr>
          <w:rFonts w:ascii="Source Serif Pro" w:hAnsi="Source Serif Pro"/>
          <w:noProof/>
          <w:kern w:val="2"/>
          <w:sz w:val="24"/>
          <w:szCs w:val="24"/>
          <w14:ligatures w14:val="standardContextual"/>
        </w:rPr>
        <w:t>26 de dezembro de 2025</w:t>
      </w: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fldChar w:fldCharType="end"/>
      </w: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t>.</w:t>
      </w:r>
    </w:p>
    <w:p w14:paraId="7DB0A8A3" w14:textId="77777777" w:rsidR="004D5E43" w:rsidRPr="00F8728F" w:rsidRDefault="004D5E43" w:rsidP="00F8728F">
      <w:pPr>
        <w:pStyle w:val="1Padropargrafo"/>
        <w:spacing w:before="0" w:after="0" w:line="240" w:lineRule="auto"/>
        <w:jc w:val="center"/>
        <w:rPr>
          <w:rFonts w:ascii="Source Serif Pro" w:hAnsi="Source Serif Pro"/>
          <w:kern w:val="2"/>
          <w:sz w:val="24"/>
          <w:szCs w:val="24"/>
          <w14:ligatures w14:val="standardContextual"/>
        </w:rPr>
      </w:pP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t>Nome do advogado</w:t>
      </w:r>
    </w:p>
    <w:p w14:paraId="7D427F87" w14:textId="77777777" w:rsidR="004D5E43" w:rsidRPr="00F8728F" w:rsidRDefault="004D5E43" w:rsidP="00F8728F">
      <w:pPr>
        <w:pStyle w:val="1Padropargrafo"/>
        <w:spacing w:before="0" w:after="0" w:line="240" w:lineRule="auto"/>
        <w:jc w:val="center"/>
        <w:rPr>
          <w:rFonts w:ascii="Source Serif Pro" w:hAnsi="Source Serif Pro"/>
          <w:kern w:val="2"/>
          <w:sz w:val="24"/>
          <w:szCs w:val="24"/>
          <w14:ligatures w14:val="standardContextual"/>
        </w:rPr>
      </w:pPr>
      <w:r w:rsidRPr="00F8728F">
        <w:rPr>
          <w:rFonts w:ascii="Source Serif Pro" w:hAnsi="Source Serif Pro"/>
          <w:kern w:val="2"/>
          <w:sz w:val="24"/>
          <w:szCs w:val="24"/>
          <w14:ligatures w14:val="standardContextual"/>
        </w:rPr>
        <w:t>OAB/.... XXX.XXX</w:t>
      </w:r>
    </w:p>
    <w:p w14:paraId="46AE4AF2" w14:textId="772928BF" w:rsidR="00EE0ABC" w:rsidRPr="00F8728F" w:rsidRDefault="00EE0ABC" w:rsidP="00F8728F">
      <w:pPr>
        <w:pStyle w:val="1Padropargrafo"/>
        <w:rPr>
          <w:rFonts w:ascii="Source Serif Pro" w:hAnsi="Source Serif Pro"/>
          <w:kern w:val="2"/>
          <w:sz w:val="24"/>
          <w:szCs w:val="24"/>
          <w14:ligatures w14:val="standardContextual"/>
        </w:rPr>
      </w:pPr>
    </w:p>
    <w:p w14:paraId="18AF53F2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7F67B508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DF97202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FF9DA39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64BAF797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81EE7DB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6B599EEF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0AE7D1F0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5AA4F7D1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469E48B4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682E0E04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668645AA" w14:textId="77777777" w:rsidR="004D5E43" w:rsidRPr="009077CD" w:rsidRDefault="004D5E43" w:rsidP="004D5E43">
      <w:pPr>
        <w:spacing w:before="120" w:after="120"/>
        <w:jc w:val="both"/>
        <w:rPr>
          <w:rFonts w:ascii="Georgia" w:hAnsi="Georgia" w:cs="Segoe UI"/>
          <w:b/>
          <w:bCs/>
        </w:rPr>
      </w:pPr>
      <w:r w:rsidRPr="009077CD">
        <w:rPr>
          <w:rFonts w:ascii="Georgia" w:hAnsi="Georgia" w:cs="Segoe UI"/>
          <w:b/>
          <w:bCs/>
        </w:rPr>
        <w:t>RAZÕES DE RECURSO DE APELAÇÃO</w:t>
      </w:r>
    </w:p>
    <w:p w14:paraId="482B66FF" w14:textId="76F27290" w:rsidR="004D5E43" w:rsidRPr="009077CD" w:rsidRDefault="004D5E43" w:rsidP="004D5E43">
      <w:pPr>
        <w:spacing w:before="120" w:after="120"/>
        <w:jc w:val="both"/>
        <w:rPr>
          <w:rFonts w:ascii="Georgia" w:hAnsi="Georgia" w:cs="Segoe UI"/>
          <w:b/>
          <w:bCs/>
        </w:rPr>
      </w:pPr>
      <w:r w:rsidRPr="009077CD">
        <w:rPr>
          <w:rFonts w:ascii="Georgia" w:hAnsi="Georgia" w:cs="Segoe UI"/>
          <w:b/>
          <w:bCs/>
        </w:rPr>
        <w:t>PROCESSO Nº: ....</w:t>
      </w:r>
    </w:p>
    <w:p w14:paraId="441B0F1E" w14:textId="51E707B8" w:rsidR="004D5E43" w:rsidRPr="009077CD" w:rsidRDefault="004D5E43" w:rsidP="004D5E43">
      <w:pPr>
        <w:spacing w:before="120" w:after="120"/>
        <w:jc w:val="both"/>
        <w:rPr>
          <w:rFonts w:ascii="Georgia" w:hAnsi="Georgia" w:cs="Segoe UI"/>
          <w:b/>
          <w:bCs/>
        </w:rPr>
      </w:pPr>
      <w:r w:rsidRPr="009077CD">
        <w:rPr>
          <w:rFonts w:ascii="Georgia" w:hAnsi="Georgia" w:cs="Segoe UI"/>
          <w:b/>
          <w:bCs/>
        </w:rPr>
        <w:t>APELANTE: [NOME DO CLIENTE]</w:t>
      </w:r>
    </w:p>
    <w:p w14:paraId="5D1FBA81" w14:textId="77777777" w:rsidR="004D5E43" w:rsidRPr="009077CD" w:rsidRDefault="004D5E43" w:rsidP="004D5E43">
      <w:pPr>
        <w:spacing w:before="120" w:after="120"/>
        <w:jc w:val="both"/>
        <w:rPr>
          <w:rFonts w:ascii="Georgia" w:hAnsi="Georgia" w:cs="Segoe UI"/>
          <w:b/>
          <w:bCs/>
        </w:rPr>
      </w:pPr>
      <w:r w:rsidRPr="009077CD">
        <w:rPr>
          <w:rFonts w:ascii="Georgia" w:hAnsi="Georgia" w:cs="Segoe UI"/>
          <w:b/>
          <w:bCs/>
        </w:rPr>
        <w:t>APELADA: JUSTIÇA PÚBLICA</w:t>
      </w:r>
    </w:p>
    <w:p w14:paraId="2542C114" w14:textId="77777777" w:rsidR="004D5E43" w:rsidRPr="009077CD" w:rsidRDefault="004D5E43" w:rsidP="004D5E43">
      <w:pPr>
        <w:spacing w:line="240" w:lineRule="auto"/>
        <w:jc w:val="both"/>
        <w:rPr>
          <w:rFonts w:ascii="Georgia" w:hAnsi="Georgia" w:cs="Segoe UI"/>
          <w:b/>
          <w:bCs/>
        </w:rPr>
      </w:pPr>
    </w:p>
    <w:p w14:paraId="0CF5EA6B" w14:textId="77777777" w:rsidR="004D5E43" w:rsidRPr="009077CD" w:rsidRDefault="004D5E43" w:rsidP="004D5E43">
      <w:pPr>
        <w:jc w:val="center"/>
        <w:rPr>
          <w:rFonts w:ascii="Georgia" w:hAnsi="Georgia" w:cs="Segoe UI"/>
          <w:b/>
          <w:bCs/>
        </w:rPr>
      </w:pPr>
      <w:r w:rsidRPr="009077CD">
        <w:rPr>
          <w:rFonts w:ascii="Georgia" w:hAnsi="Georgia" w:cs="Segoe UI"/>
          <w:b/>
          <w:bCs/>
        </w:rPr>
        <w:t>EGRÉGIO COLÉGIO RECURSAL</w:t>
      </w:r>
    </w:p>
    <w:p w14:paraId="512ECFA8" w14:textId="77777777" w:rsidR="004D5E43" w:rsidRPr="009077CD" w:rsidRDefault="004D5E43" w:rsidP="004D5E43">
      <w:pPr>
        <w:jc w:val="center"/>
        <w:rPr>
          <w:rFonts w:ascii="Georgia" w:hAnsi="Georgia" w:cs="Segoe UI"/>
          <w:b/>
          <w:bCs/>
        </w:rPr>
      </w:pPr>
      <w:r w:rsidRPr="009077CD">
        <w:rPr>
          <w:rFonts w:ascii="Georgia" w:hAnsi="Georgia" w:cs="Segoe UI"/>
          <w:b/>
          <w:bCs/>
        </w:rPr>
        <w:t>COLENDA CÂMARA CRIMINAL</w:t>
      </w:r>
    </w:p>
    <w:p w14:paraId="0BE13022" w14:textId="77777777" w:rsidR="004D5E43" w:rsidRPr="009077CD" w:rsidRDefault="004D5E43" w:rsidP="004D5E43">
      <w:pPr>
        <w:pStyle w:val="PargrafodaLista"/>
        <w:tabs>
          <w:tab w:val="left" w:pos="993"/>
        </w:tabs>
        <w:spacing w:after="0" w:line="240" w:lineRule="auto"/>
        <w:ind w:left="0"/>
        <w:contextualSpacing w:val="0"/>
        <w:jc w:val="center"/>
        <w:rPr>
          <w:rFonts w:ascii="Georgia" w:hAnsi="Georgia" w:cs="Segoe UI"/>
          <w:b/>
          <w:bCs/>
        </w:rPr>
      </w:pPr>
      <w:r w:rsidRPr="009077CD">
        <w:rPr>
          <w:rFonts w:ascii="Georgia" w:hAnsi="Georgia" w:cs="Segoe UI"/>
          <w:b/>
          <w:bCs/>
        </w:rPr>
        <w:t>NOBRES JULGADORES</w:t>
      </w:r>
    </w:p>
    <w:p w14:paraId="300CAB92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1E74CFFF" w14:textId="77777777" w:rsidR="002D3115" w:rsidRPr="007A0B17" w:rsidRDefault="002D3115" w:rsidP="002D3115">
      <w:pPr>
        <w:pStyle w:val="Ttulo1"/>
      </w:pPr>
      <w:r>
        <w:t>DOS FATOS</w:t>
      </w:r>
    </w:p>
    <w:p w14:paraId="3694094E" w14:textId="77777777" w:rsidR="00E81A8C" w:rsidRDefault="00E81A8C" w:rsidP="00E81A8C">
      <w:pPr>
        <w:pStyle w:val="SemEspaamento"/>
      </w:pPr>
      <w:r>
        <w:t>Na respeitável sentença proferida pelo Juízo de primeiro grau, o Apelante foi condenado pelo delito do art. 33, caput, da Lei n. 11.343/06, tendo o magistrado afastado a incidência da causa de diminuição prevista no art. 33, § 4º (tráfico privilegiado), sob o argumento de que a quantidade e/ou natureza da droga apreendida evidenciaria maior reprovabilidade e indicaria dedicação a atividades criminosas.</w:t>
      </w:r>
    </w:p>
    <w:p w14:paraId="74E0BF11" w14:textId="77777777" w:rsidR="00E81A8C" w:rsidRDefault="00E81A8C" w:rsidP="00E81A8C">
      <w:pPr>
        <w:pStyle w:val="SemEspaamento"/>
      </w:pPr>
      <w:r>
        <w:t>Para justificar a não aplicação da minorante, a decisão recorrida concluiu, essencialmente, que o volume do entorpecente apreendido seria suficiente para afastar o privilégio, construindo, por inferência, a ideia de que o sentenciado teria vínculo com criminalidade organizada ou atuaria de forma habitual no tráfico, sem, contudo, apontar elementos concretos autônomos além da própria apreensão.</w:t>
      </w:r>
    </w:p>
    <w:p w14:paraId="13E5E5B4" w14:textId="6C73DC77" w:rsidR="003F6371" w:rsidRDefault="00E81A8C" w:rsidP="00E81A8C">
      <w:pPr>
        <w:pStyle w:val="SemEspaamento"/>
      </w:pPr>
      <w:r>
        <w:t>Ocorre que, no processo, o Apelante não foi denunciado nem condenado por associação para o tráfico ou por organização criminosa, e não há nos autos prova específica de estabilidade, permanência, estrutura organizada ou divisão de tarefas que sustente tal conclusão, razão pela qual interpõe a presente Apelação buscando a reforma da sentença para aplicação do redutor do tráfico privilegiado, com o consequente redimensionamento da pena.</w:t>
      </w:r>
    </w:p>
    <w:p w14:paraId="2A389EC3" w14:textId="77777777" w:rsidR="004D5E43" w:rsidRDefault="004D5E43" w:rsidP="004A7B6D">
      <w:pPr>
        <w:pStyle w:val="SemEspaamento"/>
      </w:pPr>
    </w:p>
    <w:p w14:paraId="5087947A" w14:textId="63C3F0FA" w:rsidR="002D3115" w:rsidRDefault="00F8728F" w:rsidP="002D3115">
      <w:pPr>
        <w:pStyle w:val="Ttulo1"/>
        <w:spacing w:before="0" w:after="0" w:line="240" w:lineRule="auto"/>
      </w:pPr>
      <w:r>
        <w:lastRenderedPageBreak/>
        <w:t>TRÁFICO PRIVILEGIADO – NÃO APLICAÇÃO INDEVIDA</w:t>
      </w:r>
    </w:p>
    <w:p w14:paraId="7C57FDD5" w14:textId="42D56626" w:rsidR="002D3115" w:rsidRPr="00547988" w:rsidRDefault="00F8728F" w:rsidP="002D3115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Quantidade como motivo isolado</w:t>
      </w:r>
      <w:r w:rsidR="004D5E43">
        <w:rPr>
          <w:rFonts w:ascii="Source Sans Pro" w:hAnsi="Source Sans Pro"/>
          <w:i/>
          <w:iCs/>
          <w:shd w:val="clear" w:color="auto" w:fill="FFFFFF" w:themeFill="background1"/>
        </w:rPr>
        <w:t xml:space="preserve"> – vedação – STJ </w:t>
      </w:r>
      <w:r w:rsidRPr="00F8728F">
        <w:rPr>
          <w:rFonts w:ascii="Source Sans Pro" w:hAnsi="Source Sans Pro"/>
          <w:i/>
          <w:iCs/>
          <w:shd w:val="clear" w:color="auto" w:fill="FFFFFF" w:themeFill="background1"/>
        </w:rPr>
        <w:t>Tema Repetitivo 1154</w:t>
      </w:r>
    </w:p>
    <w:p w14:paraId="2E4E9F3E" w14:textId="77777777" w:rsidR="00F8728F" w:rsidRPr="00F8728F" w:rsidRDefault="00F8728F" w:rsidP="00F8728F">
      <w:pPr>
        <w:pStyle w:val="SemEspaamento"/>
      </w:pPr>
      <w:r w:rsidRPr="00F8728F">
        <w:t>Na r. sentença, o Juízo de primeiro grau deixou de aplicar a causa de diminuição do art. 33, § 4º, da Lei n. 11.343/06 sob o fundamento de que a quantidade (e/ou natureza) da droga apreendida indicaria, por si, dedicação a atividades criminosas ou vínculo com organização criminosa, afastando a minorante do tráfico privilegiado.</w:t>
      </w:r>
    </w:p>
    <w:p w14:paraId="193FE45E" w14:textId="77777777" w:rsidR="00F8728F" w:rsidRPr="00F8728F" w:rsidRDefault="00F8728F" w:rsidP="00F8728F">
      <w:pPr>
        <w:pStyle w:val="SemEspaamento"/>
      </w:pPr>
      <w:r w:rsidRPr="00F8728F">
        <w:t>Com a devida vênia, a motivação adotada não se sustenta, pois transforma um dado isolado (quantidade/natureza) em presunção automática de “perfil de traficante” e, por conseguinte, em obstáculo para um redutor que foi criado exatamente para diferenciar situações e assegurar proporcionalidade na resposta penal.</w:t>
      </w:r>
    </w:p>
    <w:p w14:paraId="4328B1A1" w14:textId="77777777" w:rsidR="00F8728F" w:rsidRPr="00F8728F" w:rsidRDefault="00F8728F" w:rsidP="00F8728F">
      <w:pPr>
        <w:pStyle w:val="SemEspaamento"/>
      </w:pPr>
      <w:r w:rsidRPr="00F8728F">
        <w:t>A jurisprudência do Superior Tribunal de Justiça, em sede de repetitivo, enfrentou esse ponto de maneira objetiva no Tema Repetitivo 1154, ao firmar que, isoladamente consideradas, a natureza e a quantidade do entorpecente apreendido, por si sós, não são suficientes para embasar conclusão sobre a presença das condições obstativas e, assim, afastar o reconhecimento da minorante do tráfico privilegiado.</w:t>
      </w:r>
    </w:p>
    <w:p w14:paraId="6305D3CC" w14:textId="24E85A29" w:rsidR="004D5E43" w:rsidRDefault="004D5E43" w:rsidP="004D5E43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bookmarkStart w:id="0" w:name="_Hlk214458189"/>
      <w:bookmarkStart w:id="1" w:name="_Hlk217575538"/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bookmarkEnd w:id="0"/>
      <w:r w:rsidR="00F8728F" w:rsidRPr="00F8728F">
        <w:rPr>
          <w:color w:val="808080" w:themeColor="background1" w:themeShade="80"/>
        </w:rPr>
        <w:t>Tema Repetitivo 1154</w:t>
      </w:r>
    </w:p>
    <w:p w14:paraId="719B21A2" w14:textId="1423754E" w:rsidR="004D5E43" w:rsidRDefault="00F8728F" w:rsidP="004D5E43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F8728F">
        <w:rPr>
          <w:i/>
          <w:iCs/>
        </w:rPr>
        <w:t>Isoladamente consideradas, a natureza e a quantidade do entorpecente apreendido, por si sós, não são suficientes para embasar conclusão acerca da presença das referidas condições obstativas e, assim, afastar o reconhecimento da minorante do tráfico privilegiado.</w:t>
      </w:r>
    </w:p>
    <w:bookmarkEnd w:id="1"/>
    <w:p w14:paraId="0574244D" w14:textId="1CDBB0F3" w:rsidR="009077CD" w:rsidRPr="009077CD" w:rsidRDefault="009077CD" w:rsidP="009077CD">
      <w:pPr>
        <w:pStyle w:val="SemEspaamento"/>
      </w:pPr>
      <w:r>
        <w:t>P</w:t>
      </w:r>
      <w:r w:rsidRPr="009077CD">
        <w:t>ortanto, o que o Tema 1154 exige é a existência de elementos concretos que demonstrem, para além da droga em si, que o sentenciado se dedica a atividades criminosas ou integra organização criminosa. Sem essa base empírica, a negativa do redutor viola o padrão decisório fixado pela Corte Superior e se converte em juízo de probabilidade, inadequado para restringir direito previsto em lei.</w:t>
      </w:r>
    </w:p>
    <w:p w14:paraId="53A14336" w14:textId="77777777" w:rsidR="009077CD" w:rsidRPr="009077CD" w:rsidRDefault="009077CD" w:rsidP="009077CD">
      <w:pPr>
        <w:pStyle w:val="SemEspaamento"/>
      </w:pPr>
      <w:r w:rsidRPr="009077CD">
        <w:t xml:space="preserve">No caso, a sentença não apontou nenhum dado objetivo que evidencie organização, estrutura, vínculo estável, hierarquia, repartição de tarefas, domínio de </w:t>
      </w:r>
      <w:r w:rsidRPr="009077CD">
        <w:lastRenderedPageBreak/>
        <w:t>mercado ilícito, reiteração concreta, rede de distribuição ou qualquer outro elemento que comprove, de modo minimamente seguro, a “dedicação” ou a “integração” a organização criminosa.</w:t>
      </w:r>
    </w:p>
    <w:p w14:paraId="6C9C5305" w14:textId="77777777" w:rsidR="009077CD" w:rsidRPr="009077CD" w:rsidRDefault="009077CD" w:rsidP="009077CD">
      <w:pPr>
        <w:pStyle w:val="SemEspaamento"/>
      </w:pPr>
      <w:r w:rsidRPr="009077CD">
        <w:t>Ao revés, a conclusão do juízo a quo foi construída por inferência: “há muita droga, logo integra organização” ou “há muita droga, logo se dedica ao crime”. Esse raciocínio é precisamente o que o Tema 1154 veda, ao afirmar que natureza e quantidade, tomadas isoladamente, não têm o condão de preencher as condições obstativas da minorante.</w:t>
      </w:r>
    </w:p>
    <w:p w14:paraId="4429CFF1" w14:textId="77777777" w:rsidR="009077CD" w:rsidRPr="009077CD" w:rsidRDefault="009077CD" w:rsidP="009077CD">
      <w:pPr>
        <w:pStyle w:val="SemEspaamento"/>
      </w:pPr>
      <w:r w:rsidRPr="009077CD">
        <w:t>Mais grave: o sentenciado não foi denunciado nem condenado por associação para o tráfico ou por organização criminosa, inexistindo no processo imputação autônoma nesse sentido ou lastro probatório que sustente, de forma independente, tal pertencimento. Assim, a sentença introduziu, na prática, uma “etiqueta” de vínculo associativo sem acusação específica e sem prova correspondente.</w:t>
      </w:r>
    </w:p>
    <w:p w14:paraId="131B2466" w14:textId="77777777" w:rsidR="009077CD" w:rsidRPr="009077CD" w:rsidRDefault="009077CD" w:rsidP="009077CD">
      <w:pPr>
        <w:pStyle w:val="SemEspaamento"/>
      </w:pPr>
      <w:r w:rsidRPr="009077CD">
        <w:t>Esse modo de decidir implica deslocamento indevido do ônus argumentativo: em vez de exigir que a acusação prove, por elementos concretos, a presença da condição obstativa, o juízo parte de presunção fundada unicamente na droga, imputando ao réu um status de integrante de organização criminosa que não consta da acusação e não foi comprovado.</w:t>
      </w:r>
    </w:p>
    <w:p w14:paraId="13501A59" w14:textId="77777777" w:rsidR="009077CD" w:rsidRPr="009077CD" w:rsidRDefault="009077CD" w:rsidP="009077CD">
      <w:pPr>
        <w:pStyle w:val="SemEspaamento"/>
      </w:pPr>
      <w:r w:rsidRPr="009077CD">
        <w:t>Além disso, negar o redutor por presunção baseada apenas na quantidade/natureza equivale a criar uma regra geral de exclusão do privilégio sempre que a apreensão for maior, esvaziando o próprio conteúdo normativo do § 4º e substituindo a análise jurídica individualizada por critério automático — o que é incompatível com a tese vinculante do Tema Repetitivo 1154.</w:t>
      </w:r>
    </w:p>
    <w:p w14:paraId="030F9224" w14:textId="77777777" w:rsidR="009077CD" w:rsidRPr="009077CD" w:rsidRDefault="009077CD" w:rsidP="009077CD">
      <w:pPr>
        <w:pStyle w:val="SemEspaamento"/>
      </w:pPr>
      <w:r w:rsidRPr="009077CD">
        <w:t>O STJ, ao firmar o Tema 1154, justamente buscou impedir que o julgador utilize apenas o “tamanho” da apreensão como sinônimo de dedicação ao crime ou pertencimento organizacional, pois isso não é prova: é apenas um dado fático que, sozinho, não traduz o requisito subjetivo-normativo das condições obstativas do § 4º.</w:t>
      </w:r>
    </w:p>
    <w:p w14:paraId="07661F56" w14:textId="4154FCD6" w:rsidR="009077CD" w:rsidRPr="009077CD" w:rsidRDefault="009077CD" w:rsidP="009077CD">
      <w:pPr>
        <w:pStyle w:val="SemEspaamento"/>
      </w:pPr>
      <w:r w:rsidRPr="009077CD">
        <w:t xml:space="preserve">Desse modo, ausentes no caso elementos probatórios autônomos e concretos que indiquem dedicação criminosa ou integração a organização, a negativa do </w:t>
      </w:r>
      <w:r w:rsidRPr="009077CD">
        <w:lastRenderedPageBreak/>
        <w:t>tráfico privilegiado deve ser reformada, reconhecendo-se a incidência do art. 33, § 4º, com consequente redução da pena</w:t>
      </w:r>
      <w:r>
        <w:t xml:space="preserve"> em seu patamar máximo de 2/3</w:t>
      </w:r>
      <w:r w:rsidRPr="009077CD">
        <w:t>.</w:t>
      </w:r>
    </w:p>
    <w:p w14:paraId="73CCD8D1" w14:textId="77777777" w:rsidR="009077CD" w:rsidRPr="009077CD" w:rsidRDefault="009077CD" w:rsidP="009077CD">
      <w:pPr>
        <w:pStyle w:val="SemEspaamento"/>
      </w:pPr>
      <w:r w:rsidRPr="009077CD">
        <w:t>Por fim, reconhecida a minorante, impõe-se o redimensionamento da pena e o reexame das consequências legais daí decorrentes (regime inicial e demais efeitos), pois a aplicação do redutor repercute diretamente no quantum final e na resposta penal adequada.</w:t>
      </w:r>
    </w:p>
    <w:p w14:paraId="14A6D210" w14:textId="77777777" w:rsidR="009077CD" w:rsidRPr="009077CD" w:rsidRDefault="009077CD" w:rsidP="009077CD">
      <w:pPr>
        <w:pStyle w:val="SemEspaamento"/>
      </w:pPr>
      <w:r w:rsidRPr="009077CD">
        <w:t>Assim, requer-se o provimento do recurso para, à luz do STJ – Tema Repetitivo 1154, afastar a presunção construída a partir da quantidade/natureza e aplicar o tráfico privilegiado, uma vez que não há prova nos autos de dedicação a atividades criminosas ou de integração a organização criminosa, tampouco condenação por delitos associativos que sustentem essa conclusão.</w:t>
      </w:r>
    </w:p>
    <w:p w14:paraId="4428D8EE" w14:textId="77777777" w:rsidR="007D5D4E" w:rsidRDefault="007D5D4E" w:rsidP="00A61153">
      <w:pPr>
        <w:pStyle w:val="SemEspaamento"/>
      </w:pPr>
    </w:p>
    <w:p w14:paraId="27DE1649" w14:textId="77777777" w:rsidR="00412B7E" w:rsidRPr="00412B7E" w:rsidRDefault="00412B7E" w:rsidP="00412B7E">
      <w:pPr>
        <w:pStyle w:val="Ttulo1"/>
        <w:spacing w:before="0" w:after="0" w:line="240" w:lineRule="auto"/>
        <w:ind w:left="283" w:hanging="357"/>
      </w:pPr>
      <w:r w:rsidRPr="00412B7E">
        <w:t>DO PREQUESTIONAMENTO</w:t>
      </w:r>
    </w:p>
    <w:p w14:paraId="2F48762A" w14:textId="77777777" w:rsidR="00976FDC" w:rsidRDefault="00976FDC" w:rsidP="00412B7E">
      <w:pPr>
        <w:pStyle w:val="SemEspaamento"/>
      </w:pPr>
    </w:p>
    <w:p w14:paraId="51C0E0FC" w14:textId="20C48C56" w:rsidR="00412B7E" w:rsidRDefault="00412B7E" w:rsidP="00412B7E">
      <w:pPr>
        <w:pStyle w:val="SemEspaamento"/>
      </w:pPr>
      <w:r>
        <w:t>Com vistas a viabilizar eventual interposição de Recurso Especial e/ou Extraordinário, requer o Apelante que este Egrégio Tribunal enfrente expressamente as teses devolvidas no presente recurso, notadamente a indevida negativa da minorante do art. 33, § 4º, da Lei n. 11.343/06, quando fundada exclusivamente na quantidade e/ou natureza da droga apreendida, com pronunciamento explícito acerca da violação (ou não) ao entendimento vinculante firmado pelo STJ no Tema Repetitivo 1154, segundo o qual tais elementos, isoladamente considerados, não são suficientes para afastar o tráfico privilegiado.</w:t>
      </w:r>
    </w:p>
    <w:p w14:paraId="348E5CCB" w14:textId="77777777" w:rsidR="00412B7E" w:rsidRDefault="00412B7E" w:rsidP="00412B7E">
      <w:pPr>
        <w:pStyle w:val="SemEspaamento"/>
      </w:pPr>
      <w:r>
        <w:t>Requer-se, ainda, manifestação específica sobre a tese de que a sentença, ao presumir “dedicação a atividades criminosas” ou “integração a organização criminosa” a partir do volume do entorpecente, incorreu em fundamentação por presunção, sem lastro probatório autônomo, devendo este Colegiado consignar, de forma direta, se reconhece (ou não) que a exclusão do redutor exige prova concreta das condições obstativas previstas em lei (dedicação/integrar organização), e não inferência baseada apenas na apreensão.</w:t>
      </w:r>
    </w:p>
    <w:p w14:paraId="548AB4E2" w14:textId="77777777" w:rsidR="00412B7E" w:rsidRDefault="00412B7E" w:rsidP="00412B7E">
      <w:pPr>
        <w:pStyle w:val="SemEspaamento"/>
      </w:pPr>
    </w:p>
    <w:p w14:paraId="684A1379" w14:textId="77777777" w:rsidR="00412B7E" w:rsidRDefault="00412B7E" w:rsidP="00412B7E">
      <w:pPr>
        <w:pStyle w:val="SemEspaamento"/>
      </w:pPr>
      <w:r>
        <w:t>Do mesmo modo, para fins de prequestionamento, requer o Apelante que conste do acórdão pronunciamento expresso sobre a circunstância de que o recorrente não foi denunciado nem condenado por associação para o tráfico ou por organização criminosa, inexistindo nos autos imputação e/ou condenação por tais delitos, e que, ainda assim, a sentença afastou a minorante por suposto vínculo organizacional, devendo a Câmara explicitar se tal conclusão pode (ou não) subsistir sem prova específica e sem condenação correlata.</w:t>
      </w:r>
    </w:p>
    <w:p w14:paraId="12D4E4E2" w14:textId="4F5FAC73" w:rsidR="00412B7E" w:rsidRPr="00412B7E" w:rsidRDefault="00412B7E" w:rsidP="00412B7E">
      <w:pPr>
        <w:pStyle w:val="SemEspaamento"/>
      </w:pPr>
      <w:r>
        <w:t>Por fim, requer-se que o acórdão registre, de maneira clara, o exame das consequências jurídicas do reconhecimento do tráfico privilegiado (quantum de redução, redimensionamento da pena e reflexos em regime e substituição, se cabíveis), bem como, caso alguma tese não seja acolhida, que este Colegiado declare expressamente os fundamentos do afastamento, evitando omissões e assegurando o pré-questionamento explícito de toda a matéria federal e constitucional veiculada nas razões recursais.</w:t>
      </w:r>
    </w:p>
    <w:p w14:paraId="775378D8" w14:textId="77777777" w:rsidR="00412B7E" w:rsidRPr="00A61153" w:rsidRDefault="00412B7E" w:rsidP="00A61153">
      <w:pPr>
        <w:pStyle w:val="SemEspaamento"/>
      </w:pPr>
    </w:p>
    <w:p w14:paraId="6623218C" w14:textId="77777777" w:rsidR="002D3115" w:rsidRDefault="002D3115" w:rsidP="00412B7E">
      <w:pPr>
        <w:pStyle w:val="Ttulo1"/>
        <w:spacing w:before="0" w:after="0" w:line="240" w:lineRule="auto"/>
        <w:ind w:left="283" w:hanging="357"/>
      </w:pPr>
      <w:r>
        <w:t>DO PEDIDO</w:t>
      </w:r>
    </w:p>
    <w:p w14:paraId="73E39172" w14:textId="77777777" w:rsidR="00B85546" w:rsidRDefault="00B85546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0D3DAD6F" w14:textId="491CC9F8" w:rsidR="00E168D5" w:rsidRPr="00E168D5" w:rsidRDefault="009077CD" w:rsidP="009077CD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9077CD">
        <w:rPr>
          <w:rFonts w:ascii="Source Serif Pro" w:hAnsi="Source Serif Pro"/>
        </w:rPr>
        <w:t xml:space="preserve">Diante do exposto, requer o Apelante seja </w:t>
      </w:r>
      <w:r w:rsidRPr="009077CD">
        <w:rPr>
          <w:rFonts w:ascii="Source Serif Pro" w:hAnsi="Source Serif Pro"/>
          <w:b/>
          <w:bCs/>
        </w:rPr>
        <w:t>conhecida e provida</w:t>
      </w:r>
      <w:r w:rsidRPr="009077CD">
        <w:rPr>
          <w:rFonts w:ascii="Source Serif Pro" w:hAnsi="Source Serif Pro"/>
        </w:rPr>
        <w:t xml:space="preserve"> a presente Apelação para </w:t>
      </w:r>
      <w:r w:rsidRPr="009077CD">
        <w:rPr>
          <w:rFonts w:ascii="Source Serif Pro" w:hAnsi="Source Serif Pro"/>
          <w:b/>
          <w:bCs/>
        </w:rPr>
        <w:t>reformar a sentença</w:t>
      </w:r>
      <w:r w:rsidRPr="009077CD">
        <w:rPr>
          <w:rFonts w:ascii="Source Serif Pro" w:hAnsi="Source Serif Pro"/>
        </w:rPr>
        <w:t xml:space="preserve"> e reconhecer a incidência da causa de diminuição do </w:t>
      </w:r>
      <w:r w:rsidRPr="009077CD">
        <w:rPr>
          <w:rFonts w:ascii="Source Serif Pro" w:hAnsi="Source Serif Pro"/>
          <w:b/>
          <w:bCs/>
        </w:rPr>
        <w:t>art. 33, § 4º, da Lei n. 11.343/06 (tráfico privilegiado)</w:t>
      </w:r>
      <w:r>
        <w:rPr>
          <w:rFonts w:ascii="Source Serif Pro" w:hAnsi="Source Serif Pro"/>
          <w:b/>
          <w:bCs/>
        </w:rPr>
        <w:t xml:space="preserve"> em seu grau máximo</w:t>
      </w:r>
      <w:r w:rsidRPr="009077CD">
        <w:rPr>
          <w:rFonts w:ascii="Source Serif Pro" w:hAnsi="Source Serif Pro"/>
        </w:rPr>
        <w:t xml:space="preserve">, afastando-se a negativa fundada </w:t>
      </w:r>
      <w:r w:rsidRPr="009077CD">
        <w:rPr>
          <w:rFonts w:ascii="Source Serif Pro" w:hAnsi="Source Serif Pro"/>
          <w:b/>
          <w:bCs/>
        </w:rPr>
        <w:t>exclusivamente</w:t>
      </w:r>
      <w:r w:rsidRPr="009077CD">
        <w:rPr>
          <w:rFonts w:ascii="Source Serif Pro" w:hAnsi="Source Serif Pro"/>
        </w:rPr>
        <w:t xml:space="preserve"> na natureza e/ou quantidade da droga e em mera presunção de vínculo com organização criminosa, em observância ao </w:t>
      </w:r>
      <w:r w:rsidRPr="009077CD">
        <w:rPr>
          <w:rFonts w:ascii="Source Serif Pro" w:hAnsi="Source Serif Pro"/>
          <w:b/>
          <w:bCs/>
        </w:rPr>
        <w:t>STJ – Tema Repetitivo 1154</w:t>
      </w:r>
      <w:r w:rsidRPr="009077CD">
        <w:rPr>
          <w:rFonts w:ascii="Source Serif Pro" w:hAnsi="Source Serif Pro"/>
        </w:rPr>
        <w:t xml:space="preserve">, com o consequente </w:t>
      </w:r>
      <w:r w:rsidRPr="009077CD">
        <w:rPr>
          <w:rFonts w:ascii="Source Serif Pro" w:hAnsi="Source Serif Pro"/>
          <w:b/>
          <w:bCs/>
        </w:rPr>
        <w:t>redimensionamento da pena</w:t>
      </w:r>
      <w:r w:rsidRPr="009077CD">
        <w:rPr>
          <w:rFonts w:ascii="Source Serif Pro" w:hAnsi="Source Serif Pro"/>
        </w:rPr>
        <w:t xml:space="preserve"> e readequação das demais consequências penais (inclusive regime e substituição, se cabíveis).</w:t>
      </w:r>
      <w:r w:rsidR="00E168D5" w:rsidRPr="00E168D5">
        <w:rPr>
          <w:rFonts w:ascii="Source Serif Pro" w:hAnsi="Source Serif Pro"/>
        </w:rPr>
        <w:t>:</w:t>
      </w:r>
    </w:p>
    <w:p w14:paraId="191844BF" w14:textId="2B873CD7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4B977410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412B7E">
        <w:rPr>
          <w:rFonts w:ascii="Source Serif Pro" w:hAnsi="Source Serif Pro"/>
          <w:noProof/>
        </w:rPr>
        <w:t>26 de dezembro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2DA090D7" w14:textId="2D38400E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15581C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56748" w14:textId="77777777" w:rsidR="00010B57" w:rsidRDefault="00010B57" w:rsidP="00BA1F94">
      <w:pPr>
        <w:spacing w:after="0" w:line="240" w:lineRule="auto"/>
      </w:pPr>
      <w:r>
        <w:separator/>
      </w:r>
    </w:p>
  </w:endnote>
  <w:endnote w:type="continuationSeparator" w:id="0">
    <w:p w14:paraId="4649E433" w14:textId="77777777" w:rsidR="00010B57" w:rsidRDefault="00010B57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32A23E0" w:rsidR="001E7DF5" w:rsidRPr="00D14593" w:rsidRDefault="00860199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32A6B654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www.guarnierimartins.com.br</w:t>
    </w:r>
    <w:r w:rsidR="00860199">
      <w:rPr>
        <w:rFonts w:ascii="Source Sans Pro" w:hAnsi="Source Sans Pro"/>
        <w:color w:val="0B0F23"/>
        <w:sz w:val="20"/>
        <w:szCs w:val="20"/>
      </w:rPr>
      <w:t xml:space="preserve"> </w:t>
    </w:r>
    <w:r w:rsidRPr="00A97C42">
      <w:rPr>
        <w:rFonts w:ascii="Source Sans Pro" w:hAnsi="Source Sans Pro"/>
        <w:color w:val="0B0F23"/>
        <w:sz w:val="20"/>
        <w:szCs w:val="20"/>
      </w:rPr>
      <w:t xml:space="preserve"> contato@guarnierimartins.com.br</w:t>
    </w:r>
    <w:proofErr w:type="gramEnd"/>
  </w:p>
  <w:p w14:paraId="1E5600C1" w14:textId="5A722ACD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(67)9.9624-9366</w:t>
    </w:r>
    <w:r w:rsidR="00860199">
      <w:rPr>
        <w:rFonts w:ascii="Source Sans Pro" w:hAnsi="Source Sans Pro"/>
        <w:color w:val="0B0F23"/>
        <w:sz w:val="20"/>
        <w:szCs w:val="20"/>
      </w:rPr>
      <w:t xml:space="preserve"> </w:t>
    </w:r>
    <w:r w:rsidRPr="00A97C42">
      <w:rPr>
        <w:rFonts w:ascii="Source Sans Pro" w:hAnsi="Source Sans Pro"/>
        <w:color w:val="0B0F23"/>
        <w:sz w:val="20"/>
        <w:szCs w:val="20"/>
      </w:rPr>
      <w:t>(67)9.9644-5176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2664" w14:textId="77777777" w:rsidR="00010B57" w:rsidRDefault="00010B57" w:rsidP="00BA1F94">
      <w:pPr>
        <w:spacing w:after="0" w:line="240" w:lineRule="auto"/>
      </w:pPr>
      <w:r>
        <w:separator/>
      </w:r>
    </w:p>
  </w:footnote>
  <w:footnote w:type="continuationSeparator" w:id="0">
    <w:p w14:paraId="14A4D96C" w14:textId="77777777" w:rsidR="00010B57" w:rsidRDefault="00010B57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6EA408D7" w:rsidR="00585236" w:rsidRDefault="0083519F" w:rsidP="00585236">
    <w:pPr>
      <w:pStyle w:val="Cabealho"/>
      <w:jc w:val="center"/>
    </w:pPr>
    <w:r>
      <w:rPr>
        <w:noProof/>
      </w:rPr>
      <w:drawing>
        <wp:inline distT="0" distB="0" distL="0" distR="0" wp14:anchorId="25F41A04" wp14:editId="2096D350">
          <wp:extent cx="1905000" cy="795655"/>
          <wp:effectExtent l="0" t="0" r="0" b="4445"/>
          <wp:docPr id="967337052" name="Imagem 4" descr="Placa azul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7337052" name="Imagem 4" descr="Placa azul com letras brancas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0" cy="795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1920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6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16528"/>
    <w:multiLevelType w:val="hybridMultilevel"/>
    <w:tmpl w:val="05AABD4C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5D252D"/>
    <w:multiLevelType w:val="hybridMultilevel"/>
    <w:tmpl w:val="446EA67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00EF456">
      <w:start w:val="1"/>
      <w:numFmt w:val="upperRoman"/>
      <w:lvlText w:val="(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B6729"/>
    <w:multiLevelType w:val="hybridMultilevel"/>
    <w:tmpl w:val="330EF42C"/>
    <w:lvl w:ilvl="0" w:tplc="CF10140E">
      <w:start w:val="1"/>
      <w:numFmt w:val="lowerLetter"/>
      <w:lvlText w:val="%1."/>
      <w:lvlJc w:val="left"/>
      <w:pPr>
        <w:ind w:left="1287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9" w15:restartNumberingAfterBreak="0">
    <w:nsid w:val="52781C1E"/>
    <w:multiLevelType w:val="hybridMultilevel"/>
    <w:tmpl w:val="C284B9AE"/>
    <w:lvl w:ilvl="0" w:tplc="04160017">
      <w:start w:val="1"/>
      <w:numFmt w:val="lowerLetter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1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2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5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8648E4"/>
    <w:multiLevelType w:val="hybridMultilevel"/>
    <w:tmpl w:val="2110CD96"/>
    <w:lvl w:ilvl="0" w:tplc="8B7480CC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3"/>
  </w:num>
  <w:num w:numId="2" w16cid:durableId="1455253303">
    <w:abstractNumId w:val="12"/>
  </w:num>
  <w:num w:numId="3" w16cid:durableId="555554971">
    <w:abstractNumId w:val="3"/>
  </w:num>
  <w:num w:numId="4" w16cid:durableId="1971129295">
    <w:abstractNumId w:val="3"/>
  </w:num>
  <w:num w:numId="5" w16cid:durableId="555433521">
    <w:abstractNumId w:val="3"/>
  </w:num>
  <w:num w:numId="6" w16cid:durableId="376053507">
    <w:abstractNumId w:val="3"/>
  </w:num>
  <w:num w:numId="7" w16cid:durableId="1819492703">
    <w:abstractNumId w:val="1"/>
  </w:num>
  <w:num w:numId="8" w16cid:durableId="214002896">
    <w:abstractNumId w:val="8"/>
  </w:num>
  <w:num w:numId="9" w16cid:durableId="1186557910">
    <w:abstractNumId w:val="17"/>
  </w:num>
  <w:num w:numId="10" w16cid:durableId="45959775">
    <w:abstractNumId w:val="3"/>
  </w:num>
  <w:num w:numId="11" w16cid:durableId="698555142">
    <w:abstractNumId w:val="3"/>
  </w:num>
  <w:num w:numId="12" w16cid:durableId="169760788">
    <w:abstractNumId w:val="13"/>
  </w:num>
  <w:num w:numId="13" w16cid:durableId="1542085398">
    <w:abstractNumId w:val="9"/>
  </w:num>
  <w:num w:numId="14" w16cid:durableId="1800220788">
    <w:abstractNumId w:val="27"/>
  </w:num>
  <w:num w:numId="15" w16cid:durableId="189689990">
    <w:abstractNumId w:val="22"/>
  </w:num>
  <w:num w:numId="16" w16cid:durableId="106320463">
    <w:abstractNumId w:val="24"/>
  </w:num>
  <w:num w:numId="17" w16cid:durableId="757795001">
    <w:abstractNumId w:val="5"/>
  </w:num>
  <w:num w:numId="18" w16cid:durableId="507915239">
    <w:abstractNumId w:val="23"/>
  </w:num>
  <w:num w:numId="19" w16cid:durableId="985084700">
    <w:abstractNumId w:val="21"/>
  </w:num>
  <w:num w:numId="20" w16cid:durableId="700283364">
    <w:abstractNumId w:val="18"/>
  </w:num>
  <w:num w:numId="21" w16cid:durableId="895627114">
    <w:abstractNumId w:val="7"/>
  </w:num>
  <w:num w:numId="22" w16cid:durableId="2089496448">
    <w:abstractNumId w:val="3"/>
  </w:num>
  <w:num w:numId="23" w16cid:durableId="561600074">
    <w:abstractNumId w:val="0"/>
  </w:num>
  <w:num w:numId="24" w16cid:durableId="278606713">
    <w:abstractNumId w:val="20"/>
  </w:num>
  <w:num w:numId="25" w16cid:durableId="556820897">
    <w:abstractNumId w:val="4"/>
  </w:num>
  <w:num w:numId="26" w16cid:durableId="648704854">
    <w:abstractNumId w:val="2"/>
  </w:num>
  <w:num w:numId="27" w16cid:durableId="1146168893">
    <w:abstractNumId w:val="15"/>
  </w:num>
  <w:num w:numId="28" w16cid:durableId="1280070271">
    <w:abstractNumId w:val="6"/>
  </w:num>
  <w:num w:numId="29" w16cid:durableId="1163280356">
    <w:abstractNumId w:val="10"/>
  </w:num>
  <w:num w:numId="30" w16cid:durableId="1479685322">
    <w:abstractNumId w:val="25"/>
  </w:num>
  <w:num w:numId="31" w16cid:durableId="939022436">
    <w:abstractNumId w:val="16"/>
  </w:num>
  <w:num w:numId="32" w16cid:durableId="1358387731">
    <w:abstractNumId w:val="26"/>
  </w:num>
  <w:num w:numId="33" w16cid:durableId="1918588421">
    <w:abstractNumId w:val="11"/>
  </w:num>
  <w:num w:numId="34" w16cid:durableId="468980014">
    <w:abstractNumId w:val="14"/>
  </w:num>
  <w:num w:numId="35" w16cid:durableId="1330131239">
    <w:abstractNumId w:val="19"/>
  </w:num>
  <w:num w:numId="36" w16cid:durableId="2681966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40219875">
    <w:abstractNumId w:val="3"/>
  </w:num>
  <w:num w:numId="38" w16cid:durableId="1697609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10B57"/>
    <w:rsid w:val="00021F5D"/>
    <w:rsid w:val="00045565"/>
    <w:rsid w:val="000633B8"/>
    <w:rsid w:val="000765C6"/>
    <w:rsid w:val="00082385"/>
    <w:rsid w:val="000911F8"/>
    <w:rsid w:val="000A234B"/>
    <w:rsid w:val="000B2591"/>
    <w:rsid w:val="001153D8"/>
    <w:rsid w:val="00144A4B"/>
    <w:rsid w:val="0015581C"/>
    <w:rsid w:val="00163268"/>
    <w:rsid w:val="0017232D"/>
    <w:rsid w:val="001828A8"/>
    <w:rsid w:val="001C6CE0"/>
    <w:rsid w:val="001E64BE"/>
    <w:rsid w:val="001E7DF5"/>
    <w:rsid w:val="001F3409"/>
    <w:rsid w:val="0021210F"/>
    <w:rsid w:val="0021462C"/>
    <w:rsid w:val="00255925"/>
    <w:rsid w:val="00265B72"/>
    <w:rsid w:val="002731A1"/>
    <w:rsid w:val="00293568"/>
    <w:rsid w:val="002C012C"/>
    <w:rsid w:val="002D3115"/>
    <w:rsid w:val="002E0484"/>
    <w:rsid w:val="002E6FB4"/>
    <w:rsid w:val="002F00FD"/>
    <w:rsid w:val="002F4394"/>
    <w:rsid w:val="00307183"/>
    <w:rsid w:val="00311836"/>
    <w:rsid w:val="00323EF9"/>
    <w:rsid w:val="00334B83"/>
    <w:rsid w:val="00335715"/>
    <w:rsid w:val="0035269F"/>
    <w:rsid w:val="003602F7"/>
    <w:rsid w:val="003A171C"/>
    <w:rsid w:val="003A1DD2"/>
    <w:rsid w:val="003A76A4"/>
    <w:rsid w:val="003A7CB9"/>
    <w:rsid w:val="003D1578"/>
    <w:rsid w:val="003F51C4"/>
    <w:rsid w:val="003F6371"/>
    <w:rsid w:val="00412B7E"/>
    <w:rsid w:val="0041600B"/>
    <w:rsid w:val="00421C44"/>
    <w:rsid w:val="004526A3"/>
    <w:rsid w:val="00462A1D"/>
    <w:rsid w:val="00466093"/>
    <w:rsid w:val="00473494"/>
    <w:rsid w:val="004A1397"/>
    <w:rsid w:val="004A7B6D"/>
    <w:rsid w:val="004B23AC"/>
    <w:rsid w:val="004C2B0E"/>
    <w:rsid w:val="004C78F2"/>
    <w:rsid w:val="004D5E43"/>
    <w:rsid w:val="004F6860"/>
    <w:rsid w:val="00502064"/>
    <w:rsid w:val="00510D1D"/>
    <w:rsid w:val="005271CA"/>
    <w:rsid w:val="00547988"/>
    <w:rsid w:val="00552F50"/>
    <w:rsid w:val="0056423A"/>
    <w:rsid w:val="005701F5"/>
    <w:rsid w:val="005702CF"/>
    <w:rsid w:val="00575469"/>
    <w:rsid w:val="0058460B"/>
    <w:rsid w:val="00585236"/>
    <w:rsid w:val="00596D6C"/>
    <w:rsid w:val="005A6E55"/>
    <w:rsid w:val="005B5CB7"/>
    <w:rsid w:val="005C54F8"/>
    <w:rsid w:val="005F47A7"/>
    <w:rsid w:val="00610767"/>
    <w:rsid w:val="0061586F"/>
    <w:rsid w:val="00617C7C"/>
    <w:rsid w:val="00636660"/>
    <w:rsid w:val="00636D00"/>
    <w:rsid w:val="006419C1"/>
    <w:rsid w:val="0064461A"/>
    <w:rsid w:val="00660CFA"/>
    <w:rsid w:val="00673A8C"/>
    <w:rsid w:val="006A3AEB"/>
    <w:rsid w:val="006B1A62"/>
    <w:rsid w:val="006B1C85"/>
    <w:rsid w:val="006D5BE0"/>
    <w:rsid w:val="006E0323"/>
    <w:rsid w:val="006E26AE"/>
    <w:rsid w:val="006F33DE"/>
    <w:rsid w:val="007020CA"/>
    <w:rsid w:val="00716815"/>
    <w:rsid w:val="00720D57"/>
    <w:rsid w:val="00724E8D"/>
    <w:rsid w:val="00746620"/>
    <w:rsid w:val="00763304"/>
    <w:rsid w:val="00764F76"/>
    <w:rsid w:val="007A0B17"/>
    <w:rsid w:val="007B7295"/>
    <w:rsid w:val="007D5D4E"/>
    <w:rsid w:val="007E3DC1"/>
    <w:rsid w:val="007F0F05"/>
    <w:rsid w:val="00802A06"/>
    <w:rsid w:val="0081592C"/>
    <w:rsid w:val="008235F0"/>
    <w:rsid w:val="0083519F"/>
    <w:rsid w:val="00837FD8"/>
    <w:rsid w:val="0085250D"/>
    <w:rsid w:val="00860199"/>
    <w:rsid w:val="00880278"/>
    <w:rsid w:val="00884412"/>
    <w:rsid w:val="008B03CF"/>
    <w:rsid w:val="008B41F3"/>
    <w:rsid w:val="008F0F7D"/>
    <w:rsid w:val="00902436"/>
    <w:rsid w:val="009077CD"/>
    <w:rsid w:val="00915234"/>
    <w:rsid w:val="00924899"/>
    <w:rsid w:val="00976FDC"/>
    <w:rsid w:val="009825A3"/>
    <w:rsid w:val="00983A54"/>
    <w:rsid w:val="0099073D"/>
    <w:rsid w:val="009A601B"/>
    <w:rsid w:val="009D178E"/>
    <w:rsid w:val="009E098F"/>
    <w:rsid w:val="009F311E"/>
    <w:rsid w:val="00A01420"/>
    <w:rsid w:val="00A47F27"/>
    <w:rsid w:val="00A61153"/>
    <w:rsid w:val="00A73B53"/>
    <w:rsid w:val="00A82AD8"/>
    <w:rsid w:val="00A8787D"/>
    <w:rsid w:val="00A87D34"/>
    <w:rsid w:val="00A97C42"/>
    <w:rsid w:val="00AA08C3"/>
    <w:rsid w:val="00AA31B3"/>
    <w:rsid w:val="00AB2011"/>
    <w:rsid w:val="00B0317F"/>
    <w:rsid w:val="00B04357"/>
    <w:rsid w:val="00B15A4E"/>
    <w:rsid w:val="00B24A33"/>
    <w:rsid w:val="00B57D96"/>
    <w:rsid w:val="00B77BFB"/>
    <w:rsid w:val="00B77E49"/>
    <w:rsid w:val="00B85546"/>
    <w:rsid w:val="00B85981"/>
    <w:rsid w:val="00B968CC"/>
    <w:rsid w:val="00BA1F94"/>
    <w:rsid w:val="00BA5370"/>
    <w:rsid w:val="00BC6F5E"/>
    <w:rsid w:val="00BF64DD"/>
    <w:rsid w:val="00C01E5D"/>
    <w:rsid w:val="00C56908"/>
    <w:rsid w:val="00C86BDE"/>
    <w:rsid w:val="00C925C7"/>
    <w:rsid w:val="00C9595C"/>
    <w:rsid w:val="00C96CB7"/>
    <w:rsid w:val="00CA2809"/>
    <w:rsid w:val="00CA3287"/>
    <w:rsid w:val="00CB50FF"/>
    <w:rsid w:val="00CE6C3F"/>
    <w:rsid w:val="00D03532"/>
    <w:rsid w:val="00D121F1"/>
    <w:rsid w:val="00D14593"/>
    <w:rsid w:val="00D343B2"/>
    <w:rsid w:val="00D37B62"/>
    <w:rsid w:val="00D75D54"/>
    <w:rsid w:val="00D7692D"/>
    <w:rsid w:val="00D934F0"/>
    <w:rsid w:val="00D94708"/>
    <w:rsid w:val="00DB0C17"/>
    <w:rsid w:val="00DB7797"/>
    <w:rsid w:val="00E168D5"/>
    <w:rsid w:val="00E260D2"/>
    <w:rsid w:val="00E60E76"/>
    <w:rsid w:val="00E70C92"/>
    <w:rsid w:val="00E81A8C"/>
    <w:rsid w:val="00EB489A"/>
    <w:rsid w:val="00ED0C3A"/>
    <w:rsid w:val="00ED2877"/>
    <w:rsid w:val="00EE0ABC"/>
    <w:rsid w:val="00F02F97"/>
    <w:rsid w:val="00F10092"/>
    <w:rsid w:val="00F3233A"/>
    <w:rsid w:val="00F35BC5"/>
    <w:rsid w:val="00F37C97"/>
    <w:rsid w:val="00F46652"/>
    <w:rsid w:val="00F53D0B"/>
    <w:rsid w:val="00F81339"/>
    <w:rsid w:val="00F84566"/>
    <w:rsid w:val="00F85AD9"/>
    <w:rsid w:val="00F8728F"/>
    <w:rsid w:val="00F94532"/>
    <w:rsid w:val="00FA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F50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  <w:style w:type="paragraph" w:customStyle="1" w:styleId="1Padropargrafo">
    <w:name w:val="1. Padrão parágrafo"/>
    <w:basedOn w:val="Normal"/>
    <w:link w:val="1PadropargrafoChar"/>
    <w:qFormat/>
    <w:rsid w:val="004D5E43"/>
    <w:pPr>
      <w:spacing w:before="240" w:after="240" w:line="312" w:lineRule="auto"/>
      <w:ind w:firstLine="1134"/>
      <w:jc w:val="both"/>
    </w:pPr>
    <w:rPr>
      <w:rFonts w:ascii="Nunito" w:hAnsi="Nunito"/>
      <w:kern w:val="0"/>
      <w:sz w:val="22"/>
      <w:szCs w:val="22"/>
      <w14:ligatures w14:val="none"/>
    </w:rPr>
  </w:style>
  <w:style w:type="character" w:customStyle="1" w:styleId="1PadropargrafoChar">
    <w:name w:val="1. Padrão parágrafo Char"/>
    <w:basedOn w:val="Fontepargpadro"/>
    <w:link w:val="1Padropargrafo"/>
    <w:rsid w:val="004D5E43"/>
    <w:rPr>
      <w:rFonts w:ascii="Nunito" w:hAnsi="Nunito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1468</Words>
  <Characters>8208</Characters>
  <Application>Microsoft Office Word</Application>
  <DocSecurity>0</DocSecurity>
  <Lines>178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7</cp:revision>
  <cp:lastPrinted>2025-10-14T13:26:00Z</cp:lastPrinted>
  <dcterms:created xsi:type="dcterms:W3CDTF">2025-12-26T15:53:00Z</dcterms:created>
  <dcterms:modified xsi:type="dcterms:W3CDTF">2025-12-26T16:23:00Z</dcterms:modified>
</cp:coreProperties>
</file>