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5B2121C9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884412">
        <w:rPr>
          <w:rFonts w:ascii="Source Serif Pro" w:hAnsi="Source Serif Pro"/>
          <w:b/>
          <w:bCs/>
          <w:sz w:val="26"/>
          <w:szCs w:val="28"/>
        </w:rPr>
        <w:t>mo</w:t>
      </w:r>
      <w:r w:rsidR="00660CFA">
        <w:rPr>
          <w:rFonts w:ascii="Source Serif Pro" w:hAnsi="Source Serif Pro"/>
          <w:b/>
          <w:bCs/>
          <w:sz w:val="26"/>
          <w:szCs w:val="28"/>
        </w:rPr>
        <w:t>. Des. ...</w:t>
      </w:r>
    </w:p>
    <w:p w14:paraId="0BE51421" w14:textId="5653FA39" w:rsidR="00B968CC" w:rsidRPr="00B24A33" w:rsidRDefault="00660CFA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 xml:space="preserve">Relator da Apelação n. </w:t>
      </w:r>
    </w:p>
    <w:p w14:paraId="39684049" w14:textId="77777777" w:rsidR="00F3233A" w:rsidRDefault="00F3233A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</w:p>
    <w:p w14:paraId="45BE129E" w14:textId="77777777" w:rsidR="00F3233A" w:rsidRPr="00B24A33" w:rsidRDefault="00F3233A">
      <w:pPr>
        <w:rPr>
          <w:rFonts w:ascii="Source Serif Pro" w:hAnsi="Source Serif Pro"/>
        </w:rPr>
      </w:pPr>
    </w:p>
    <w:p w14:paraId="1D46FD50" w14:textId="77777777" w:rsidR="005C54F8" w:rsidRDefault="005C54F8" w:rsidP="00EE0ABC">
      <w:pPr>
        <w:ind w:firstLine="567"/>
        <w:rPr>
          <w:rFonts w:ascii="Source Serif Pro" w:hAnsi="Source Serif Pro"/>
        </w:rPr>
      </w:pPr>
    </w:p>
    <w:p w14:paraId="76E1F4EA" w14:textId="77777777" w:rsidR="00837FD8" w:rsidRPr="00B24A33" w:rsidRDefault="00837FD8" w:rsidP="00EE0ABC">
      <w:pPr>
        <w:ind w:firstLine="567"/>
        <w:rPr>
          <w:rFonts w:ascii="Source Serif Pro" w:hAnsi="Source Serif Pro"/>
        </w:rPr>
      </w:pPr>
    </w:p>
    <w:p w14:paraId="1DE5A89B" w14:textId="3CBFEC98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4D5E43">
        <w:rPr>
          <w:rFonts w:ascii="Source Serif Pro" w:hAnsi="Source Serif Pro"/>
        </w:rPr>
        <w:t>já qualificado nos autos em epígrafe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 xml:space="preserve">vem a presença </w:t>
      </w:r>
      <w:r w:rsidR="005A6E55">
        <w:rPr>
          <w:rFonts w:ascii="Source Serif Pro" w:hAnsi="Source Serif Pro"/>
        </w:rPr>
        <w:t>de Vossa Excelência</w:t>
      </w:r>
      <w:r>
        <w:rPr>
          <w:rFonts w:ascii="Source Serif Pro" w:hAnsi="Source Serif Pro"/>
        </w:rPr>
        <w:t xml:space="preserve"> </w:t>
      </w:r>
      <w:r w:rsidR="00763304">
        <w:rPr>
          <w:rFonts w:ascii="Source Serif Pro" w:hAnsi="Source Serif Pro"/>
        </w:rPr>
        <w:t xml:space="preserve">apresentar </w:t>
      </w:r>
    </w:p>
    <w:p w14:paraId="2CD2B9C5" w14:textId="2E294FC5" w:rsidR="00B57D96" w:rsidRPr="007A0B17" w:rsidRDefault="004D5E43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RAZÕES DO RECURSO DE APELAÇÃO</w:t>
      </w:r>
    </w:p>
    <w:p w14:paraId="190530AD" w14:textId="77777777" w:rsidR="004D5E43" w:rsidRPr="00323EF9" w:rsidRDefault="004D5E43" w:rsidP="004D5E43">
      <w:pPr>
        <w:pStyle w:val="1Padropargrafo"/>
        <w:rPr>
          <w:rFonts w:ascii="Source Serif Pro" w:hAnsi="Source Serif Pro"/>
          <w:kern w:val="2"/>
          <w:sz w:val="24"/>
          <w:szCs w:val="24"/>
          <w14:ligatures w14:val="standardContextual"/>
        </w:rPr>
      </w:pPr>
      <w:r w:rsidRPr="00323EF9">
        <w:rPr>
          <w:rFonts w:ascii="Source Serif Pro" w:hAnsi="Source Serif Pro"/>
          <w:kern w:val="2"/>
          <w:sz w:val="24"/>
          <w:szCs w:val="24"/>
          <w14:ligatures w14:val="standardContextual"/>
        </w:rPr>
        <w:t xml:space="preserve">nos termos do art. 600, §4º. Outrossim, requer a juntada das razões, bem como que seja o recurso conhecido e provido em sua integralidade. </w:t>
      </w:r>
    </w:p>
    <w:p w14:paraId="6C261EA5" w14:textId="77777777" w:rsidR="004D5E43" w:rsidRPr="00F8728F" w:rsidRDefault="004D5E43" w:rsidP="00F8728F">
      <w:pPr>
        <w:pStyle w:val="1Padropargrafo"/>
        <w:rPr>
          <w:rFonts w:ascii="Source Serif Pro" w:hAnsi="Source Serif Pro"/>
          <w:kern w:val="2"/>
          <w:sz w:val="24"/>
          <w:szCs w:val="24"/>
          <w14:ligatures w14:val="standardContextual"/>
        </w:rPr>
      </w:pP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t>Respeitosamente, requer o deferimento.</w:t>
      </w:r>
    </w:p>
    <w:p w14:paraId="0D7286F9" w14:textId="2D0CB36B" w:rsidR="004D5E43" w:rsidRPr="00F8728F" w:rsidRDefault="004D5E43" w:rsidP="00F8728F">
      <w:pPr>
        <w:pStyle w:val="1Padropargrafo"/>
        <w:rPr>
          <w:rFonts w:ascii="Source Serif Pro" w:hAnsi="Source Serif Pro"/>
          <w:kern w:val="2"/>
          <w:sz w:val="24"/>
          <w:szCs w:val="24"/>
          <w14:ligatures w14:val="standardContextual"/>
        </w:rPr>
      </w:pP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t xml:space="preserve">Cidade e estado, </w:t>
      </w: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fldChar w:fldCharType="begin"/>
      </w: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instrText xml:space="preserve"> TIME \@ "d' de 'MMMM' de 'yyyy" </w:instrText>
      </w: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fldChar w:fldCharType="separate"/>
      </w:r>
      <w:r w:rsidR="00CE7BED">
        <w:rPr>
          <w:rFonts w:ascii="Source Serif Pro" w:hAnsi="Source Serif Pro"/>
          <w:noProof/>
          <w:kern w:val="2"/>
          <w:sz w:val="24"/>
          <w:szCs w:val="24"/>
          <w14:ligatures w14:val="standardContextual"/>
        </w:rPr>
        <w:t>26 de dezembro de 2025</w:t>
      </w: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fldChar w:fldCharType="end"/>
      </w: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t>.</w:t>
      </w:r>
    </w:p>
    <w:p w14:paraId="7DB0A8A3" w14:textId="77777777" w:rsidR="004D5E43" w:rsidRPr="00F8728F" w:rsidRDefault="004D5E43" w:rsidP="00F8728F">
      <w:pPr>
        <w:pStyle w:val="1Padropargrafo"/>
        <w:spacing w:before="0" w:after="0" w:line="240" w:lineRule="auto"/>
        <w:jc w:val="center"/>
        <w:rPr>
          <w:rFonts w:ascii="Source Serif Pro" w:hAnsi="Source Serif Pro"/>
          <w:kern w:val="2"/>
          <w:sz w:val="24"/>
          <w:szCs w:val="24"/>
          <w14:ligatures w14:val="standardContextual"/>
        </w:rPr>
      </w:pP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t>Nome do advogado</w:t>
      </w:r>
    </w:p>
    <w:p w14:paraId="7D427F87" w14:textId="77777777" w:rsidR="004D5E43" w:rsidRPr="00F8728F" w:rsidRDefault="004D5E43" w:rsidP="00F8728F">
      <w:pPr>
        <w:pStyle w:val="1Padropargrafo"/>
        <w:spacing w:before="0" w:after="0" w:line="240" w:lineRule="auto"/>
        <w:jc w:val="center"/>
        <w:rPr>
          <w:rFonts w:ascii="Source Serif Pro" w:hAnsi="Source Serif Pro"/>
          <w:kern w:val="2"/>
          <w:sz w:val="24"/>
          <w:szCs w:val="24"/>
          <w14:ligatures w14:val="standardContextual"/>
        </w:rPr>
      </w:pP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t>OAB/.... XXX.XXX</w:t>
      </w:r>
    </w:p>
    <w:p w14:paraId="46AE4AF2" w14:textId="772928BF" w:rsidR="00EE0ABC" w:rsidRPr="00F8728F" w:rsidRDefault="00EE0ABC" w:rsidP="00F8728F">
      <w:pPr>
        <w:pStyle w:val="1Padropargrafo"/>
        <w:rPr>
          <w:rFonts w:ascii="Source Serif Pro" w:hAnsi="Source Serif Pro"/>
          <w:kern w:val="2"/>
          <w:sz w:val="24"/>
          <w:szCs w:val="24"/>
          <w14:ligatures w14:val="standardContextual"/>
        </w:rPr>
      </w:pPr>
    </w:p>
    <w:p w14:paraId="18AF53F2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7F67B508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DF97202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FF9DA39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4BAF797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81EE7DB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B599EEF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0AE7D1F0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5AA4F7D1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469E48B4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82E0E04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68645AA" w14:textId="77777777" w:rsidR="004D5E43" w:rsidRPr="009077CD" w:rsidRDefault="004D5E43" w:rsidP="004D5E43">
      <w:pPr>
        <w:spacing w:before="120" w:after="120"/>
        <w:jc w:val="both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RAZÕES DE RECURSO DE APELAÇÃO</w:t>
      </w:r>
    </w:p>
    <w:p w14:paraId="482B66FF" w14:textId="76F27290" w:rsidR="004D5E43" w:rsidRPr="009077CD" w:rsidRDefault="004D5E43" w:rsidP="004D5E43">
      <w:pPr>
        <w:spacing w:before="120" w:after="120"/>
        <w:jc w:val="both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PROCESSO Nº: ....</w:t>
      </w:r>
    </w:p>
    <w:p w14:paraId="441B0F1E" w14:textId="51E707B8" w:rsidR="004D5E43" w:rsidRPr="009077CD" w:rsidRDefault="004D5E43" w:rsidP="004D5E43">
      <w:pPr>
        <w:spacing w:before="120" w:after="120"/>
        <w:jc w:val="both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APELANTE: [NOME DO CLIENTE]</w:t>
      </w:r>
    </w:p>
    <w:p w14:paraId="5D1FBA81" w14:textId="77777777" w:rsidR="004D5E43" w:rsidRPr="009077CD" w:rsidRDefault="004D5E43" w:rsidP="004D5E43">
      <w:pPr>
        <w:spacing w:before="120" w:after="120"/>
        <w:jc w:val="both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APELADA: JUSTIÇA PÚBLICA</w:t>
      </w:r>
    </w:p>
    <w:p w14:paraId="2542C114" w14:textId="77777777" w:rsidR="004D5E43" w:rsidRPr="009077CD" w:rsidRDefault="004D5E43" w:rsidP="004D5E43">
      <w:pPr>
        <w:spacing w:line="240" w:lineRule="auto"/>
        <w:jc w:val="both"/>
        <w:rPr>
          <w:rFonts w:ascii="Georgia" w:hAnsi="Georgia" w:cs="Segoe UI"/>
          <w:b/>
          <w:bCs/>
        </w:rPr>
      </w:pPr>
    </w:p>
    <w:p w14:paraId="0CF5EA6B" w14:textId="77777777" w:rsidR="004D5E43" w:rsidRPr="009077CD" w:rsidRDefault="004D5E43" w:rsidP="004D5E43">
      <w:pPr>
        <w:jc w:val="center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EGRÉGIO COLÉGIO RECURSAL</w:t>
      </w:r>
    </w:p>
    <w:p w14:paraId="512ECFA8" w14:textId="77777777" w:rsidR="004D5E43" w:rsidRPr="009077CD" w:rsidRDefault="004D5E43" w:rsidP="004D5E43">
      <w:pPr>
        <w:jc w:val="center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COLENDA CÂMARA CRIMINAL</w:t>
      </w:r>
    </w:p>
    <w:p w14:paraId="0BE13022" w14:textId="77777777" w:rsidR="004D5E43" w:rsidRPr="009077CD" w:rsidRDefault="004D5E43" w:rsidP="004D5E43">
      <w:pPr>
        <w:pStyle w:val="PargrafodaLista"/>
        <w:tabs>
          <w:tab w:val="left" w:pos="993"/>
        </w:tabs>
        <w:spacing w:after="0" w:line="240" w:lineRule="auto"/>
        <w:ind w:left="0"/>
        <w:contextualSpacing w:val="0"/>
        <w:jc w:val="center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NOBRES JULGADORES</w:t>
      </w:r>
    </w:p>
    <w:p w14:paraId="300CAB92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3694094E" w14:textId="77777777" w:rsidR="00E81A8C" w:rsidRDefault="00E81A8C" w:rsidP="00E81A8C">
      <w:pPr>
        <w:pStyle w:val="SemEspaamento"/>
      </w:pPr>
      <w:r>
        <w:t>Na respeitável sentença proferida pelo Juízo de primeiro grau, o Apelante foi condenado pelo delito do art. 33, caput, da Lei n. 11.343/06, tendo o magistrado afastado a incidência da causa de diminuição prevista no art. 33, § 4º (tráfico privilegiado), sob o argumento de que a quantidade e/ou natureza da droga apreendida evidenciaria maior reprovabilidade e indicaria dedicação a atividades criminosas.</w:t>
      </w:r>
    </w:p>
    <w:p w14:paraId="74E0BF11" w14:textId="77777777" w:rsidR="00E81A8C" w:rsidRDefault="00E81A8C" w:rsidP="00E81A8C">
      <w:pPr>
        <w:pStyle w:val="SemEspaamento"/>
      </w:pPr>
      <w:r>
        <w:t>Para justificar a não aplicação da minorante, a decisão recorrida concluiu, essencialmente, que o volume do entorpecente apreendido seria suficiente para afastar o privilégio, construindo, por inferência, a ideia de que o sentenciado teria vínculo com criminalidade organizada ou atuaria de forma habitual no tráfico, sem, contudo, apontar elementos concretos autônomos além da própria apreensão.</w:t>
      </w:r>
    </w:p>
    <w:p w14:paraId="13E5E5B4" w14:textId="6C73DC77" w:rsidR="003F6371" w:rsidRDefault="00E81A8C" w:rsidP="00E81A8C">
      <w:pPr>
        <w:pStyle w:val="SemEspaamento"/>
      </w:pPr>
      <w:r>
        <w:t>Ocorre que, no processo, o Apelante não foi denunciado nem condenado por associação para o tráfico ou por organização criminosa, e não há nos autos prova específica de estabilidade, permanência, estrutura organizada ou divisão de tarefas que sustente tal conclusão, razão pela qual interpõe a presente Apelação buscando a reforma da sentença para aplicação do redutor do tráfico privilegiado, com o consequente redimensionamento da pena.</w:t>
      </w:r>
    </w:p>
    <w:p w14:paraId="2A389EC3" w14:textId="77777777" w:rsidR="004D5E43" w:rsidRDefault="004D5E43" w:rsidP="004A7B6D">
      <w:pPr>
        <w:pStyle w:val="SemEspaamento"/>
      </w:pPr>
    </w:p>
    <w:p w14:paraId="5087947A" w14:textId="629331A4" w:rsidR="002D3115" w:rsidRDefault="00F37ABB" w:rsidP="002D3115">
      <w:pPr>
        <w:pStyle w:val="Ttulo1"/>
        <w:spacing w:before="0" w:after="0" w:line="240" w:lineRule="auto"/>
      </w:pPr>
      <w:r>
        <w:lastRenderedPageBreak/>
        <w:t>INVASÃO DE DOMICÍLIO – NECESSIDADE ABSOLVIÇÃO</w:t>
      </w:r>
    </w:p>
    <w:p w14:paraId="7C57FDD5" w14:textId="6FBC1007" w:rsidR="002D3115" w:rsidRPr="00547988" w:rsidRDefault="00F37ABB" w:rsidP="002D3115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bookmarkStart w:id="0" w:name="_Hlk217575469"/>
      <w:r>
        <w:rPr>
          <w:rFonts w:ascii="Source Sans Pro" w:hAnsi="Source Sans Pro"/>
          <w:i/>
          <w:iCs/>
          <w:shd w:val="clear" w:color="auto" w:fill="FFFFFF" w:themeFill="background1"/>
        </w:rPr>
        <w:t xml:space="preserve">Prova ilícita deve ser excluída dos autos – </w:t>
      </w:r>
      <w:bookmarkEnd w:id="0"/>
      <w:proofErr w:type="spellStart"/>
      <w:r w:rsidRPr="009F0F7E">
        <w:rPr>
          <w:rFonts w:ascii="Source Sans Pro" w:hAnsi="Source Sans Pro"/>
          <w:i/>
          <w:iCs/>
          <w:shd w:val="clear" w:color="auto" w:fill="FFFFFF" w:themeFill="background1"/>
        </w:rPr>
        <w:t>AgRg</w:t>
      </w:r>
      <w:proofErr w:type="spellEnd"/>
      <w:r w:rsidRPr="009F0F7E">
        <w:rPr>
          <w:rFonts w:ascii="Source Sans Pro" w:hAnsi="Source Sans Pro"/>
          <w:i/>
          <w:iCs/>
          <w:shd w:val="clear" w:color="auto" w:fill="FFFFFF" w:themeFill="background1"/>
        </w:rPr>
        <w:t xml:space="preserve"> no REsp n. 2.196.191/AL</w:t>
      </w:r>
    </w:p>
    <w:p w14:paraId="27343496" w14:textId="3F086148" w:rsidR="00F37ABB" w:rsidRPr="00F37ABB" w:rsidRDefault="00F37ABB" w:rsidP="00F37ABB">
      <w:pPr>
        <w:pStyle w:val="SemEspaamento"/>
      </w:pPr>
      <w:r>
        <w:t xml:space="preserve">Apesar de devidamente apontado pela defesa durante todo o processo, o juízo </w:t>
      </w:r>
      <w:r>
        <w:rPr>
          <w:i/>
          <w:iCs/>
        </w:rPr>
        <w:t>a quo</w:t>
      </w:r>
      <w:r>
        <w:t xml:space="preserve"> deixou de reconhecer a ilegalidade do flagrante e ilicitude da prova, vez que oriundas de ingresso forçado em domicílio desafiando a interposição do presente recurso de apelação.</w:t>
      </w:r>
    </w:p>
    <w:p w14:paraId="0238F204" w14:textId="794744FB" w:rsidR="00F37ABB" w:rsidRPr="009F0F7E" w:rsidRDefault="00F37ABB" w:rsidP="00F37ABB">
      <w:pPr>
        <w:pStyle w:val="SemEspaamento"/>
      </w:pPr>
      <w:r w:rsidRPr="009F0F7E">
        <w:t>No caso</w:t>
      </w:r>
      <w:r>
        <w:t xml:space="preserve"> em apreço</w:t>
      </w:r>
      <w:r w:rsidRPr="009F0F7E">
        <w:t xml:space="preserve">, o ponto de partida é o reconhecimento de que o ingresso domiciliar foi ilegal, de modo que todo o acervo probatório dele derivado está contaminado. O Código de Processo Penal é expresso ao determinar que provas ilícitas são inadmissíveis e devem ser desentranhadas, bem como as provas derivadas das ilícitas, quando presente o nexo de causalidade. </w:t>
      </w:r>
    </w:p>
    <w:p w14:paraId="5DA9289E" w14:textId="77777777" w:rsidR="00F37ABB" w:rsidRPr="009F0F7E" w:rsidRDefault="00F37ABB" w:rsidP="00F37ABB">
      <w:pPr>
        <w:pStyle w:val="SemEspaamento"/>
      </w:pPr>
      <w:r w:rsidRPr="009F0F7E">
        <w:t>A diligência estatal de ingresso forçado em domicílio somente se legitima quando amparada por fundadas razões extraídas de elementos objetivos e prévio lastro investigativo, ou por autorização válida e comprovada do morador; do contrário, o que se tem é violação de garantias e produção de prova por via inconstitucional, com inevitável incidência do art. 157 do CPP.</w:t>
      </w:r>
    </w:p>
    <w:p w14:paraId="3D8812D6" w14:textId="77777777" w:rsidR="00F37ABB" w:rsidRPr="003A171C" w:rsidRDefault="00F37ABB" w:rsidP="00F37ABB">
      <w:pPr>
        <w:pStyle w:val="SemEspaamento"/>
      </w:pPr>
      <w:r>
        <w:t>Segundo o entendimento do Superior Tribunal de Justiça:</w:t>
      </w:r>
    </w:p>
    <w:p w14:paraId="284779A1" w14:textId="77777777" w:rsidR="00F37ABB" w:rsidRDefault="00F37ABB" w:rsidP="00F37ABB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bookmarkStart w:id="1" w:name="_Hlk214458189"/>
      <w:bookmarkStart w:id="2" w:name="_Hlk217575538"/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bookmarkEnd w:id="1"/>
      <w:proofErr w:type="spellStart"/>
      <w:r w:rsidRPr="00862EC3">
        <w:rPr>
          <w:color w:val="808080" w:themeColor="background1" w:themeShade="80"/>
        </w:rPr>
        <w:t>AgRg</w:t>
      </w:r>
      <w:proofErr w:type="spellEnd"/>
      <w:r w:rsidRPr="00862EC3">
        <w:rPr>
          <w:color w:val="808080" w:themeColor="background1" w:themeShade="80"/>
        </w:rPr>
        <w:t xml:space="preserve"> no HC n. 884.547/GO, relator Ministro </w:t>
      </w:r>
      <w:proofErr w:type="spellStart"/>
      <w:r w:rsidRPr="00862EC3">
        <w:rPr>
          <w:color w:val="808080" w:themeColor="background1" w:themeShade="80"/>
        </w:rPr>
        <w:t>Antonio</w:t>
      </w:r>
      <w:proofErr w:type="spellEnd"/>
      <w:r w:rsidRPr="00862EC3">
        <w:rPr>
          <w:color w:val="808080" w:themeColor="background1" w:themeShade="80"/>
        </w:rPr>
        <w:t xml:space="preserve"> Saldanha Palheiro, Sexta Turma, julgado em 27/8/2025</w:t>
      </w:r>
      <w:r>
        <w:rPr>
          <w:color w:val="808080" w:themeColor="background1" w:themeShade="80"/>
        </w:rPr>
        <w:t>.</w:t>
      </w:r>
    </w:p>
    <w:p w14:paraId="5911DFD1" w14:textId="77777777" w:rsidR="00F37ABB" w:rsidRDefault="00F37ABB" w:rsidP="00F37ABB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862EC3">
        <w:rPr>
          <w:i/>
          <w:iCs/>
        </w:rPr>
        <w:t>No caso em exame, verifica-se violação do art. 157 do Código de Processo Penal, observado que o ingresso forçado na casa onde foram apreendidas as drogas não se sustenta em fundadas razões extraídas da leitura dos documentos dos autos. Isso porque a diligência apoiou-se no comportamento suspeito da paciente, que empreendeu fuga para o interior do imóvel no momento da abordagem, circunstâncias que não justificam, por si sós, a dispensa de investigações prévias ou do mandado judicial. Assim sendo, o contexto fático narrado não corrobora a conclusão inarredável de que na residência praticava-se o crime de tráfico de drogas</w:t>
      </w:r>
      <w:r>
        <w:rPr>
          <w:i/>
          <w:iCs/>
        </w:rPr>
        <w:t>.</w:t>
      </w:r>
    </w:p>
    <w:bookmarkEnd w:id="2"/>
    <w:p w14:paraId="1DC435F6" w14:textId="77777777" w:rsidR="00F37ABB" w:rsidRPr="009F0F7E" w:rsidRDefault="00F37ABB" w:rsidP="00F37ABB">
      <w:pPr>
        <w:pStyle w:val="SemEspaamento"/>
      </w:pPr>
      <w:r w:rsidRPr="009F0F7E">
        <w:t xml:space="preserve">No mesmo precedente, a Corte deixou claro que a suposta “justa causa” baseada no fato de a pessoa empreender fuga para o interior do imóvel no momento da </w:t>
      </w:r>
      <w:r w:rsidRPr="009F0F7E">
        <w:lastRenderedPageBreak/>
        <w:t>abordagem não justifica, por si só, dispensar investigações prévias ou mandado judicial, pois esse contexto não conduz, de modo inevitável, à conclusão de que ali se praticava tráfico. Assim, suspeita e atitude evasiva não equivalem a fundadas razões.</w:t>
      </w:r>
    </w:p>
    <w:p w14:paraId="0B56DA77" w14:textId="77777777" w:rsidR="00F37ABB" w:rsidRPr="009F0F7E" w:rsidRDefault="00F37ABB" w:rsidP="00F37ABB">
      <w:pPr>
        <w:pStyle w:val="SemEspaamento"/>
      </w:pPr>
      <w:r w:rsidRPr="009F0F7E">
        <w:t>Aplicando-se essa diretriz ao caso, se a narrativa policial aponta apenas “comportamento suspeito”, “nervosismo”, “correria” ou “entrada rápida no imóvel” como gatilho para o ingresso, está configurada exatamente a hipótese rechaçada pelo STJ: trata-se de motivação genérica, incapaz de legitimar a violação do lar e, por consequência, incapaz de sustentar a licitude do que foi apreendido no interior da residência.</w:t>
      </w:r>
    </w:p>
    <w:p w14:paraId="1E07AE45" w14:textId="77777777" w:rsidR="00F37ABB" w:rsidRPr="009F0F7E" w:rsidRDefault="00F37ABB" w:rsidP="00F37ABB">
      <w:pPr>
        <w:pStyle w:val="SemEspaamento"/>
      </w:pPr>
      <w:r w:rsidRPr="009F0F7E">
        <w:t xml:space="preserve">Reconhecida a ilegalidade do ingresso, a consequência é direta: a prova colhida na residência — notadamente a droga e tudo que dela decorre — deve ser considerada inadmissível, impondo-se o seu desentranhamento e a exclusão de eventuais elementos probatórios subsequentes que guardem nexo causal com essa diligência ilícita, nos termos do art. 157 do CPP. </w:t>
      </w:r>
    </w:p>
    <w:p w14:paraId="27B558E5" w14:textId="77777777" w:rsidR="00F37ABB" w:rsidRPr="009F0F7E" w:rsidRDefault="00F37ABB" w:rsidP="00F37ABB">
      <w:pPr>
        <w:pStyle w:val="SemEspaamento"/>
      </w:pPr>
      <w:r w:rsidRPr="009F0F7E">
        <w:t xml:space="preserve">Além disso, a nulidade não depende de a Defesa provar adulteração ou má-fé: basta a constatação de que a colheita do vestígio ocorreu por meio vedado. </w:t>
      </w:r>
    </w:p>
    <w:p w14:paraId="73201C22" w14:textId="77777777" w:rsidR="00F37ABB" w:rsidRDefault="00F37ABB" w:rsidP="00F37ABB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proofErr w:type="spellStart"/>
      <w:r w:rsidRPr="009F0F7E">
        <w:rPr>
          <w:color w:val="808080" w:themeColor="background1" w:themeShade="80"/>
        </w:rPr>
        <w:t>AgRg</w:t>
      </w:r>
      <w:proofErr w:type="spellEnd"/>
      <w:r w:rsidRPr="009F0F7E">
        <w:rPr>
          <w:color w:val="808080" w:themeColor="background1" w:themeShade="80"/>
        </w:rPr>
        <w:t xml:space="preserve"> no REsp n. 2.196.191/AL, relator Ministro </w:t>
      </w:r>
      <w:proofErr w:type="spellStart"/>
      <w:r w:rsidRPr="009F0F7E">
        <w:rPr>
          <w:color w:val="808080" w:themeColor="background1" w:themeShade="80"/>
        </w:rPr>
        <w:t>Antonio</w:t>
      </w:r>
      <w:proofErr w:type="spellEnd"/>
      <w:r w:rsidRPr="009F0F7E">
        <w:rPr>
          <w:color w:val="808080" w:themeColor="background1" w:themeShade="80"/>
        </w:rPr>
        <w:t xml:space="preserve"> Saldanha Palheiro, Sexta Turma, julgado em 10/9/2025</w:t>
      </w:r>
      <w:r>
        <w:rPr>
          <w:color w:val="808080" w:themeColor="background1" w:themeShade="80"/>
        </w:rPr>
        <w:t>.</w:t>
      </w:r>
    </w:p>
    <w:p w14:paraId="31E4477A" w14:textId="77777777" w:rsidR="00F37ABB" w:rsidRPr="009F0F7E" w:rsidRDefault="00F37ABB" w:rsidP="00F37ABB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9F0F7E">
        <w:rPr>
          <w:i/>
          <w:iCs/>
        </w:rPr>
        <w:t xml:space="preserve">Na sequência sustentar que a droga apreendida (materialidade) é ilegal </w:t>
      </w:r>
      <w:proofErr w:type="gramStart"/>
      <w:r w:rsidRPr="009F0F7E">
        <w:rPr>
          <w:i/>
          <w:iCs/>
        </w:rPr>
        <w:t>e</w:t>
      </w:r>
      <w:proofErr w:type="gramEnd"/>
      <w:r w:rsidRPr="009F0F7E">
        <w:rPr>
          <w:i/>
          <w:iCs/>
        </w:rPr>
        <w:t xml:space="preserve"> portanto, deve ser </w:t>
      </w:r>
      <w:proofErr w:type="spellStart"/>
      <w:r w:rsidRPr="009F0F7E">
        <w:rPr>
          <w:i/>
          <w:iCs/>
        </w:rPr>
        <w:t>extiparda</w:t>
      </w:r>
      <w:proofErr w:type="spellEnd"/>
      <w:r w:rsidRPr="009F0F7E">
        <w:rPr>
          <w:i/>
          <w:iCs/>
        </w:rPr>
        <w:t xml:space="preserve"> dos autos, devendo o réu ser absolvido por falta de materialidade conforme jurisprudência abaixo: O ingresso em domicílio sem justa causa ou autorização judicial configura prova ilícita. 2. O ônus de comprovar a voluntariedade do consentimento para ingresso em domicílio recai sobre o Estado. 3. A ausência de comprovação da autorização voluntária resulta na nulidade das provas obtidas.</w:t>
      </w:r>
    </w:p>
    <w:p w14:paraId="1D96E85E" w14:textId="77777777" w:rsidR="00F37ABB" w:rsidRDefault="00F37ABB" w:rsidP="00F37ABB">
      <w:pPr>
        <w:pStyle w:val="SemEspaamento"/>
      </w:pPr>
      <w:r>
        <w:t>O mesmo julgado é contundente ao estabelecer que a ausência de comprovação da autorização voluntária importa na nulidade das provas obtidas. Portanto, se não há registro idôneo (minimamente seguro) de consentimento livre e voluntário — e se, ainda assim, não havia justa causa prévia — o resultado jurídico é a invalidação do núcleo probatório produzido a partir da invasão.</w:t>
      </w:r>
    </w:p>
    <w:p w14:paraId="415D17D8" w14:textId="77777777" w:rsidR="00F37ABB" w:rsidRDefault="00F37ABB" w:rsidP="00F37ABB">
      <w:pPr>
        <w:pStyle w:val="SemEspaamento"/>
      </w:pPr>
      <w:r>
        <w:lastRenderedPageBreak/>
        <w:t>E aqui está o ponto decisivo para a solução de mérito: sendo a droga apreendida o principal (ou único) suporte da imputação, sua exclusão do processo retira a própria base de materialidade do delito. Com a prova central expurgada por ilicitude, não remanesce lastro probatório mínimo lícito para sustentar a acusação, o que impõe solução absolutória.</w:t>
      </w:r>
    </w:p>
    <w:p w14:paraId="2B688E10" w14:textId="77777777" w:rsidR="00F37ABB" w:rsidRDefault="00F37ABB" w:rsidP="00F37ABB">
      <w:pPr>
        <w:pStyle w:val="SemEspaamento"/>
      </w:pPr>
      <w:r>
        <w:t>Diante disso, afastada a prova ilícita e suas derivadas (art. 157), o réu deve ser absolvido por ausência de prova da existência do fato e/ou por insuficiência probatória para condenação, nos termos do art. 386 do CPP.</w:t>
      </w:r>
    </w:p>
    <w:p w14:paraId="757BC715" w14:textId="77777777" w:rsidR="00BF7ED6" w:rsidRDefault="00BF7ED6" w:rsidP="00F37ABB">
      <w:pPr>
        <w:pStyle w:val="SemEspaamento"/>
      </w:pPr>
    </w:p>
    <w:p w14:paraId="4CCFD47C" w14:textId="77777777" w:rsidR="00BF7ED6" w:rsidRDefault="00BF7ED6" w:rsidP="00BF7ED6">
      <w:pPr>
        <w:pStyle w:val="Ttulo1"/>
        <w:spacing w:before="0" w:after="0" w:line="240" w:lineRule="auto"/>
      </w:pPr>
      <w:r>
        <w:t xml:space="preserve">APLICAÇÃO DO TRÁFICO PRIVILEGIADO  </w:t>
      </w:r>
    </w:p>
    <w:p w14:paraId="5C177030" w14:textId="77777777" w:rsidR="00BF7ED6" w:rsidRPr="00547988" w:rsidRDefault="00BF7ED6" w:rsidP="00BF7ED6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 w:rsidRPr="00C01E5D">
        <w:rPr>
          <w:rFonts w:ascii="Source Sans Pro" w:hAnsi="Source Sans Pro"/>
          <w:i/>
          <w:iCs/>
          <w:shd w:val="clear" w:color="auto" w:fill="FFFFFF" w:themeFill="background1"/>
        </w:rPr>
        <w:t>Tema Repetitivo 1139</w:t>
      </w:r>
      <w:r>
        <w:rPr>
          <w:rFonts w:ascii="Source Sans Pro" w:hAnsi="Source Sans Pro"/>
          <w:i/>
          <w:iCs/>
          <w:shd w:val="clear" w:color="auto" w:fill="FFFFFF" w:themeFill="background1"/>
        </w:rPr>
        <w:t xml:space="preserve"> – Direito subjetivo do denunciado</w:t>
      </w:r>
    </w:p>
    <w:p w14:paraId="59A1A82F" w14:textId="7E8593D2" w:rsidR="00BF7ED6" w:rsidRDefault="00BF7ED6" w:rsidP="00BF7ED6">
      <w:pPr>
        <w:pStyle w:val="SemEspaamento"/>
      </w:pPr>
      <w:r>
        <w:t>O juízo de piso, além de não reconhecer a invasão de domicílio e a ilegalidade do flagrante, deixou igualmente de aplicar ao caso o redutor do tráfico privilegiado de forma inidônea, recorrendo a defesa da referida decisão para que seja aplicada a causa de diminuição do tráfico privilegiado como tese subsidiária, caso esse sodalício entenda pela regularidade do ingresso forçado em domicílio.</w:t>
      </w:r>
    </w:p>
    <w:p w14:paraId="0A37C4CC" w14:textId="7783110F" w:rsidR="00BF7ED6" w:rsidRPr="00C01E5D" w:rsidRDefault="00BF7ED6" w:rsidP="00BF7ED6">
      <w:pPr>
        <w:pStyle w:val="SemEspaamento"/>
      </w:pPr>
      <w:r>
        <w:t>Nesse norte, caso outro seja o entendimento, o que não se espera, deve ocorrer a</w:t>
      </w:r>
      <w:r w:rsidRPr="00C01E5D">
        <w:t xml:space="preserve"> incidência da causa especial de diminuição de pena prevista no art. 33, § 4º, por se tratar de mecanismo legal de individualização da resposta penal para situações em que, embora reconhecido o tráfico, o agente não ostenta o perfil típico de traficante profissional.</w:t>
      </w:r>
    </w:p>
    <w:p w14:paraId="1885740B" w14:textId="77777777" w:rsidR="00BF7ED6" w:rsidRPr="00C01E5D" w:rsidRDefault="00BF7ED6" w:rsidP="00BF7ED6">
      <w:pPr>
        <w:pStyle w:val="SemEspaamento"/>
      </w:pPr>
      <w:r w:rsidRPr="00C01E5D">
        <w:t>A causa de diminuição do chamado tráfico privilegiado não é faculdade discricionária do julgador nem “benefício” condicionado a avaliações subjetivas sobre personalidade, moralidade ou impressões do caso; ao contrário, possui critérios legais objetivos, que, uma vez demonstrados, impõem sua aplicação como consequência jurídica.</w:t>
      </w:r>
    </w:p>
    <w:p w14:paraId="52C18ABC" w14:textId="77777777" w:rsidR="00BF7ED6" w:rsidRPr="00C01E5D" w:rsidRDefault="00BF7ED6" w:rsidP="00BF7ED6">
      <w:pPr>
        <w:pStyle w:val="SemEspaamento"/>
      </w:pPr>
      <w:r w:rsidRPr="00C01E5D">
        <w:t>É exatamente o que fixou o STJ no Tema Repetitivo 1139, ao estabelecer que a aplicação do redutor do art. 33, § 4º, da Lei 11.343/06 constitui direito subjetivo do acusado, desde que presentes os requisitos legais, não sendo possível obstar sua incidência com base em considerações subjetivas do juiz:</w:t>
      </w:r>
    </w:p>
    <w:p w14:paraId="65F425BC" w14:textId="77777777" w:rsidR="00BF7ED6" w:rsidRDefault="00BF7ED6" w:rsidP="00BF7ED6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lastRenderedPageBreak/>
        <w:t>STJ</w:t>
      </w:r>
      <w:r>
        <w:t xml:space="preserve"> - </w:t>
      </w:r>
      <w:r w:rsidRPr="00C01E5D">
        <w:rPr>
          <w:color w:val="808080" w:themeColor="background1" w:themeShade="80"/>
        </w:rPr>
        <w:t>Tema Repetitivo 1139</w:t>
      </w:r>
      <w:r>
        <w:rPr>
          <w:color w:val="808080" w:themeColor="background1" w:themeShade="80"/>
        </w:rPr>
        <w:t>.</w:t>
      </w:r>
      <w:r w:rsidRPr="00ED0C3A">
        <w:rPr>
          <w:color w:val="808080" w:themeColor="background1" w:themeShade="80"/>
        </w:rPr>
        <w:t xml:space="preserve"> </w:t>
      </w:r>
      <w:r w:rsidRPr="00C01E5D">
        <w:rPr>
          <w:color w:val="808080" w:themeColor="background1" w:themeShade="80"/>
        </w:rPr>
        <w:t>REsp n. 1.977.027/PR, relatora Ministra Laurita Vaz, Terceira Seção, julgado em 10/8/2022</w:t>
      </w:r>
      <w:r w:rsidRPr="00580B73">
        <w:rPr>
          <w:color w:val="808080" w:themeColor="background1" w:themeShade="80"/>
        </w:rPr>
        <w:t>.</w:t>
      </w:r>
    </w:p>
    <w:p w14:paraId="62589C86" w14:textId="77777777" w:rsidR="00BF7ED6" w:rsidRPr="00860199" w:rsidRDefault="00BF7ED6" w:rsidP="00BF7ED6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C01E5D">
        <w:rPr>
          <w:i/>
          <w:iCs/>
        </w:rPr>
        <w:t>A aplicação da causa de diminuição de pena prevista no art. 33, § 4.º, da Lei n. 11.343/06 constitui direito subjetivo do Acusado, caso presentes os requisitos legais, não sendo possível obstar sua aplicação com base em considerações subjetivas do juiz. É vedado ao magistrado instituir outros requisitos além daqueles expressamente previstos em lei para a sua incidência, bem como deixar de aplicá-la se presentes os requisitos legais.</w:t>
      </w:r>
    </w:p>
    <w:p w14:paraId="7C79AADA" w14:textId="77777777" w:rsidR="00BF7ED6" w:rsidRPr="00C01E5D" w:rsidRDefault="00BF7ED6" w:rsidP="00BF7ED6">
      <w:pPr>
        <w:pStyle w:val="SemEspaamento"/>
      </w:pPr>
      <w:r w:rsidRPr="00C01E5D">
        <w:t>No mesmo precedente repetitivo, a Corte Superior assentou ser vedado ao magistrado instituir outros requisitos além daqueles expressamente previstos em lei, bem como deixar de aplicar a minorante quando atendidos os pressupostos normativos. Assim, não é juridicamente válido negar o redutor sob fundamentos extralegais, como “gravidade genérica do tráfico”, “clamor social”, “necessidade de repressão”, ou qualquer juízo de valor não previsto no texto legal.</w:t>
      </w:r>
    </w:p>
    <w:p w14:paraId="629C55CB" w14:textId="77777777" w:rsidR="00BF7ED6" w:rsidRPr="00C01E5D" w:rsidRDefault="00BF7ED6" w:rsidP="00BF7ED6">
      <w:pPr>
        <w:pStyle w:val="SemEspaamento"/>
      </w:pPr>
      <w:r w:rsidRPr="00C01E5D">
        <w:t>Dessa forma, uma vez afirmada (ainda que por hipótese) a tipicidade pelo art. 33, deve o Juízo examinar objetivamente os quatro requisitos legais do § 4º — primariedade, bons antecedentes, não dedicação a atividades criminosas e não integração a organização criminosa —, sob pena de violação direta à orientação vinculante firmada no Tema 1139.</w:t>
      </w:r>
    </w:p>
    <w:p w14:paraId="22943C77" w14:textId="77777777" w:rsidR="00BF7ED6" w:rsidRPr="00C01E5D" w:rsidRDefault="00BF7ED6" w:rsidP="00BF7ED6">
      <w:pPr>
        <w:pStyle w:val="SemEspaamento"/>
      </w:pPr>
      <w:r w:rsidRPr="00C01E5D">
        <w:t>A partir desse marco, eventual negativa da minorante precisa estar lastreada em elementos concretos dos autos que demonstrem, com base empírica, dedicação a atividades criminosas ou integração a organização criminosa; não basta a referência genérica ao próprio crime imputado, nem a presunção de que “todo tráfico revela dedicação”, sob pena de esvaziar por completo o instituto.</w:t>
      </w:r>
    </w:p>
    <w:p w14:paraId="2BE07467" w14:textId="77777777" w:rsidR="00BF7ED6" w:rsidRPr="00C01E5D" w:rsidRDefault="00BF7ED6" w:rsidP="00BF7ED6">
      <w:pPr>
        <w:pStyle w:val="SemEspaamento"/>
      </w:pPr>
      <w:r w:rsidRPr="00C01E5D">
        <w:t>Em outras palavras, o redutor existe justamente para diferenciar situações em que, embora configurado o tráfico, não se evidenciam características de profissionalismo ou inserção estrutural em criminalidade organizada. Por isso, negar o privilégio com base em impressões subjetivas equivale a criar “um quinto requisito” não previsto em lei — conduta expressamente vedada pelo STJ no repetitivo.</w:t>
      </w:r>
    </w:p>
    <w:p w14:paraId="5CDE5EB8" w14:textId="77777777" w:rsidR="00BF7ED6" w:rsidRDefault="00BF7ED6" w:rsidP="00BF7ED6">
      <w:pPr>
        <w:pStyle w:val="SemEspaamento"/>
      </w:pPr>
      <w:r w:rsidRPr="00C01E5D">
        <w:t xml:space="preserve">Assim, se remanescer entendimento condenatório pelo art. 33, impõe-se, em atenção ao Tema Repetitivo 1139, o reconhecimento do tráfico privilegiado com a </w:t>
      </w:r>
      <w:r w:rsidRPr="00C01E5D">
        <w:lastRenderedPageBreak/>
        <w:t>redução no patamar máximo compatível com o quadro fático-probatório, como medida de justiça e de estrita legalidade, assegurando-se a correta individualização da pena segundo critérios legais, e não por valorações subjetivas.</w:t>
      </w:r>
    </w:p>
    <w:p w14:paraId="59E4A7BD" w14:textId="77777777" w:rsidR="00BF7ED6" w:rsidRPr="00C01E5D" w:rsidRDefault="00BF7ED6" w:rsidP="00BF7ED6">
      <w:pPr>
        <w:pStyle w:val="SemEspaamento"/>
      </w:pPr>
      <w:r>
        <w:t>Além disso, levando em consideração as condições do caso – circunstâncias judiciais favoráveis e pouca quantidade de entorpecente apreendido – deve ser aplicado o redutor máximo, qual seja, 2/3</w:t>
      </w:r>
      <w:r w:rsidRPr="00C01E5D">
        <w:t>.</w:t>
      </w:r>
    </w:p>
    <w:p w14:paraId="3403D0E8" w14:textId="071795B4" w:rsidR="00BF7ED6" w:rsidRDefault="00BF7ED6" w:rsidP="00BF7ED6">
      <w:pPr>
        <w:pStyle w:val="SemEspaamento"/>
      </w:pPr>
      <w:r w:rsidRPr="00C01E5D">
        <w:t>Diante disso, requer que, subsidiariamente, seja expressamente reconhecida a incidência da causa de diminuição do art. 33, § 4º, da Lei 11.343/06</w:t>
      </w:r>
      <w:r>
        <w:t xml:space="preserve"> em seu patamar máximo</w:t>
      </w:r>
      <w:r w:rsidRPr="00C01E5D">
        <w:t>, por se tratar de direito subjetivo do acusado quando presentes os requisitos legais, nos termos do Tema Repetitivo 1139 (REsp n. 1.977.027/PR), afastando-se qualquer negativa fundada em requisitos extralegais ou considerações subjetivas.</w:t>
      </w:r>
    </w:p>
    <w:p w14:paraId="1172268E" w14:textId="77777777" w:rsidR="00BF7ED6" w:rsidRDefault="00BF7ED6" w:rsidP="00BF7ED6">
      <w:pPr>
        <w:pStyle w:val="SemEspaamento"/>
      </w:pPr>
    </w:p>
    <w:p w14:paraId="633DD9FE" w14:textId="77777777" w:rsidR="00BF7ED6" w:rsidRDefault="00BF7ED6" w:rsidP="00BF7ED6">
      <w:pPr>
        <w:pStyle w:val="Ttulo1"/>
        <w:spacing w:before="0" w:after="0" w:line="240" w:lineRule="auto"/>
      </w:pPr>
      <w:r>
        <w:t>DA DOSIMETRIA DA PENA EM CASO DE CONDENAÇÃO</w:t>
      </w:r>
    </w:p>
    <w:p w14:paraId="56E0DF41" w14:textId="77777777" w:rsidR="00BF7ED6" w:rsidRPr="00547988" w:rsidRDefault="00BF7ED6" w:rsidP="00BF7ED6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Dosimetria – aplicação pena em grau mínimo – tráfico privilegiado</w:t>
      </w:r>
    </w:p>
    <w:p w14:paraId="0BE1B5BB" w14:textId="77777777" w:rsidR="00BF7ED6" w:rsidRDefault="00BF7ED6" w:rsidP="00BF7ED6">
      <w:pPr>
        <w:pStyle w:val="SemEspaamento"/>
      </w:pPr>
      <w:r>
        <w:t>Quando da dosimetria da pena, ela deve ser fixada com estrita observância do critério trifásico e do princípio da individualização, afastando-se qualquer exasperação sem base concreta, sobretudo porque a quantidade não é elevada e as circunstâncias judiciais são favoráveis.</w:t>
      </w:r>
    </w:p>
    <w:p w14:paraId="6D0576BC" w14:textId="77777777" w:rsidR="00BF7ED6" w:rsidRDefault="00BF7ED6" w:rsidP="00BF7ED6">
      <w:pPr>
        <w:pStyle w:val="SemEspaamento"/>
      </w:pPr>
      <w:r>
        <w:t>Na primeira fase, requer-se a fixação da pena-base no mínimo legal (5 anos de reclusão e 500 dias-multa), pois nada nos autos autoriza valoração negativa das circunstâncias do art. 59 do Código Penal, sendo certo que a pena-base deve se ater ao necessário e suficiente para reprovação e prevenção do delito.</w:t>
      </w:r>
    </w:p>
    <w:p w14:paraId="05A90628" w14:textId="77777777" w:rsidR="00BF7ED6" w:rsidRDefault="00BF7ED6" w:rsidP="00BF7ED6">
      <w:pPr>
        <w:pStyle w:val="SemEspaamento"/>
      </w:pPr>
      <w:r>
        <w:t>Ainda na primeira fase, mesmo considerando que a Lei de Drogas determina que o julgador observe, com preponderância, a natureza e a quantidade da substância, tal vetorial, no caso, não revela gravidade concreta extraordinária que justifique incremento, recomendando-se a manutenção do patamar mínimo.</w:t>
      </w:r>
    </w:p>
    <w:p w14:paraId="405DE9BF" w14:textId="77777777" w:rsidR="00BF7ED6" w:rsidRDefault="00BF7ED6" w:rsidP="00BF7ED6">
      <w:pPr>
        <w:pStyle w:val="SemEspaamento"/>
      </w:pPr>
      <w:r>
        <w:t xml:space="preserve">Na segunda fase, uma vez que o denunciado confessou a prática do crime, deve ser aplicada a atenuante da confissão espontânea, nos termos do art. 65, III, “d”, do </w:t>
      </w:r>
      <w:r>
        <w:lastRenderedPageBreak/>
        <w:t>Código Penal, com a redução que Vossa Excelência entender adequada dentro do juízo de dosimetria.</w:t>
      </w:r>
    </w:p>
    <w:p w14:paraId="6DDD2D95" w14:textId="77777777" w:rsidR="00BF7ED6" w:rsidRDefault="00BF7ED6" w:rsidP="00BF7ED6">
      <w:pPr>
        <w:pStyle w:val="SemEspaamento"/>
      </w:pPr>
      <w:r>
        <w:t>Na terceira fase, é indispensável a incidência da causa de diminuição do art. 33, § 4º, da Lei n. 11.343/06 (tráfico privilegiado), pois, presentes os requisitos legais, as penas podem ser reduzidas de 1/6 a 2/3, devendo o redutor incidir no grau máximo de 2/3, especialmente diante do contexto de menor gravidade concreta.</w:t>
      </w:r>
    </w:p>
    <w:p w14:paraId="592AAE3B" w14:textId="77777777" w:rsidR="00BF7ED6" w:rsidRDefault="00BF7ED6" w:rsidP="00BF7ED6">
      <w:pPr>
        <w:pStyle w:val="SemEspaamento"/>
      </w:pPr>
      <w:r>
        <w:t>Com a aplicação do redutor em seu patamar máximo (2/3), a pena final tenderá a situar-se abaixo de 4 anos, o que atrai a possibilidade de substituição da pena privativa de liberdade por restritivas de direitos, por preencher o requisito objetivo do art. 44 do Código Penal (pena não superior a quatro anos) e por se tratar de crime que, em regra, não envolve violência ou grave ameaça.</w:t>
      </w:r>
    </w:p>
    <w:p w14:paraId="556AE613" w14:textId="77777777" w:rsidR="00BF7ED6" w:rsidRDefault="00BF7ED6" w:rsidP="00BF7ED6">
      <w:pPr>
        <w:pStyle w:val="SemEspaamento"/>
      </w:pPr>
      <w:r>
        <w:t>Diante disso, requer-se, expressamente, a substituição da pena corporal por restritivas de direitos, nos termos do art. 44 e seus parágrafos, por ser medida suficiente e socialmente adequada ao caso concreto, caso ultrapassadas eventuais discussões sobre vedação legal específica.</w:t>
      </w:r>
    </w:p>
    <w:p w14:paraId="01093C2D" w14:textId="7A185C0B" w:rsidR="00BF7ED6" w:rsidRDefault="00BF7ED6" w:rsidP="00BF7ED6">
      <w:pPr>
        <w:pStyle w:val="SemEspaamento"/>
      </w:pPr>
      <w:r>
        <w:t>Por fim, requer que, na fixação da sanção pecuniária, seja observado o mínimo legal compatível com a pena concretamente aplicada, mantendo coerência com a pena privativa de liberdade estabelecida no patamar mínimo e reduzida na terceira fase, evitando-se descompasso sancionatório.</w:t>
      </w:r>
    </w:p>
    <w:p w14:paraId="69D297DD" w14:textId="77777777" w:rsidR="00BF7ED6" w:rsidRDefault="00BF7ED6" w:rsidP="00F37ABB">
      <w:pPr>
        <w:pStyle w:val="SemEspaamento"/>
      </w:pPr>
    </w:p>
    <w:p w14:paraId="2569510B" w14:textId="1C772C9A" w:rsidR="00CE7BED" w:rsidRDefault="00CE7BED" w:rsidP="00CE7BED">
      <w:pPr>
        <w:pStyle w:val="Ttulo1"/>
        <w:spacing w:before="0" w:after="0" w:line="240" w:lineRule="auto"/>
      </w:pPr>
      <w:r w:rsidRPr="00CE7BED">
        <w:t>DO PREQUESTIONAMENTO</w:t>
      </w:r>
    </w:p>
    <w:p w14:paraId="0914EA39" w14:textId="77777777" w:rsidR="00CE7BED" w:rsidRDefault="00CE7BED" w:rsidP="00CE7BED">
      <w:pPr>
        <w:pStyle w:val="SemEspaamento"/>
      </w:pPr>
      <w:r>
        <w:t>Para fins de viabilizar eventual interposição de Recurso Especial e/ou Recurso Extraordinário, requer o Apelante que este Egrégio Tribunal se manifeste expressamente sobre todas as teses devolvidas no presente recurso, especialmente quanto à ilicitude do ingresso domiciliar e à consequente exclusão das provas obtidas e derivadas, com enfrentamento direto da aplicação do art. 157 do CPP (inadmissibilidade/desentranhamento das provas ilícitas e por derivação) e do art. 386 do CPP (absolvição pela ausência de prova suficiente/materialidade lícita), evitando-se omissão sobre o ponto nuclear da apelação.</w:t>
      </w:r>
    </w:p>
    <w:p w14:paraId="026A3386" w14:textId="77777777" w:rsidR="00CE7BED" w:rsidRDefault="00CE7BED" w:rsidP="00CE7BED">
      <w:pPr>
        <w:pStyle w:val="SemEspaamento"/>
      </w:pPr>
    </w:p>
    <w:p w14:paraId="3F47529A" w14:textId="77777777" w:rsidR="00CE7BED" w:rsidRDefault="00CE7BED" w:rsidP="00CE7BED">
      <w:pPr>
        <w:pStyle w:val="SemEspaamento"/>
      </w:pPr>
      <w:r>
        <w:t>Requer, igualmente, pronunciamento claro acerca do fundamento constitucional da tese, notadamente a inviolabilidade do domicílio (art. 5º, XI, da CF), o devido processo legal, o contraditório e a ampla defesa (art. 5º, LIV e LV, da CF), bem como o dever de motivação adequada das decisões judiciais (art. 93, IX, da CF), consignando-se se o Colegiado reconhece (ou não) a nulidade do acervo probatório e suas consequências na higidez do édito condenatório.</w:t>
      </w:r>
    </w:p>
    <w:p w14:paraId="51C15941" w14:textId="77777777" w:rsidR="00CE7BED" w:rsidRDefault="00CE7BED" w:rsidP="00CE7BED">
      <w:pPr>
        <w:pStyle w:val="SemEspaamento"/>
      </w:pPr>
      <w:r>
        <w:t>Ainda para fins de prequestionamento, requer que conste do acórdão manifestação expressa sobre a tese subsidiária relativa à causa de diminuição do art. 33, § 4º, da Lei n. 11.343/06, com enfrentamento específico acerca do caráter vinculado da minorante quando presentes os requisitos legais (primariedade, bons antecedentes, não dedicação e não integração a organização criminosa), bem como sobre o patamar de redução aplicável no caso concreto, inclusive em relação à alegação de impossibilidade de negativa/modulação por critérios subjetivos não previstos em lei, conforme sustentado nas razões recursais.</w:t>
      </w:r>
    </w:p>
    <w:p w14:paraId="249238E2" w14:textId="22BCB5C3" w:rsidR="00CE7BED" w:rsidRDefault="00CE7BED" w:rsidP="00CE7BED">
      <w:pPr>
        <w:pStyle w:val="SemEspaamento"/>
      </w:pPr>
      <w:r>
        <w:t xml:space="preserve">Por cautela, requer-se que o acórdão enfrente, também, as consequências jurídicas decorrentes do acolhimento de qualquer das teses (absolvição por prova ilícita; ou, subsidiariamente, aplicação do redutor em patamar máximo e reflexos em pena final, regime e substituição), declarando de forma expressa e fundamentada as razões de acolhimento ou rejeição de cada ponto, a fim de assegurar o pré-questionamento explícito da matéria federal e constitucional </w:t>
      </w:r>
      <w:proofErr w:type="gramStart"/>
      <w:r>
        <w:t>debatida..</w:t>
      </w:r>
      <w:proofErr w:type="gramEnd"/>
    </w:p>
    <w:p w14:paraId="0143E9B4" w14:textId="77777777" w:rsidR="00CE7BED" w:rsidRPr="002F17C8" w:rsidRDefault="00CE7BED" w:rsidP="00F37ABB">
      <w:pPr>
        <w:pStyle w:val="SemEspaamento"/>
      </w:pPr>
    </w:p>
    <w:p w14:paraId="6623218C" w14:textId="77777777" w:rsidR="002D3115" w:rsidRDefault="002D3115" w:rsidP="002D3115">
      <w:pPr>
        <w:pStyle w:val="Ttulo1"/>
        <w:spacing w:before="0" w:after="0" w:line="240" w:lineRule="auto"/>
      </w:pPr>
      <w:r>
        <w:t>DO PEDIDO</w:t>
      </w:r>
    </w:p>
    <w:p w14:paraId="73E39172" w14:textId="77777777" w:rsidR="00B85546" w:rsidRDefault="00B85546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BC41E20" w14:textId="77777777" w:rsidR="00BF7ED6" w:rsidRDefault="009077CD" w:rsidP="009077CD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9077CD">
        <w:rPr>
          <w:rFonts w:ascii="Source Serif Pro" w:hAnsi="Source Serif Pro"/>
        </w:rPr>
        <w:t>Diante do exposto, requer o Apelante</w:t>
      </w:r>
      <w:r w:rsidR="00BF7ED6">
        <w:rPr>
          <w:rFonts w:ascii="Source Serif Pro" w:hAnsi="Source Serif Pro"/>
        </w:rPr>
        <w:t>:</w:t>
      </w:r>
    </w:p>
    <w:p w14:paraId="4AE3CA36" w14:textId="2159F3B9" w:rsidR="00BF7ED6" w:rsidRPr="003F6371" w:rsidRDefault="00BF7ED6" w:rsidP="00BF7ED6">
      <w:pPr>
        <w:pStyle w:val="PargrafodaLista"/>
        <w:numPr>
          <w:ilvl w:val="0"/>
          <w:numId w:val="34"/>
        </w:numPr>
        <w:spacing w:before="120" w:after="120" w:line="312" w:lineRule="auto"/>
        <w:contextualSpacing w:val="0"/>
        <w:jc w:val="both"/>
        <w:rPr>
          <w:rFonts w:ascii="Source Serif Pro" w:hAnsi="Source Serif Pro"/>
        </w:rPr>
      </w:pPr>
      <w:r w:rsidRPr="00421519">
        <w:rPr>
          <w:rFonts w:ascii="Source Serif Pro" w:hAnsi="Source Serif Pro"/>
          <w:b/>
          <w:bCs/>
        </w:rPr>
        <w:t>O RECONHECIMENTO DA ILICITUDE DO INGRESSO DOMICILIAR</w:t>
      </w:r>
      <w:r w:rsidRPr="00421519">
        <w:rPr>
          <w:rFonts w:ascii="Source Serif Pro" w:hAnsi="Source Serif Pro"/>
        </w:rPr>
        <w:t xml:space="preserve"> por ausência de fundadas razões e/ou de autorização voluntária devidamente comprovada, com a </w:t>
      </w:r>
      <w:r w:rsidRPr="00421519">
        <w:rPr>
          <w:rFonts w:ascii="Source Serif Pro" w:hAnsi="Source Serif Pro"/>
          <w:b/>
          <w:bCs/>
        </w:rPr>
        <w:t xml:space="preserve">CONSEQUENTE DECLARAÇÃO DE ILICITUDE DAS PROVAS OBTIDAS </w:t>
      </w:r>
      <w:r w:rsidRPr="00421519">
        <w:rPr>
          <w:rFonts w:ascii="Source Serif Pro" w:hAnsi="Source Serif Pro"/>
        </w:rPr>
        <w:t xml:space="preserve">no interior do imóvel e de todas as que delas derivaram (art. 157 do CPP), determinando-se o </w:t>
      </w:r>
      <w:r w:rsidRPr="00421519">
        <w:rPr>
          <w:rFonts w:ascii="Source Serif Pro" w:hAnsi="Source Serif Pro"/>
          <w:b/>
          <w:bCs/>
        </w:rPr>
        <w:t xml:space="preserve">DESENTRANHAMENTO DO MATERIAL </w:t>
      </w:r>
      <w:r w:rsidRPr="00421519">
        <w:rPr>
          <w:rFonts w:ascii="Source Serif Pro" w:hAnsi="Source Serif Pro"/>
          <w:b/>
          <w:bCs/>
        </w:rPr>
        <w:lastRenderedPageBreak/>
        <w:t xml:space="preserve">APREENDIDO </w:t>
      </w:r>
      <w:r w:rsidRPr="00421519">
        <w:rPr>
          <w:rFonts w:ascii="Source Serif Pro" w:hAnsi="Source Serif Pro"/>
        </w:rPr>
        <w:t xml:space="preserve">e, por consequência, a </w:t>
      </w:r>
      <w:r w:rsidRPr="00421519">
        <w:rPr>
          <w:rFonts w:ascii="Source Serif Pro" w:hAnsi="Source Serif Pro"/>
          <w:b/>
          <w:bCs/>
        </w:rPr>
        <w:t>ABSOLVIÇÃO DO ACUSADO POR AUSÊNCIA DE SUPORTE PROBATÓRIO</w:t>
      </w:r>
      <w:r w:rsidRPr="00421519">
        <w:rPr>
          <w:rFonts w:ascii="Source Serif Pro" w:hAnsi="Source Serif Pro"/>
        </w:rPr>
        <w:t xml:space="preserve"> lícito quanto à materialidade do delito (art. 386 do CPP), expedindo-se, se necessário, as comunicações e providências de estilo</w:t>
      </w:r>
      <w:r w:rsidRPr="003F6371">
        <w:rPr>
          <w:rFonts w:ascii="Source Serif Pro" w:hAnsi="Source Serif Pro"/>
        </w:rPr>
        <w:t>;</w:t>
      </w:r>
    </w:p>
    <w:p w14:paraId="1FD1558E" w14:textId="7DDC932F" w:rsidR="00BF7ED6" w:rsidRPr="003F6371" w:rsidRDefault="00BF7ED6" w:rsidP="00BF7ED6">
      <w:pPr>
        <w:pStyle w:val="PargrafodaLista"/>
        <w:numPr>
          <w:ilvl w:val="0"/>
          <w:numId w:val="34"/>
        </w:numPr>
        <w:spacing w:before="120" w:after="120" w:line="312" w:lineRule="auto"/>
        <w:contextualSpacing w:val="0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Caso outro seja o entendimento, a aplicação da</w:t>
      </w:r>
      <w:r w:rsidRPr="003F6371">
        <w:rPr>
          <w:rFonts w:ascii="Source Serif Pro" w:hAnsi="Source Serif Pro"/>
          <w:b/>
          <w:bCs/>
        </w:rPr>
        <w:t xml:space="preserve"> CAUSA ESPECIAL DE DIMINUIÇÃO DE PENA DO ART. 33, § 4º, DA LEI N. 11.343/06 (TRÁFICO PRIVILEGIADO)</w:t>
      </w:r>
      <w:r w:rsidRPr="003F6371">
        <w:rPr>
          <w:rFonts w:ascii="Source Serif Pro" w:hAnsi="Source Serif Pro"/>
        </w:rPr>
        <w:t>, por se tratar de direito subjetivo do acusado quando presentes os requisitos legais, vedada a negativa por critérios subjetivos ou por requisitos extralegais, conforme o Tema Repetitivo 1139 (REsp n. 1.977.027/PR);</w:t>
      </w:r>
    </w:p>
    <w:p w14:paraId="3CCBFD8E" w14:textId="77777777" w:rsidR="00BF7ED6" w:rsidRPr="003F6371" w:rsidRDefault="00BF7ED6" w:rsidP="00BF7ED6">
      <w:pPr>
        <w:pStyle w:val="PargrafodaLista"/>
        <w:numPr>
          <w:ilvl w:val="0"/>
          <w:numId w:val="34"/>
        </w:numPr>
        <w:spacing w:before="120" w:after="120" w:line="312" w:lineRule="auto"/>
        <w:contextualSpacing w:val="0"/>
        <w:jc w:val="both"/>
        <w:rPr>
          <w:rFonts w:ascii="Source Serif Pro" w:hAnsi="Source Serif Pro"/>
        </w:rPr>
      </w:pPr>
      <w:r w:rsidRPr="003F6371">
        <w:rPr>
          <w:rFonts w:ascii="Source Serif Pro" w:hAnsi="Source Serif Pro"/>
        </w:rPr>
        <w:t>Ainda de forma subsidiária, em caso de condenação pelo art. 33 (o que não se espera), requer, na dosimetria da pena:</w:t>
      </w:r>
    </w:p>
    <w:p w14:paraId="78CB09AC" w14:textId="77777777" w:rsidR="00BF7ED6" w:rsidRDefault="00BF7ED6" w:rsidP="00BF7ED6">
      <w:pPr>
        <w:pStyle w:val="PargrafodaLista"/>
        <w:numPr>
          <w:ilvl w:val="1"/>
          <w:numId w:val="34"/>
        </w:numPr>
        <w:spacing w:before="120" w:after="120" w:line="312" w:lineRule="auto"/>
        <w:ind w:left="1560" w:hanging="480"/>
        <w:contextualSpacing w:val="0"/>
        <w:jc w:val="both"/>
        <w:rPr>
          <w:rFonts w:ascii="Source Serif Pro" w:hAnsi="Source Serif Pro"/>
        </w:rPr>
      </w:pPr>
      <w:r w:rsidRPr="003F6371">
        <w:rPr>
          <w:rFonts w:ascii="Source Serif Pro" w:hAnsi="Source Serif Pro"/>
        </w:rPr>
        <w:t>na primeira fase, a fixação da pena-base no mínimo legal, diante da quantidade não elevada e da inexistência de circunstâncias judiciais desfavoráveis;</w:t>
      </w:r>
    </w:p>
    <w:p w14:paraId="203F0A91" w14:textId="77777777" w:rsidR="00BF7ED6" w:rsidRPr="003F6371" w:rsidRDefault="00BF7ED6" w:rsidP="00BF7ED6">
      <w:pPr>
        <w:pStyle w:val="PargrafodaLista"/>
        <w:numPr>
          <w:ilvl w:val="1"/>
          <w:numId w:val="34"/>
        </w:numPr>
        <w:spacing w:before="120" w:after="120" w:line="312" w:lineRule="auto"/>
        <w:ind w:left="1560" w:hanging="480"/>
        <w:contextualSpacing w:val="0"/>
        <w:jc w:val="both"/>
        <w:rPr>
          <w:rFonts w:ascii="Source Serif Pro" w:hAnsi="Source Serif Pro"/>
        </w:rPr>
      </w:pPr>
      <w:r w:rsidRPr="003F6371">
        <w:rPr>
          <w:rFonts w:ascii="Source Serif Pro" w:hAnsi="Source Serif Pro"/>
        </w:rPr>
        <w:t>na segunda fase, o reconhecimento da atenuante da confissão, se assim constar do conjunto probatório;</w:t>
      </w:r>
    </w:p>
    <w:p w14:paraId="2D85128D" w14:textId="77777777" w:rsidR="00BF7ED6" w:rsidRPr="003F6371" w:rsidRDefault="00BF7ED6" w:rsidP="00BF7ED6">
      <w:pPr>
        <w:pStyle w:val="PargrafodaLista"/>
        <w:numPr>
          <w:ilvl w:val="1"/>
          <w:numId w:val="34"/>
        </w:numPr>
        <w:spacing w:before="120" w:after="120" w:line="312" w:lineRule="auto"/>
        <w:ind w:left="1560" w:hanging="480"/>
        <w:contextualSpacing w:val="0"/>
        <w:jc w:val="both"/>
        <w:rPr>
          <w:rFonts w:ascii="Source Serif Pro" w:hAnsi="Source Serif Pro"/>
        </w:rPr>
      </w:pPr>
      <w:r w:rsidRPr="003F6371">
        <w:rPr>
          <w:rFonts w:ascii="Source Serif Pro" w:hAnsi="Source Serif Pro"/>
        </w:rPr>
        <w:t>na terceira fase, a aplicação do redutor do tráfico privilegiado no patamar máximo de 2/3, em consonância com a tese subsidiária acima;</w:t>
      </w:r>
    </w:p>
    <w:p w14:paraId="652575B3" w14:textId="77777777" w:rsidR="00BF7ED6" w:rsidRPr="003F6371" w:rsidRDefault="00BF7ED6" w:rsidP="00BF7ED6">
      <w:pPr>
        <w:pStyle w:val="PargrafodaLista"/>
        <w:numPr>
          <w:ilvl w:val="0"/>
          <w:numId w:val="34"/>
        </w:numPr>
        <w:spacing w:before="120" w:after="120" w:line="312" w:lineRule="auto"/>
        <w:contextualSpacing w:val="0"/>
        <w:jc w:val="both"/>
        <w:rPr>
          <w:rFonts w:ascii="Source Serif Pro" w:hAnsi="Source Serif Pro"/>
        </w:rPr>
      </w:pPr>
      <w:r w:rsidRPr="003F6371">
        <w:rPr>
          <w:rFonts w:ascii="Source Serif Pro" w:hAnsi="Source Serif Pro"/>
        </w:rPr>
        <w:t>Fixada a pena em patamar inferior a 4 (quatro) anos, requer a substituição da pena privativa de liberdade por penas restritivas de direitos, na forma legal, por ser medida suficiente e adequada ao caso concreto;</w:t>
      </w:r>
    </w:p>
    <w:p w14:paraId="7E35C7C3" w14:textId="77777777" w:rsidR="00E168D5" w:rsidRDefault="00E168D5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191844BF" w14:textId="2B873CD7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57962EEE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CE7BED">
        <w:rPr>
          <w:rFonts w:ascii="Source Serif Pro" w:hAnsi="Source Serif Pro"/>
          <w:noProof/>
        </w:rPr>
        <w:t>26 de dezembro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C0D0" w14:textId="77777777" w:rsidR="00AF5CE8" w:rsidRDefault="00AF5CE8" w:rsidP="00BA1F94">
      <w:pPr>
        <w:spacing w:after="0" w:line="240" w:lineRule="auto"/>
      </w:pPr>
      <w:r>
        <w:separator/>
      </w:r>
    </w:p>
  </w:endnote>
  <w:endnote w:type="continuationSeparator" w:id="0">
    <w:p w14:paraId="00724200" w14:textId="77777777" w:rsidR="00AF5CE8" w:rsidRDefault="00AF5CE8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32A23E0" w:rsidR="001E7DF5" w:rsidRPr="00D14593" w:rsidRDefault="00860199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32A6B654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www.guarnierimartins.com.br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 xml:space="preserve"> contato@guarnierimartins.com.br</w:t>
    </w:r>
    <w:proofErr w:type="gramEnd"/>
  </w:p>
  <w:p w14:paraId="1E5600C1" w14:textId="5A722ACD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>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EBD0A" w14:textId="77777777" w:rsidR="00AF5CE8" w:rsidRDefault="00AF5CE8" w:rsidP="00BA1F94">
      <w:pPr>
        <w:spacing w:after="0" w:line="240" w:lineRule="auto"/>
      </w:pPr>
      <w:r>
        <w:separator/>
      </w:r>
    </w:p>
  </w:footnote>
  <w:footnote w:type="continuationSeparator" w:id="0">
    <w:p w14:paraId="73028A48" w14:textId="77777777" w:rsidR="00AF5CE8" w:rsidRDefault="00AF5CE8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6EA408D7" w:rsidR="00585236" w:rsidRDefault="0083519F" w:rsidP="00585236">
    <w:pPr>
      <w:pStyle w:val="Cabealho"/>
      <w:jc w:val="center"/>
    </w:pPr>
    <w:r>
      <w:rPr>
        <w:noProof/>
      </w:rPr>
      <w:drawing>
        <wp:inline distT="0" distB="0" distL="0" distR="0" wp14:anchorId="25F41A04" wp14:editId="2096D350">
          <wp:extent cx="1905000" cy="795655"/>
          <wp:effectExtent l="0" t="0" r="0" b="4445"/>
          <wp:docPr id="967337052" name="Imagem 4" descr="Placa azul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337052" name="Imagem 4" descr="Placa azul com letras brancas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795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927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6528"/>
    <w:multiLevelType w:val="hybridMultilevel"/>
    <w:tmpl w:val="05AABD4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D252D"/>
    <w:multiLevelType w:val="hybridMultilevel"/>
    <w:tmpl w:val="446EA6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00EF456">
      <w:start w:val="1"/>
      <w:numFmt w:val="upperRoman"/>
      <w:lvlText w:val="(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9" w15:restartNumberingAfterBreak="0">
    <w:nsid w:val="52781C1E"/>
    <w:multiLevelType w:val="hybridMultilevel"/>
    <w:tmpl w:val="C284B9AE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1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2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5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8648E4"/>
    <w:multiLevelType w:val="hybridMultilevel"/>
    <w:tmpl w:val="2110CD96"/>
    <w:lvl w:ilvl="0" w:tplc="8B7480C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2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7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3"/>
  </w:num>
  <w:num w:numId="13" w16cid:durableId="1542085398">
    <w:abstractNumId w:val="9"/>
  </w:num>
  <w:num w:numId="14" w16cid:durableId="1800220788">
    <w:abstractNumId w:val="27"/>
  </w:num>
  <w:num w:numId="15" w16cid:durableId="189689990">
    <w:abstractNumId w:val="22"/>
  </w:num>
  <w:num w:numId="16" w16cid:durableId="106320463">
    <w:abstractNumId w:val="24"/>
  </w:num>
  <w:num w:numId="17" w16cid:durableId="757795001">
    <w:abstractNumId w:val="5"/>
  </w:num>
  <w:num w:numId="18" w16cid:durableId="507915239">
    <w:abstractNumId w:val="23"/>
  </w:num>
  <w:num w:numId="19" w16cid:durableId="985084700">
    <w:abstractNumId w:val="21"/>
  </w:num>
  <w:num w:numId="20" w16cid:durableId="700283364">
    <w:abstractNumId w:val="18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20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5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5"/>
  </w:num>
  <w:num w:numId="31" w16cid:durableId="939022436">
    <w:abstractNumId w:val="16"/>
  </w:num>
  <w:num w:numId="32" w16cid:durableId="1358387731">
    <w:abstractNumId w:val="26"/>
  </w:num>
  <w:num w:numId="33" w16cid:durableId="1918588421">
    <w:abstractNumId w:val="11"/>
  </w:num>
  <w:num w:numId="34" w16cid:durableId="468980014">
    <w:abstractNumId w:val="14"/>
  </w:num>
  <w:num w:numId="35" w16cid:durableId="13301312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5565"/>
    <w:rsid w:val="000633B8"/>
    <w:rsid w:val="000765C6"/>
    <w:rsid w:val="00082385"/>
    <w:rsid w:val="000911F8"/>
    <w:rsid w:val="000A234B"/>
    <w:rsid w:val="000B2591"/>
    <w:rsid w:val="001153D8"/>
    <w:rsid w:val="00144A4B"/>
    <w:rsid w:val="0015581C"/>
    <w:rsid w:val="00163268"/>
    <w:rsid w:val="0017232D"/>
    <w:rsid w:val="001828A8"/>
    <w:rsid w:val="001C6CE0"/>
    <w:rsid w:val="001E64BE"/>
    <w:rsid w:val="001E7DF5"/>
    <w:rsid w:val="001F3409"/>
    <w:rsid w:val="0021210F"/>
    <w:rsid w:val="0021462C"/>
    <w:rsid w:val="00255925"/>
    <w:rsid w:val="00265B72"/>
    <w:rsid w:val="002731A1"/>
    <w:rsid w:val="00293568"/>
    <w:rsid w:val="002C012C"/>
    <w:rsid w:val="002D3115"/>
    <w:rsid w:val="002E0484"/>
    <w:rsid w:val="002E6FB4"/>
    <w:rsid w:val="002F00FD"/>
    <w:rsid w:val="002F4394"/>
    <w:rsid w:val="00307183"/>
    <w:rsid w:val="00311836"/>
    <w:rsid w:val="00323EF9"/>
    <w:rsid w:val="00334B83"/>
    <w:rsid w:val="00335715"/>
    <w:rsid w:val="0035269F"/>
    <w:rsid w:val="003602F7"/>
    <w:rsid w:val="003A171C"/>
    <w:rsid w:val="003A1DD2"/>
    <w:rsid w:val="003A76A4"/>
    <w:rsid w:val="003A7CB9"/>
    <w:rsid w:val="003D1578"/>
    <w:rsid w:val="003F6371"/>
    <w:rsid w:val="0041600B"/>
    <w:rsid w:val="00421C44"/>
    <w:rsid w:val="004526A3"/>
    <w:rsid w:val="00462A1D"/>
    <w:rsid w:val="00466093"/>
    <w:rsid w:val="00473494"/>
    <w:rsid w:val="004A1397"/>
    <w:rsid w:val="004A7B6D"/>
    <w:rsid w:val="004B23AC"/>
    <w:rsid w:val="004C2B0E"/>
    <w:rsid w:val="004C78F2"/>
    <w:rsid w:val="004D5E43"/>
    <w:rsid w:val="004F6860"/>
    <w:rsid w:val="00502064"/>
    <w:rsid w:val="00510D1D"/>
    <w:rsid w:val="005271CA"/>
    <w:rsid w:val="00547988"/>
    <w:rsid w:val="00552F50"/>
    <w:rsid w:val="0056423A"/>
    <w:rsid w:val="005701F5"/>
    <w:rsid w:val="005702CF"/>
    <w:rsid w:val="00575469"/>
    <w:rsid w:val="0058460B"/>
    <w:rsid w:val="00585236"/>
    <w:rsid w:val="00596D6C"/>
    <w:rsid w:val="005A6E55"/>
    <w:rsid w:val="005B5CB7"/>
    <w:rsid w:val="005C54F8"/>
    <w:rsid w:val="005F47A7"/>
    <w:rsid w:val="00610767"/>
    <w:rsid w:val="00617C7C"/>
    <w:rsid w:val="00636660"/>
    <w:rsid w:val="00636D00"/>
    <w:rsid w:val="006419C1"/>
    <w:rsid w:val="0064461A"/>
    <w:rsid w:val="00660CFA"/>
    <w:rsid w:val="00673A8C"/>
    <w:rsid w:val="006A3AEB"/>
    <w:rsid w:val="006B1A62"/>
    <w:rsid w:val="006B1C85"/>
    <w:rsid w:val="006D5BE0"/>
    <w:rsid w:val="006E0323"/>
    <w:rsid w:val="006E26AE"/>
    <w:rsid w:val="006F33DE"/>
    <w:rsid w:val="007020CA"/>
    <w:rsid w:val="00716815"/>
    <w:rsid w:val="00720D57"/>
    <w:rsid w:val="00724E8D"/>
    <w:rsid w:val="00746620"/>
    <w:rsid w:val="00763304"/>
    <w:rsid w:val="00764F76"/>
    <w:rsid w:val="00782D26"/>
    <w:rsid w:val="007A0B17"/>
    <w:rsid w:val="007B7295"/>
    <w:rsid w:val="007D5C6D"/>
    <w:rsid w:val="007D5D4E"/>
    <w:rsid w:val="007E3DC1"/>
    <w:rsid w:val="007F0F05"/>
    <w:rsid w:val="00802A06"/>
    <w:rsid w:val="0081592C"/>
    <w:rsid w:val="008235F0"/>
    <w:rsid w:val="0083519F"/>
    <w:rsid w:val="00837FD8"/>
    <w:rsid w:val="0085250D"/>
    <w:rsid w:val="00860199"/>
    <w:rsid w:val="00880278"/>
    <w:rsid w:val="00884412"/>
    <w:rsid w:val="008B03CF"/>
    <w:rsid w:val="008B41F3"/>
    <w:rsid w:val="008F0F7D"/>
    <w:rsid w:val="00902436"/>
    <w:rsid w:val="009077CD"/>
    <w:rsid w:val="00915234"/>
    <w:rsid w:val="00924899"/>
    <w:rsid w:val="009825A3"/>
    <w:rsid w:val="00983A54"/>
    <w:rsid w:val="0099073D"/>
    <w:rsid w:val="009A601B"/>
    <w:rsid w:val="009D178E"/>
    <w:rsid w:val="009E098F"/>
    <w:rsid w:val="009F311E"/>
    <w:rsid w:val="00A01420"/>
    <w:rsid w:val="00A30F03"/>
    <w:rsid w:val="00A47F27"/>
    <w:rsid w:val="00A61153"/>
    <w:rsid w:val="00A73B53"/>
    <w:rsid w:val="00A82AD8"/>
    <w:rsid w:val="00A8787D"/>
    <w:rsid w:val="00A87D34"/>
    <w:rsid w:val="00A97C42"/>
    <w:rsid w:val="00AA08C3"/>
    <w:rsid w:val="00AA31B3"/>
    <w:rsid w:val="00AB2011"/>
    <w:rsid w:val="00AF5CE8"/>
    <w:rsid w:val="00B0317F"/>
    <w:rsid w:val="00B04357"/>
    <w:rsid w:val="00B15A4E"/>
    <w:rsid w:val="00B24A33"/>
    <w:rsid w:val="00B57D96"/>
    <w:rsid w:val="00B77BFB"/>
    <w:rsid w:val="00B77E49"/>
    <w:rsid w:val="00B85546"/>
    <w:rsid w:val="00B85981"/>
    <w:rsid w:val="00B968CC"/>
    <w:rsid w:val="00BA1F94"/>
    <w:rsid w:val="00BA5370"/>
    <w:rsid w:val="00BC6F5E"/>
    <w:rsid w:val="00BF64DD"/>
    <w:rsid w:val="00BF7ED6"/>
    <w:rsid w:val="00C01E5D"/>
    <w:rsid w:val="00C56908"/>
    <w:rsid w:val="00C86BDE"/>
    <w:rsid w:val="00C925C7"/>
    <w:rsid w:val="00C9595C"/>
    <w:rsid w:val="00C96CB7"/>
    <w:rsid w:val="00CA2809"/>
    <w:rsid w:val="00CA3287"/>
    <w:rsid w:val="00CB50FF"/>
    <w:rsid w:val="00CE6C3F"/>
    <w:rsid w:val="00CE7BED"/>
    <w:rsid w:val="00D03532"/>
    <w:rsid w:val="00D121F1"/>
    <w:rsid w:val="00D14593"/>
    <w:rsid w:val="00D343B2"/>
    <w:rsid w:val="00D37B62"/>
    <w:rsid w:val="00D75D54"/>
    <w:rsid w:val="00D7692D"/>
    <w:rsid w:val="00D934F0"/>
    <w:rsid w:val="00D94708"/>
    <w:rsid w:val="00DB0C17"/>
    <w:rsid w:val="00DB212A"/>
    <w:rsid w:val="00DB7797"/>
    <w:rsid w:val="00E168D5"/>
    <w:rsid w:val="00E260D2"/>
    <w:rsid w:val="00E60E76"/>
    <w:rsid w:val="00E70C92"/>
    <w:rsid w:val="00E81A8C"/>
    <w:rsid w:val="00EB489A"/>
    <w:rsid w:val="00ED0C3A"/>
    <w:rsid w:val="00ED2877"/>
    <w:rsid w:val="00EE0ABC"/>
    <w:rsid w:val="00F02F97"/>
    <w:rsid w:val="00F10092"/>
    <w:rsid w:val="00F3233A"/>
    <w:rsid w:val="00F35BC5"/>
    <w:rsid w:val="00F37ABB"/>
    <w:rsid w:val="00F37C97"/>
    <w:rsid w:val="00F46652"/>
    <w:rsid w:val="00F53D0B"/>
    <w:rsid w:val="00F81339"/>
    <w:rsid w:val="00F84566"/>
    <w:rsid w:val="00F85AD9"/>
    <w:rsid w:val="00F8728F"/>
    <w:rsid w:val="00F94532"/>
    <w:rsid w:val="00FA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BED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  <w:style w:type="paragraph" w:customStyle="1" w:styleId="1Padropargrafo">
    <w:name w:val="1. Padrão parágrafo"/>
    <w:basedOn w:val="Normal"/>
    <w:link w:val="1PadropargrafoChar"/>
    <w:qFormat/>
    <w:rsid w:val="004D5E43"/>
    <w:pPr>
      <w:spacing w:before="240" w:after="240" w:line="312" w:lineRule="auto"/>
      <w:ind w:firstLine="1134"/>
      <w:jc w:val="both"/>
    </w:pPr>
    <w:rPr>
      <w:rFonts w:ascii="Nunito" w:hAnsi="Nunito"/>
      <w:kern w:val="0"/>
      <w:sz w:val="22"/>
      <w:szCs w:val="22"/>
      <w14:ligatures w14:val="none"/>
    </w:rPr>
  </w:style>
  <w:style w:type="character" w:customStyle="1" w:styleId="1PadropargrafoChar">
    <w:name w:val="1. Padrão parágrafo Char"/>
    <w:basedOn w:val="Fontepargpadro"/>
    <w:link w:val="1Padropargrafo"/>
    <w:rsid w:val="004D5E43"/>
    <w:rPr>
      <w:rFonts w:ascii="Nunito" w:hAnsi="Nuni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2711</Words>
  <Characters>15131</Characters>
  <Application>Microsoft Office Word</Application>
  <DocSecurity>0</DocSecurity>
  <Lines>290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4</cp:revision>
  <cp:lastPrinted>2025-10-14T13:26:00Z</cp:lastPrinted>
  <dcterms:created xsi:type="dcterms:W3CDTF">2025-12-26T16:09:00Z</dcterms:created>
  <dcterms:modified xsi:type="dcterms:W3CDTF">2025-12-26T16:24:00Z</dcterms:modified>
</cp:coreProperties>
</file>