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4CD99" w14:textId="285F567A" w:rsidR="00132F90" w:rsidRPr="00132F90" w:rsidRDefault="00132F90" w:rsidP="00132F90">
      <w:pPr>
        <w:rPr>
          <w:b/>
          <w:bCs/>
        </w:rPr>
      </w:pPr>
      <w:r w:rsidRPr="00132F90">
        <w:rPr>
          <w:b/>
          <w:bCs/>
        </w:rPr>
        <w:t xml:space="preserve">1) Dispositivo legal central </w:t>
      </w:r>
    </w:p>
    <w:p w14:paraId="0C204A2A" w14:textId="77777777" w:rsidR="00132F90" w:rsidRPr="00132F90" w:rsidRDefault="00132F90" w:rsidP="00132F90">
      <w:pPr>
        <w:numPr>
          <w:ilvl w:val="0"/>
          <w:numId w:val="40"/>
        </w:numPr>
        <w:tabs>
          <w:tab w:val="clear" w:pos="720"/>
          <w:tab w:val="num" w:pos="1134"/>
        </w:tabs>
        <w:ind w:left="993"/>
      </w:pPr>
      <w:r w:rsidRPr="00132F90">
        <w:t xml:space="preserve">Art. 7º, XXI, da Lei 8.906/94 (com a Lei 13.245/2016): garante ao advogado assistir o cliente investigado “durante a apuração de infrações”, sob pena de nulidade absoluta do respectivo interrogatório ou depoimento e dos elementos subsequentes; permite “apresentar razões e quesitos” no curso da apuração. </w:t>
      </w:r>
      <w:hyperlink r:id="rId8" w:tgtFrame="_blank" w:history="1">
        <w:r w:rsidRPr="00132F90">
          <w:rPr>
            <w:rStyle w:val="Hyperlink"/>
          </w:rPr>
          <w:t>Palácio do Planalto+1</w:t>
        </w:r>
      </w:hyperlink>
    </w:p>
    <w:p w14:paraId="4DC9F02B" w14:textId="77777777" w:rsidR="00132F90" w:rsidRPr="00132F90" w:rsidRDefault="00132F90" w:rsidP="00132F90">
      <w:pPr>
        <w:numPr>
          <w:ilvl w:val="0"/>
          <w:numId w:val="40"/>
        </w:numPr>
        <w:tabs>
          <w:tab w:val="clear" w:pos="720"/>
          <w:tab w:val="num" w:pos="1134"/>
        </w:tabs>
        <w:ind w:left="993"/>
      </w:pPr>
      <w:r w:rsidRPr="00132F90">
        <w:t xml:space="preserve">A própria OAB e seccionais divulgam a redação consolidada e sua abrangência prática (assistir o investigado e apresentar quesitos). </w:t>
      </w:r>
      <w:hyperlink r:id="rId9" w:tgtFrame="_blank" w:history="1">
        <w:r w:rsidRPr="00132F90">
          <w:rPr>
            <w:rStyle w:val="Hyperlink"/>
          </w:rPr>
          <w:t>Prerrogativas OAB PR</w:t>
        </w:r>
      </w:hyperlink>
    </w:p>
    <w:p w14:paraId="570F8354" w14:textId="77777777" w:rsidR="00132F90" w:rsidRPr="00132F90" w:rsidRDefault="00132F90" w:rsidP="00132F90">
      <w:pPr>
        <w:ind w:left="360"/>
        <w:rPr>
          <w:b/>
          <w:bCs/>
        </w:rPr>
      </w:pPr>
      <w:r w:rsidRPr="00132F90">
        <w:rPr>
          <w:b/>
          <w:bCs/>
        </w:rPr>
        <w:t>2) Acesso e controle: relação com a Súmula Vinculante 14 (STF)</w:t>
      </w:r>
    </w:p>
    <w:p w14:paraId="092E01F7" w14:textId="77777777" w:rsidR="00132F90" w:rsidRPr="00132F90" w:rsidRDefault="00132F90" w:rsidP="00132F90">
      <w:pPr>
        <w:numPr>
          <w:ilvl w:val="0"/>
          <w:numId w:val="41"/>
        </w:numPr>
        <w:tabs>
          <w:tab w:val="clear" w:pos="720"/>
          <w:tab w:val="num" w:pos="1276"/>
        </w:tabs>
        <w:ind w:left="993"/>
      </w:pPr>
      <w:r w:rsidRPr="00132F90">
        <w:t xml:space="preserve">SV 14/STF assegura ao defensor acesso aos elementos de prova já documentados no procedimento investigatório, o que dá lastro para requerer acompanhamento útil dos atos e para formular quesitos informados (não cobre diligências em andamento). Use-a como reforço do poder de fiscalização defensiva. </w:t>
      </w:r>
      <w:hyperlink r:id="rId10" w:tgtFrame="_blank" w:history="1">
        <w:r w:rsidRPr="00132F90">
          <w:rPr>
            <w:rStyle w:val="Hyperlink"/>
          </w:rPr>
          <w:t>Supremo Tribunal Federal+2Notícias STF+2</w:t>
        </w:r>
      </w:hyperlink>
    </w:p>
    <w:p w14:paraId="450E090B" w14:textId="77777777" w:rsidR="00132F90" w:rsidRPr="00132F90" w:rsidRDefault="00132F90" w:rsidP="00132F90">
      <w:pPr>
        <w:ind w:left="360"/>
        <w:rPr>
          <w:b/>
          <w:bCs/>
        </w:rPr>
      </w:pPr>
      <w:r w:rsidRPr="00132F90">
        <w:rPr>
          <w:b/>
          <w:bCs/>
        </w:rPr>
        <w:t>3) Pode acompanhar testemunhas? (quadro prático + cenários)</w:t>
      </w:r>
    </w:p>
    <w:p w14:paraId="467DBA32" w14:textId="77777777" w:rsidR="00132F90" w:rsidRPr="00132F90" w:rsidRDefault="00132F90" w:rsidP="00132F90">
      <w:pPr>
        <w:numPr>
          <w:ilvl w:val="0"/>
          <w:numId w:val="42"/>
        </w:numPr>
        <w:tabs>
          <w:tab w:val="clear" w:pos="720"/>
          <w:tab w:val="num" w:pos="1276"/>
        </w:tabs>
        <w:ind w:left="1134"/>
      </w:pPr>
      <w:r w:rsidRPr="00132F90">
        <w:t xml:space="preserve">Tese favorável (majoritária na prática defensiva e cada vez mais acolhida): se o ato de oitiva de testemunha produz prova diretamente voltada ao cliente investigado, a presença do advogado é compatível com o art. 7º, XXI (assistência contínua na apuração) e com a alínea “a” (apresentar razões/quesitos). Há decisões reconhecendo nulidade/ilegalidade ao se impedir a defesa de acompanhar a oitiva na fase </w:t>
      </w:r>
      <w:proofErr w:type="spellStart"/>
      <w:r w:rsidRPr="00132F90">
        <w:t>pré</w:t>
      </w:r>
      <w:proofErr w:type="spellEnd"/>
      <w:r w:rsidRPr="00132F90">
        <w:t xml:space="preserve">-processual, inclusive com notícias oficiais de decisões judiciais em custódia que relaxaram flagrante por esse motivo. </w:t>
      </w:r>
      <w:hyperlink r:id="rId11" w:tgtFrame="_blank" w:history="1">
        <w:r w:rsidRPr="00132F90">
          <w:rPr>
            <w:rStyle w:val="Hyperlink"/>
          </w:rPr>
          <w:t>OAB Paraná</w:t>
        </w:r>
      </w:hyperlink>
    </w:p>
    <w:p w14:paraId="605CE9C7" w14:textId="77777777" w:rsidR="00132F90" w:rsidRPr="00132F90" w:rsidRDefault="00132F90" w:rsidP="00132F90">
      <w:pPr>
        <w:numPr>
          <w:ilvl w:val="0"/>
          <w:numId w:val="42"/>
        </w:numPr>
        <w:tabs>
          <w:tab w:val="clear" w:pos="720"/>
          <w:tab w:val="num" w:pos="1276"/>
        </w:tabs>
        <w:ind w:left="1134"/>
      </w:pPr>
      <w:r w:rsidRPr="00132F90">
        <w:t xml:space="preserve">Tese restritiva (posição encontrada em parte da jurisprudência): há julgados entendendo que o inciso XXI não confere ao advogado o direito de intervir ou participar da inquirição de terceiros (testemunhas), restringindo-se ao interrogatório/depoimento do próprio cliente; nesses casos, exige-se demonstração de prejuízo para arguir nulidade. (Use como risco argumentativo e já antecipe a distinção na peça.) </w:t>
      </w:r>
      <w:hyperlink r:id="rId12" w:tgtFrame="_blank" w:history="1">
        <w:r w:rsidRPr="00132F90">
          <w:rPr>
            <w:rStyle w:val="Hyperlink"/>
          </w:rPr>
          <w:t>Jus Brasil+1</w:t>
        </w:r>
      </w:hyperlink>
    </w:p>
    <w:p w14:paraId="67815A6C" w14:textId="77777777" w:rsidR="00132F90" w:rsidRPr="00132F90" w:rsidRDefault="00132F90" w:rsidP="00132F90">
      <w:pPr>
        <w:ind w:left="360"/>
        <w:rPr>
          <w:b/>
          <w:bCs/>
        </w:rPr>
      </w:pPr>
      <w:r w:rsidRPr="00132F90">
        <w:rPr>
          <w:b/>
          <w:bCs/>
        </w:rPr>
        <w:t>4) Atos normativos e referências úteis</w:t>
      </w:r>
    </w:p>
    <w:p w14:paraId="6876C6FC" w14:textId="77777777" w:rsidR="00132F90" w:rsidRPr="00132F90" w:rsidRDefault="00132F90" w:rsidP="00132F90">
      <w:pPr>
        <w:numPr>
          <w:ilvl w:val="0"/>
          <w:numId w:val="43"/>
        </w:numPr>
        <w:tabs>
          <w:tab w:val="clear" w:pos="720"/>
          <w:tab w:val="num" w:pos="1134"/>
        </w:tabs>
        <w:ind w:left="1134"/>
      </w:pPr>
      <w:r w:rsidRPr="00132F90">
        <w:t xml:space="preserve">Lei 13.245/2016 (que alterou o Estatuto): cite-a expressamente para mostrar que a prerrogativa alcança a fase investigatória em sentido amplo, inclusive apresentação de quesitos. </w:t>
      </w:r>
      <w:hyperlink r:id="rId13" w:tgtFrame="_blank" w:history="1">
        <w:r w:rsidRPr="00132F90">
          <w:rPr>
            <w:rStyle w:val="Hyperlink"/>
          </w:rPr>
          <w:t>Palácio do Planalto</w:t>
        </w:r>
      </w:hyperlink>
    </w:p>
    <w:p w14:paraId="2FBCA503" w14:textId="77777777" w:rsidR="00132F90" w:rsidRPr="00132F90" w:rsidRDefault="00132F90" w:rsidP="00132F90">
      <w:pPr>
        <w:numPr>
          <w:ilvl w:val="0"/>
          <w:numId w:val="43"/>
        </w:numPr>
        <w:tabs>
          <w:tab w:val="clear" w:pos="720"/>
          <w:tab w:val="num" w:pos="1134"/>
        </w:tabs>
        <w:ind w:left="1134"/>
      </w:pPr>
      <w:r w:rsidRPr="00132F90">
        <w:lastRenderedPageBreak/>
        <w:t xml:space="preserve">CNMP editou normas internas sobre acesso e atuação da defesa em investigações ministeriais, admitindo acompanhamento e vistas — argumento analógico para a investigação policial. </w:t>
      </w:r>
      <w:hyperlink r:id="rId14" w:tgtFrame="_blank" w:history="1">
        <w:r w:rsidRPr="00132F90">
          <w:rPr>
            <w:rStyle w:val="Hyperlink"/>
          </w:rPr>
          <w:t>OAB+1</w:t>
        </w:r>
      </w:hyperlink>
    </w:p>
    <w:p w14:paraId="73133A68" w14:textId="77777777" w:rsidR="00132F90" w:rsidRPr="00132F90" w:rsidRDefault="00132F90" w:rsidP="00132F90">
      <w:pPr>
        <w:numPr>
          <w:ilvl w:val="0"/>
          <w:numId w:val="43"/>
        </w:numPr>
        <w:tabs>
          <w:tab w:val="clear" w:pos="720"/>
          <w:tab w:val="num" w:pos="1134"/>
        </w:tabs>
        <w:ind w:left="1134"/>
      </w:pPr>
      <w:r w:rsidRPr="00132F90">
        <w:t xml:space="preserve">Artigos/doutrina pós-2016 reforçam a leitura ampliativa do inciso XXI (assistência contínua, apresentação de quesitos, controle defensivo na investigação). Use como apoio doutrinário. </w:t>
      </w:r>
      <w:hyperlink r:id="rId15" w:tgtFrame="_blank" w:history="1">
        <w:r w:rsidRPr="00132F90">
          <w:rPr>
            <w:rStyle w:val="Hyperlink"/>
          </w:rPr>
          <w:t>OAB</w:t>
        </w:r>
      </w:hyperlink>
    </w:p>
    <w:p w14:paraId="43B48B36" w14:textId="77777777" w:rsidR="00132F90" w:rsidRPr="00132F90" w:rsidRDefault="00132F90" w:rsidP="00132F90">
      <w:pPr>
        <w:ind w:left="360"/>
        <w:rPr>
          <w:b/>
          <w:bCs/>
        </w:rPr>
      </w:pPr>
      <w:r w:rsidRPr="00132F90">
        <w:rPr>
          <w:b/>
          <w:bCs/>
        </w:rPr>
        <w:t>5) Como pedir (requisitos práticos na petição)</w:t>
      </w:r>
    </w:p>
    <w:p w14:paraId="004D71F6" w14:textId="77777777" w:rsidR="00132F90" w:rsidRPr="00132F90" w:rsidRDefault="00132F90" w:rsidP="00132F90">
      <w:pPr>
        <w:numPr>
          <w:ilvl w:val="0"/>
          <w:numId w:val="44"/>
        </w:numPr>
        <w:tabs>
          <w:tab w:val="clear" w:pos="720"/>
        </w:tabs>
        <w:ind w:left="1134"/>
      </w:pPr>
      <w:r w:rsidRPr="00132F90">
        <w:t>Comprove a representação (mandato ou declaração de constituição) e a relação com o investigado;</w:t>
      </w:r>
    </w:p>
    <w:p w14:paraId="36198797" w14:textId="77777777" w:rsidR="00132F90" w:rsidRPr="00132F90" w:rsidRDefault="00132F90" w:rsidP="00132F90">
      <w:pPr>
        <w:numPr>
          <w:ilvl w:val="0"/>
          <w:numId w:val="44"/>
        </w:numPr>
        <w:tabs>
          <w:tab w:val="clear" w:pos="720"/>
        </w:tabs>
        <w:ind w:left="1134"/>
      </w:pPr>
      <w:r w:rsidRPr="00132F90">
        <w:t>Requeira assento/acompanhar o ato, sem intervir na dinâmica do depoimento, com possibilidade de apresentar quesitos (por escrito, antes ou ao final);</w:t>
      </w:r>
    </w:p>
    <w:p w14:paraId="0C737F8E" w14:textId="77777777" w:rsidR="00132F90" w:rsidRPr="00132F90" w:rsidRDefault="00132F90" w:rsidP="00132F90">
      <w:pPr>
        <w:numPr>
          <w:ilvl w:val="0"/>
          <w:numId w:val="44"/>
        </w:numPr>
        <w:tabs>
          <w:tab w:val="clear" w:pos="720"/>
        </w:tabs>
        <w:ind w:left="1134"/>
      </w:pPr>
      <w:r w:rsidRPr="00132F90">
        <w:t>Peça a gravação audiovisual da oitiva e a certidão de eventuais indeferimentos de quesitos;</w:t>
      </w:r>
    </w:p>
    <w:p w14:paraId="45F12854" w14:textId="77777777" w:rsidR="00132F90" w:rsidRPr="00132F90" w:rsidRDefault="00132F90" w:rsidP="00132F90">
      <w:pPr>
        <w:numPr>
          <w:ilvl w:val="0"/>
          <w:numId w:val="44"/>
        </w:numPr>
        <w:tabs>
          <w:tab w:val="clear" w:pos="720"/>
        </w:tabs>
        <w:ind w:left="1134"/>
      </w:pPr>
      <w:r w:rsidRPr="00132F90">
        <w:t>Fundamente com o art. 7º, XXI, “a” e SV 14; se houver resistência, peça decisão escrita para eventual controle judicial (habeas corpus/mandado de segurança).</w:t>
      </w:r>
    </w:p>
    <w:p w14:paraId="3DC37275" w14:textId="03A583D9" w:rsidR="0015581C" w:rsidRPr="00132F90" w:rsidRDefault="0015581C" w:rsidP="00132F90"/>
    <w:sectPr w:rsidR="0015581C" w:rsidRPr="00132F90" w:rsidSect="00466093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871" w:right="1531" w:bottom="1701" w:left="153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C153F" w14:textId="77777777" w:rsidR="0096016D" w:rsidRDefault="0096016D" w:rsidP="00BA1F94">
      <w:pPr>
        <w:spacing w:after="0" w:line="240" w:lineRule="auto"/>
      </w:pPr>
      <w:r>
        <w:separator/>
      </w:r>
    </w:p>
  </w:endnote>
  <w:endnote w:type="continuationSeparator" w:id="0">
    <w:p w14:paraId="1B59848E" w14:textId="77777777" w:rsidR="0096016D" w:rsidRDefault="0096016D" w:rsidP="00BA1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650358066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3A64ADC" w14:textId="2BDC5DF6" w:rsidR="001E7DF5" w:rsidRPr="00D14593" w:rsidRDefault="00A8787D" w:rsidP="00A8787D">
            <w:pPr>
              <w:pStyle w:val="Rodap"/>
              <w:tabs>
                <w:tab w:val="clear" w:pos="8504"/>
              </w:tabs>
              <w:ind w:right="55"/>
              <w:jc w:val="right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</w:t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Página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PAGE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 de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NUMPAGES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</w:p>
          <w:p w14:paraId="2A2DCB6D" w14:textId="5F65BC73" w:rsidR="001E7DF5" w:rsidRPr="00D14593" w:rsidRDefault="001E7DF5" w:rsidP="001E7DF5">
            <w:pPr>
              <w:pStyle w:val="Rodap"/>
              <w:ind w:right="57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</w:p>
          <w:p w14:paraId="6D2C8BFF" w14:textId="1A99C2F8" w:rsidR="001E7DF5" w:rsidRPr="00D14593" w:rsidRDefault="00000000" w:rsidP="001E7DF5">
            <w:pPr>
              <w:pStyle w:val="Rodap"/>
              <w:jc w:val="center"/>
              <w:rPr>
                <w:rFonts w:ascii="Source Sans Pro" w:hAnsi="Source Sans Pro"/>
                <w:color w:val="0B0F23"/>
                <w:sz w:val="18"/>
                <w:szCs w:val="18"/>
              </w:rPr>
            </w:pPr>
          </w:p>
        </w:sdtContent>
      </w:sdt>
    </w:sdtContent>
  </w:sdt>
  <w:p w14:paraId="13513B7C" w14:textId="77777777" w:rsidR="00A97C42" w:rsidRDefault="00A97C42" w:rsidP="00A97C42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25E8" w14:textId="1A7DB326" w:rsidR="00585236" w:rsidRPr="00A97C42" w:rsidRDefault="00585236" w:rsidP="00585236">
    <w:pPr>
      <w:pStyle w:val="Rodap"/>
      <w:tabs>
        <w:tab w:val="center" w:pos="4422"/>
      </w:tabs>
      <w:rPr>
        <w:rFonts w:ascii="Source Sans Pro" w:hAnsi="Source Sans Pro"/>
        <w:color w:val="0B0F23"/>
        <w:sz w:val="20"/>
        <w:szCs w:val="20"/>
      </w:rPr>
    </w:pPr>
    <w:r>
      <w:rPr>
        <w:rFonts w:ascii="Source Sans Pro" w:hAnsi="Source Sans Pro"/>
        <w:noProof/>
        <w:color w:val="0B0F23"/>
        <w:sz w:val="20"/>
        <w:szCs w:val="20"/>
      </w:rPr>
      <w:drawing>
        <wp:anchor distT="0" distB="0" distL="114300" distR="114300" simplePos="0" relativeHeight="251665408" behindDoc="0" locked="0" layoutInCell="1" allowOverlap="1" wp14:anchorId="634E67A2" wp14:editId="24282225">
          <wp:simplePos x="0" y="0"/>
          <wp:positionH relativeFrom="margin">
            <wp:posOffset>-778933</wp:posOffset>
          </wp:positionH>
          <wp:positionV relativeFrom="paragraph">
            <wp:posOffset>-71332</wp:posOffset>
          </wp:positionV>
          <wp:extent cx="677333" cy="677333"/>
          <wp:effectExtent l="0" t="0" r="0" b="0"/>
          <wp:wrapNone/>
          <wp:docPr id="1359222494" name="Imagem 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51004" name="Imagem 4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7333" cy="6773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ource Sans Pro" w:hAnsi="Source Sans Pro"/>
        <w:color w:val="0B0F23"/>
        <w:sz w:val="20"/>
        <w:szCs w:val="20"/>
      </w:rPr>
      <w:tab/>
    </w:r>
    <w:r w:rsidRPr="00A97C42">
      <w:rPr>
        <w:rFonts w:ascii="Source Sans Pro" w:hAnsi="Source Sans Pro"/>
        <w:color w:val="0B0F23"/>
        <w:sz w:val="20"/>
        <w:szCs w:val="20"/>
      </w:rPr>
      <w:t>Rua Goiás, 405, Sala 8, Jardim dos Estados, Campo Grande – MS, CEP 79020-100</w:t>
    </w:r>
  </w:p>
  <w:p w14:paraId="6B8D1470" w14:textId="77777777" w:rsidR="00585236" w:rsidRPr="00A97C42" w:rsidRDefault="00585236" w:rsidP="00585236">
    <w:pPr>
      <w:pStyle w:val="Rodap"/>
      <w:pBdr>
        <w:bar w:val="single" w:sz="12" w:color="auto"/>
      </w:pBdr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67AD86" wp14:editId="7878DD78">
              <wp:simplePos x="0" y="0"/>
              <wp:positionH relativeFrom="column">
                <wp:posOffset>2703868</wp:posOffset>
              </wp:positionH>
              <wp:positionV relativeFrom="paragraph">
                <wp:posOffset>42171</wp:posOffset>
              </wp:positionV>
              <wp:extent cx="0" cy="102072"/>
              <wp:effectExtent l="0" t="0" r="38100" b="31750"/>
              <wp:wrapNone/>
              <wp:docPr id="1237922341" name="Conector reto 12379223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072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A57093E" id="Conector reto 123792234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9pt,3.3pt" to="212.9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www.guarnierimartins.com.br   contato@guarnierimartins.com.br</w:t>
    </w:r>
  </w:p>
  <w:p w14:paraId="1E5600C1" w14:textId="77777777" w:rsidR="00585236" w:rsidRPr="00A97C42" w:rsidRDefault="00585236" w:rsidP="00585236">
    <w:pPr>
      <w:pStyle w:val="Rodap"/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FD54518" wp14:editId="43C89757">
              <wp:simplePos x="0" y="0"/>
              <wp:positionH relativeFrom="column">
                <wp:posOffset>2808978</wp:posOffset>
              </wp:positionH>
              <wp:positionV relativeFrom="paragraph">
                <wp:posOffset>34178</wp:posOffset>
              </wp:positionV>
              <wp:extent cx="0" cy="101600"/>
              <wp:effectExtent l="0" t="0" r="38100" b="31750"/>
              <wp:wrapNone/>
              <wp:docPr id="49682251" name="Conector reto 49682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600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C6B2B4" id="Conector reto 4968225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2pt,2.7pt" to="221.2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(67)9.9624-</w:t>
    </w:r>
    <w:proofErr w:type="gramStart"/>
    <w:r w:rsidRPr="00A97C42">
      <w:rPr>
        <w:rFonts w:ascii="Source Sans Pro" w:hAnsi="Source Sans Pro"/>
        <w:color w:val="0B0F23"/>
        <w:sz w:val="20"/>
        <w:szCs w:val="20"/>
      </w:rPr>
      <w:t>9366  (</w:t>
    </w:r>
    <w:proofErr w:type="gramEnd"/>
    <w:r w:rsidRPr="00A97C42">
      <w:rPr>
        <w:rFonts w:ascii="Source Sans Pro" w:hAnsi="Source Sans Pro"/>
        <w:color w:val="0B0F23"/>
        <w:sz w:val="20"/>
        <w:szCs w:val="20"/>
      </w:rPr>
      <w:t>67)9.9644-5176</w:t>
    </w:r>
  </w:p>
  <w:p w14:paraId="3232E14D" w14:textId="77777777" w:rsidR="00585236" w:rsidRDefault="005852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D922D" w14:textId="77777777" w:rsidR="0096016D" w:rsidRDefault="0096016D" w:rsidP="00BA1F94">
      <w:pPr>
        <w:spacing w:after="0" w:line="240" w:lineRule="auto"/>
      </w:pPr>
      <w:r>
        <w:separator/>
      </w:r>
    </w:p>
  </w:footnote>
  <w:footnote w:type="continuationSeparator" w:id="0">
    <w:p w14:paraId="7ADE1220" w14:textId="77777777" w:rsidR="0096016D" w:rsidRDefault="0096016D" w:rsidP="00BA1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DA00" w14:textId="5B5F714E" w:rsidR="00585236" w:rsidRDefault="006A3AEB" w:rsidP="00585236">
    <w:pPr>
      <w:pStyle w:val="Cabealho"/>
      <w:jc w:val="center"/>
    </w:pPr>
    <w:r>
      <w:rPr>
        <w:noProof/>
      </w:rPr>
      <w:drawing>
        <wp:inline distT="0" distB="0" distL="0" distR="0" wp14:anchorId="778A9DD7" wp14:editId="6925C674">
          <wp:extent cx="1208598" cy="1208598"/>
          <wp:effectExtent l="0" t="0" r="0" b="0"/>
          <wp:docPr id="34198828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6356165" name="Imagem 1" descr="Logotipo, nome da empresa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9275" cy="1219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D8C4" w14:textId="203C6475" w:rsidR="00585236" w:rsidRDefault="00585236" w:rsidP="00585236">
    <w:pPr>
      <w:pStyle w:val="Cabealho"/>
      <w:jc w:val="center"/>
    </w:pPr>
    <w:r>
      <w:rPr>
        <w:noProof/>
      </w:rPr>
      <w:drawing>
        <wp:inline distT="0" distB="0" distL="0" distR="0" wp14:anchorId="47E6A63C" wp14:editId="7E0F0D1D">
          <wp:extent cx="2340429" cy="1015704"/>
          <wp:effectExtent l="0" t="0" r="3175" b="0"/>
          <wp:docPr id="1756109678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8824789" name="Imagem 2" descr="Logotipo, nome da empresa&#10;&#10;O conteúdo gerado por IA pode estar incorreto."/>
                  <pic:cNvPicPr/>
                </pic:nvPicPr>
                <pic:blipFill rotWithShape="1">
                  <a:blip r:embed="rId1"/>
                  <a:srcRect l="3753" t="17935" r="9538" b="25544"/>
                  <a:stretch>
                    <a:fillRect/>
                  </a:stretch>
                </pic:blipFill>
                <pic:spPr bwMode="auto">
                  <a:xfrm>
                    <a:off x="0" y="0"/>
                    <a:ext cx="2387553" cy="10361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35D7"/>
    <w:multiLevelType w:val="multilevel"/>
    <w:tmpl w:val="9410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978E4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2" w15:restartNumberingAfterBreak="0">
    <w:nsid w:val="0E0A3EA2"/>
    <w:multiLevelType w:val="multilevel"/>
    <w:tmpl w:val="E13C60B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EC1582"/>
    <w:multiLevelType w:val="hybridMultilevel"/>
    <w:tmpl w:val="8FC6090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33FBA"/>
    <w:multiLevelType w:val="hybridMultilevel"/>
    <w:tmpl w:val="CFC07134"/>
    <w:lvl w:ilvl="0" w:tplc="1BC0FA0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46109A2"/>
    <w:multiLevelType w:val="multilevel"/>
    <w:tmpl w:val="5ADE8A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6" w15:restartNumberingAfterBreak="0">
    <w:nsid w:val="162B22D5"/>
    <w:multiLevelType w:val="hybridMultilevel"/>
    <w:tmpl w:val="9A3A1EFE"/>
    <w:lvl w:ilvl="0" w:tplc="F146C3D4">
      <w:start w:val="1"/>
      <w:numFmt w:val="decimal"/>
      <w:pStyle w:val="Ttulo1"/>
      <w:lvlText w:val="%1."/>
      <w:lvlJc w:val="left"/>
      <w:pPr>
        <w:ind w:left="6881" w:hanging="360"/>
      </w:pPr>
      <w:rPr>
        <w:rFonts w:ascii="Georgia" w:eastAsiaTheme="minorHAnsi" w:hAnsi="Georgia" w:cs="Segoe UI"/>
        <w:sz w:val="32"/>
        <w:szCs w:val="32"/>
      </w:rPr>
    </w:lvl>
    <w:lvl w:ilvl="1" w:tplc="588C811A">
      <w:start w:val="1"/>
      <w:numFmt w:val="decimal"/>
      <w:lvlText w:val="2.%2"/>
      <w:lvlJc w:val="left"/>
      <w:pPr>
        <w:ind w:left="4613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13DCD"/>
    <w:multiLevelType w:val="hybridMultilevel"/>
    <w:tmpl w:val="8FC6090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612FC"/>
    <w:multiLevelType w:val="multilevel"/>
    <w:tmpl w:val="DFEC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8E1"/>
    <w:multiLevelType w:val="multilevel"/>
    <w:tmpl w:val="F2C8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40309"/>
    <w:multiLevelType w:val="multilevel"/>
    <w:tmpl w:val="0610FB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1" w15:restartNumberingAfterBreak="0">
    <w:nsid w:val="1CBE5CD8"/>
    <w:multiLevelType w:val="multilevel"/>
    <w:tmpl w:val="355E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D2BFD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3" w15:restartNumberingAfterBreak="0">
    <w:nsid w:val="2C8809AB"/>
    <w:multiLevelType w:val="multilevel"/>
    <w:tmpl w:val="29EC8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011E4C"/>
    <w:multiLevelType w:val="hybridMultilevel"/>
    <w:tmpl w:val="60589AD0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309E62C0"/>
    <w:multiLevelType w:val="hybridMultilevel"/>
    <w:tmpl w:val="8FC6090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8561A3"/>
    <w:multiLevelType w:val="hybridMultilevel"/>
    <w:tmpl w:val="DAD224D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A383886"/>
    <w:multiLevelType w:val="multilevel"/>
    <w:tmpl w:val="68ECA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1E2C6B"/>
    <w:multiLevelType w:val="multilevel"/>
    <w:tmpl w:val="B8CC04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16647C"/>
    <w:multiLevelType w:val="multilevel"/>
    <w:tmpl w:val="54F2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6B60F8"/>
    <w:multiLevelType w:val="hybridMultilevel"/>
    <w:tmpl w:val="3E12C60C"/>
    <w:lvl w:ilvl="0" w:tplc="3F76E6A8">
      <w:start w:val="1"/>
      <w:numFmt w:val="decimal"/>
      <w:lvlText w:val="%1."/>
      <w:lvlJc w:val="left"/>
      <w:pPr>
        <w:ind w:left="5038" w:hanging="360"/>
      </w:pPr>
      <w:rPr>
        <w:rFonts w:hint="default"/>
        <w:color w:val="D1D1D1" w:themeColor="background2" w:themeShade="E6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49E24CF"/>
    <w:multiLevelType w:val="multilevel"/>
    <w:tmpl w:val="B454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3D070B"/>
    <w:multiLevelType w:val="hybridMultilevel"/>
    <w:tmpl w:val="CD7A6030"/>
    <w:lvl w:ilvl="0" w:tplc="F00EF456">
      <w:start w:val="1"/>
      <w:numFmt w:val="upperRoman"/>
      <w:lvlText w:val="(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D1AD0"/>
    <w:multiLevelType w:val="multilevel"/>
    <w:tmpl w:val="849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566DD7"/>
    <w:multiLevelType w:val="multilevel"/>
    <w:tmpl w:val="46EC5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1C2BE5"/>
    <w:multiLevelType w:val="multilevel"/>
    <w:tmpl w:val="7B1A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B87C38"/>
    <w:multiLevelType w:val="hybridMultilevel"/>
    <w:tmpl w:val="6116E5EC"/>
    <w:lvl w:ilvl="0" w:tplc="0416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50F630A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28" w15:restartNumberingAfterBreak="0">
    <w:nsid w:val="52B11416"/>
    <w:multiLevelType w:val="multilevel"/>
    <w:tmpl w:val="63F0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14578E"/>
    <w:multiLevelType w:val="multilevel"/>
    <w:tmpl w:val="591C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342FE5"/>
    <w:multiLevelType w:val="multilevel"/>
    <w:tmpl w:val="3DCE86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31" w15:restartNumberingAfterBreak="0">
    <w:nsid w:val="58C250B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32" w15:restartNumberingAfterBreak="0">
    <w:nsid w:val="5AF11F06"/>
    <w:multiLevelType w:val="multilevel"/>
    <w:tmpl w:val="A7FC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FB14A7"/>
    <w:multiLevelType w:val="multilevel"/>
    <w:tmpl w:val="F72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881B0C"/>
    <w:multiLevelType w:val="multilevel"/>
    <w:tmpl w:val="8C24E7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35" w15:restartNumberingAfterBreak="0">
    <w:nsid w:val="755509C7"/>
    <w:multiLevelType w:val="hybridMultilevel"/>
    <w:tmpl w:val="8D6621B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A17A44"/>
    <w:multiLevelType w:val="hybridMultilevel"/>
    <w:tmpl w:val="97565F8C"/>
    <w:lvl w:ilvl="0" w:tplc="F00EF456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21" w:hanging="360"/>
      </w:pPr>
    </w:lvl>
    <w:lvl w:ilvl="2" w:tplc="0416001B" w:tentative="1">
      <w:start w:val="1"/>
      <w:numFmt w:val="lowerRoman"/>
      <w:lvlText w:val="%3."/>
      <w:lvlJc w:val="right"/>
      <w:pPr>
        <w:ind w:left="3441" w:hanging="180"/>
      </w:pPr>
    </w:lvl>
    <w:lvl w:ilvl="3" w:tplc="0416000F" w:tentative="1">
      <w:start w:val="1"/>
      <w:numFmt w:val="decimal"/>
      <w:lvlText w:val="%4."/>
      <w:lvlJc w:val="left"/>
      <w:pPr>
        <w:ind w:left="4161" w:hanging="360"/>
      </w:pPr>
    </w:lvl>
    <w:lvl w:ilvl="4" w:tplc="04160019" w:tentative="1">
      <w:start w:val="1"/>
      <w:numFmt w:val="lowerLetter"/>
      <w:lvlText w:val="%5."/>
      <w:lvlJc w:val="left"/>
      <w:pPr>
        <w:ind w:left="4881" w:hanging="360"/>
      </w:pPr>
    </w:lvl>
    <w:lvl w:ilvl="5" w:tplc="0416001B" w:tentative="1">
      <w:start w:val="1"/>
      <w:numFmt w:val="lowerRoman"/>
      <w:lvlText w:val="%6."/>
      <w:lvlJc w:val="right"/>
      <w:pPr>
        <w:ind w:left="5601" w:hanging="180"/>
      </w:pPr>
    </w:lvl>
    <w:lvl w:ilvl="6" w:tplc="0416000F" w:tentative="1">
      <w:start w:val="1"/>
      <w:numFmt w:val="decimal"/>
      <w:lvlText w:val="%7."/>
      <w:lvlJc w:val="left"/>
      <w:pPr>
        <w:ind w:left="6321" w:hanging="360"/>
      </w:pPr>
    </w:lvl>
    <w:lvl w:ilvl="7" w:tplc="04160019" w:tentative="1">
      <w:start w:val="1"/>
      <w:numFmt w:val="lowerLetter"/>
      <w:lvlText w:val="%8."/>
      <w:lvlJc w:val="left"/>
      <w:pPr>
        <w:ind w:left="7041" w:hanging="360"/>
      </w:pPr>
    </w:lvl>
    <w:lvl w:ilvl="8" w:tplc="0416001B" w:tentative="1">
      <w:start w:val="1"/>
      <w:numFmt w:val="lowerRoman"/>
      <w:lvlText w:val="%9."/>
      <w:lvlJc w:val="right"/>
      <w:pPr>
        <w:ind w:left="7761" w:hanging="180"/>
      </w:pPr>
    </w:lvl>
  </w:abstractNum>
  <w:num w:numId="1" w16cid:durableId="1326385">
    <w:abstractNumId w:val="6"/>
  </w:num>
  <w:num w:numId="2" w16cid:durableId="1455253303">
    <w:abstractNumId w:val="20"/>
  </w:num>
  <w:num w:numId="3" w16cid:durableId="555554971">
    <w:abstractNumId w:val="6"/>
  </w:num>
  <w:num w:numId="4" w16cid:durableId="1971129295">
    <w:abstractNumId w:val="6"/>
  </w:num>
  <w:num w:numId="5" w16cid:durableId="555433521">
    <w:abstractNumId w:val="6"/>
  </w:num>
  <w:num w:numId="6" w16cid:durableId="376053507">
    <w:abstractNumId w:val="6"/>
  </w:num>
  <w:num w:numId="7" w16cid:durableId="1819492703">
    <w:abstractNumId w:val="4"/>
  </w:num>
  <w:num w:numId="8" w16cid:durableId="214002896">
    <w:abstractNumId w:val="14"/>
  </w:num>
  <w:num w:numId="9" w16cid:durableId="1186557910">
    <w:abstractNumId w:val="26"/>
  </w:num>
  <w:num w:numId="10" w16cid:durableId="45959775">
    <w:abstractNumId w:val="6"/>
  </w:num>
  <w:num w:numId="11" w16cid:durableId="698555142">
    <w:abstractNumId w:val="6"/>
  </w:num>
  <w:num w:numId="12" w16cid:durableId="169760788">
    <w:abstractNumId w:val="22"/>
  </w:num>
  <w:num w:numId="13" w16cid:durableId="1542085398">
    <w:abstractNumId w:val="16"/>
  </w:num>
  <w:num w:numId="14" w16cid:durableId="1800220788">
    <w:abstractNumId w:val="36"/>
  </w:num>
  <w:num w:numId="15" w16cid:durableId="189689990">
    <w:abstractNumId w:val="32"/>
  </w:num>
  <w:num w:numId="16" w16cid:durableId="106320463">
    <w:abstractNumId w:val="34"/>
  </w:num>
  <w:num w:numId="17" w16cid:durableId="757795001">
    <w:abstractNumId w:val="10"/>
  </w:num>
  <w:num w:numId="18" w16cid:durableId="507915239">
    <w:abstractNumId w:val="33"/>
  </w:num>
  <w:num w:numId="19" w16cid:durableId="985084700">
    <w:abstractNumId w:val="31"/>
  </w:num>
  <w:num w:numId="20" w16cid:durableId="700283364">
    <w:abstractNumId w:val="27"/>
  </w:num>
  <w:num w:numId="21" w16cid:durableId="895627114">
    <w:abstractNumId w:val="12"/>
  </w:num>
  <w:num w:numId="22" w16cid:durableId="2089496448">
    <w:abstractNumId w:val="6"/>
  </w:num>
  <w:num w:numId="23" w16cid:durableId="561600074">
    <w:abstractNumId w:val="1"/>
  </w:num>
  <w:num w:numId="24" w16cid:durableId="278606713">
    <w:abstractNumId w:val="30"/>
  </w:num>
  <w:num w:numId="25" w16cid:durableId="556820897">
    <w:abstractNumId w:val="9"/>
  </w:num>
  <w:num w:numId="26" w16cid:durableId="648704854">
    <w:abstractNumId w:val="5"/>
  </w:num>
  <w:num w:numId="27" w16cid:durableId="1146168893">
    <w:abstractNumId w:val="23"/>
  </w:num>
  <w:num w:numId="28" w16cid:durableId="1280070271">
    <w:abstractNumId w:val="11"/>
  </w:num>
  <w:num w:numId="29" w16cid:durableId="1163280356">
    <w:abstractNumId w:val="18"/>
  </w:num>
  <w:num w:numId="30" w16cid:durableId="1479685322">
    <w:abstractNumId w:val="35"/>
  </w:num>
  <w:num w:numId="31" w16cid:durableId="1086999120">
    <w:abstractNumId w:val="2"/>
  </w:num>
  <w:num w:numId="32" w16cid:durableId="1193301569">
    <w:abstractNumId w:val="13"/>
  </w:num>
  <w:num w:numId="33" w16cid:durableId="63963222">
    <w:abstractNumId w:val="24"/>
  </w:num>
  <w:num w:numId="34" w16cid:durableId="1967274072">
    <w:abstractNumId w:val="0"/>
  </w:num>
  <w:num w:numId="35" w16cid:durableId="717507049">
    <w:abstractNumId w:val="17"/>
  </w:num>
  <w:num w:numId="36" w16cid:durableId="631835873">
    <w:abstractNumId w:val="21"/>
  </w:num>
  <w:num w:numId="37" w16cid:durableId="1731685817">
    <w:abstractNumId w:val="3"/>
  </w:num>
  <w:num w:numId="38" w16cid:durableId="449395237">
    <w:abstractNumId w:val="7"/>
  </w:num>
  <w:num w:numId="39" w16cid:durableId="664668233">
    <w:abstractNumId w:val="15"/>
  </w:num>
  <w:num w:numId="40" w16cid:durableId="1270968562">
    <w:abstractNumId w:val="19"/>
  </w:num>
  <w:num w:numId="41" w16cid:durableId="1255867086">
    <w:abstractNumId w:val="29"/>
  </w:num>
  <w:num w:numId="42" w16cid:durableId="299655943">
    <w:abstractNumId w:val="25"/>
  </w:num>
  <w:num w:numId="43" w16cid:durableId="1443457158">
    <w:abstractNumId w:val="28"/>
  </w:num>
  <w:num w:numId="44" w16cid:durableId="4288175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56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72"/>
    <w:rsid w:val="00021F5D"/>
    <w:rsid w:val="000911F8"/>
    <w:rsid w:val="001153D8"/>
    <w:rsid w:val="00132F90"/>
    <w:rsid w:val="00144A4B"/>
    <w:rsid w:val="0015581C"/>
    <w:rsid w:val="00163268"/>
    <w:rsid w:val="001C4B1F"/>
    <w:rsid w:val="001C6CE0"/>
    <w:rsid w:val="001E7DF5"/>
    <w:rsid w:val="001F3409"/>
    <w:rsid w:val="0021462C"/>
    <w:rsid w:val="002518EB"/>
    <w:rsid w:val="00255925"/>
    <w:rsid w:val="00265B72"/>
    <w:rsid w:val="002731A1"/>
    <w:rsid w:val="002D3115"/>
    <w:rsid w:val="002E0484"/>
    <w:rsid w:val="00307183"/>
    <w:rsid w:val="00335715"/>
    <w:rsid w:val="0035269F"/>
    <w:rsid w:val="003602F7"/>
    <w:rsid w:val="003A76A4"/>
    <w:rsid w:val="00421C44"/>
    <w:rsid w:val="00462A1D"/>
    <w:rsid w:val="00466093"/>
    <w:rsid w:val="00473494"/>
    <w:rsid w:val="004A1397"/>
    <w:rsid w:val="004C2B0E"/>
    <w:rsid w:val="004F6860"/>
    <w:rsid w:val="00510D1D"/>
    <w:rsid w:val="00547988"/>
    <w:rsid w:val="0056423A"/>
    <w:rsid w:val="005702CF"/>
    <w:rsid w:val="00585236"/>
    <w:rsid w:val="00596D6C"/>
    <w:rsid w:val="005C54F8"/>
    <w:rsid w:val="00636D00"/>
    <w:rsid w:val="006419C1"/>
    <w:rsid w:val="00673A8C"/>
    <w:rsid w:val="006A3AEB"/>
    <w:rsid w:val="006E26AE"/>
    <w:rsid w:val="006F33DE"/>
    <w:rsid w:val="007020CA"/>
    <w:rsid w:val="00716815"/>
    <w:rsid w:val="00720D57"/>
    <w:rsid w:val="007A0B17"/>
    <w:rsid w:val="007B7295"/>
    <w:rsid w:val="007E3DC1"/>
    <w:rsid w:val="007F0F05"/>
    <w:rsid w:val="00802A06"/>
    <w:rsid w:val="0081592C"/>
    <w:rsid w:val="0087085D"/>
    <w:rsid w:val="008A7BC6"/>
    <w:rsid w:val="00902436"/>
    <w:rsid w:val="009144B8"/>
    <w:rsid w:val="00915234"/>
    <w:rsid w:val="0096016D"/>
    <w:rsid w:val="0098005A"/>
    <w:rsid w:val="00983A54"/>
    <w:rsid w:val="0099073D"/>
    <w:rsid w:val="009E098F"/>
    <w:rsid w:val="009F311E"/>
    <w:rsid w:val="00A01420"/>
    <w:rsid w:val="00A73B53"/>
    <w:rsid w:val="00A82AD8"/>
    <w:rsid w:val="00A8787D"/>
    <w:rsid w:val="00A87D34"/>
    <w:rsid w:val="00A97C42"/>
    <w:rsid w:val="00AA31B3"/>
    <w:rsid w:val="00AB2011"/>
    <w:rsid w:val="00B165D9"/>
    <w:rsid w:val="00B24A33"/>
    <w:rsid w:val="00B57D96"/>
    <w:rsid w:val="00B77E49"/>
    <w:rsid w:val="00B85981"/>
    <w:rsid w:val="00B968CC"/>
    <w:rsid w:val="00BA1F94"/>
    <w:rsid w:val="00BA5370"/>
    <w:rsid w:val="00BC6F5E"/>
    <w:rsid w:val="00BF64DD"/>
    <w:rsid w:val="00C56908"/>
    <w:rsid w:val="00C86BDE"/>
    <w:rsid w:val="00C925C7"/>
    <w:rsid w:val="00CA2809"/>
    <w:rsid w:val="00D14593"/>
    <w:rsid w:val="00D934F0"/>
    <w:rsid w:val="00DB7797"/>
    <w:rsid w:val="00E260D2"/>
    <w:rsid w:val="00ED0C3A"/>
    <w:rsid w:val="00EE0ABC"/>
    <w:rsid w:val="00F10092"/>
    <w:rsid w:val="00F37C97"/>
    <w:rsid w:val="00F53D0B"/>
    <w:rsid w:val="00F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FC648D"/>
  <w15:chartTrackingRefBased/>
  <w15:docId w15:val="{DF4780CB-8A08-4C33-9958-4D40C0AA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494"/>
  </w:style>
  <w:style w:type="paragraph" w:styleId="Ttulo1">
    <w:name w:val="heading 1"/>
    <w:basedOn w:val="PargrafodaLista"/>
    <w:next w:val="Normal"/>
    <w:link w:val="Ttulo1Char"/>
    <w:autoRedefine/>
    <w:uiPriority w:val="9"/>
    <w:qFormat/>
    <w:rsid w:val="007A0B17"/>
    <w:pPr>
      <w:numPr>
        <w:numId w:val="1"/>
      </w:numPr>
      <w:spacing w:before="360" w:after="360"/>
      <w:ind w:left="283" w:hanging="357"/>
      <w:contextualSpacing w:val="0"/>
      <w:outlineLvl w:val="0"/>
    </w:pPr>
    <w:rPr>
      <w:rFonts w:ascii="Georgia" w:hAnsi="Georgia" w:cs="Segoe UI"/>
      <w:b/>
      <w:bCs/>
      <w:sz w:val="28"/>
      <w:szCs w:val="28"/>
    </w:rPr>
  </w:style>
  <w:style w:type="paragraph" w:styleId="Ttulo2">
    <w:name w:val="heading 2"/>
    <w:aliases w:val="Subtítulo 1"/>
    <w:basedOn w:val="Ttulo1"/>
    <w:next w:val="Normal"/>
    <w:link w:val="Ttulo2Char"/>
    <w:autoRedefine/>
    <w:uiPriority w:val="9"/>
    <w:unhideWhenUsed/>
    <w:qFormat/>
    <w:rsid w:val="003A76A4"/>
    <w:pPr>
      <w:keepNext/>
      <w:numPr>
        <w:numId w:val="0"/>
      </w:numPr>
      <w:tabs>
        <w:tab w:val="left" w:pos="851"/>
      </w:tabs>
      <w:spacing w:before="240" w:after="0" w:line="240" w:lineRule="auto"/>
      <w:ind w:left="709" w:hanging="425"/>
      <w:outlineLvl w:val="1"/>
    </w:pPr>
    <w:rPr>
      <w:color w:val="1A0CA4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5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5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0B17"/>
    <w:rPr>
      <w:rFonts w:ascii="Georgia" w:hAnsi="Georgia" w:cs="Segoe UI"/>
      <w:b/>
      <w:bCs/>
      <w:sz w:val="28"/>
      <w:szCs w:val="28"/>
    </w:rPr>
  </w:style>
  <w:style w:type="character" w:customStyle="1" w:styleId="Ttulo2Char">
    <w:name w:val="Título 2 Char"/>
    <w:aliases w:val="Subtítulo 1 Char"/>
    <w:basedOn w:val="Fontepargpadro"/>
    <w:link w:val="Ttulo2"/>
    <w:uiPriority w:val="9"/>
    <w:rsid w:val="003A76A4"/>
    <w:rPr>
      <w:rFonts w:ascii="Georgia" w:hAnsi="Georgia" w:cs="Segoe UI"/>
      <w:b/>
      <w:bCs/>
      <w:color w:val="1A0CA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5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5B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5B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5B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5B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5B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5B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autoRedefine/>
    <w:uiPriority w:val="11"/>
    <w:qFormat/>
    <w:rsid w:val="007020CA"/>
    <w:pPr>
      <w:pBdr>
        <w:top w:val="single" w:sz="4" w:space="1" w:color="auto"/>
      </w:pBdr>
      <w:shd w:val="clear" w:color="auto" w:fill="FFFFFF" w:themeFill="background1"/>
      <w:spacing w:after="240"/>
      <w:ind w:left="709"/>
    </w:pPr>
    <w:rPr>
      <w:rFonts w:ascii="Source Serif Pro" w:hAnsi="Source Serif Pro"/>
      <w:i/>
      <w:iCs/>
      <w:shd w:val="clear" w:color="auto" w:fill="FFFFFF" w:themeFill="background1"/>
    </w:rPr>
  </w:style>
  <w:style w:type="character" w:customStyle="1" w:styleId="SubttuloChar">
    <w:name w:val="Subtítulo Char"/>
    <w:basedOn w:val="Fontepargpadro"/>
    <w:link w:val="Subttulo"/>
    <w:uiPriority w:val="11"/>
    <w:rsid w:val="007020CA"/>
    <w:rPr>
      <w:rFonts w:ascii="Source Serif Pro" w:hAnsi="Source Serif Pro"/>
      <w:i/>
      <w:iCs/>
      <w:shd w:val="clear" w:color="auto" w:fill="FFFFFF" w:themeFill="background1"/>
    </w:rPr>
  </w:style>
  <w:style w:type="paragraph" w:styleId="Citao">
    <w:name w:val="Quote"/>
    <w:basedOn w:val="Normal"/>
    <w:next w:val="Normal"/>
    <w:link w:val="CitaoChar"/>
    <w:uiPriority w:val="29"/>
    <w:qFormat/>
    <w:rsid w:val="0026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5B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5B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5B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5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5B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5B7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1F94"/>
  </w:style>
  <w:style w:type="paragraph" w:styleId="Rodap">
    <w:name w:val="footer"/>
    <w:basedOn w:val="Normal"/>
    <w:link w:val="Rodap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1F94"/>
  </w:style>
  <w:style w:type="paragraph" w:styleId="SemEspaamento">
    <w:name w:val="No Spacing"/>
    <w:aliases w:val="Padrão 1"/>
    <w:basedOn w:val="PargrafodaLista"/>
    <w:autoRedefine/>
    <w:uiPriority w:val="1"/>
    <w:qFormat/>
    <w:rsid w:val="00163268"/>
    <w:pPr>
      <w:tabs>
        <w:tab w:val="left" w:pos="993"/>
      </w:tabs>
      <w:spacing w:before="220" w:after="220" w:line="312" w:lineRule="auto"/>
      <w:ind w:left="0" w:firstLine="567"/>
      <w:contextualSpacing w:val="0"/>
      <w:jc w:val="both"/>
    </w:pPr>
    <w:rPr>
      <w:rFonts w:ascii="Source Serif Pro" w:hAnsi="Source Serif Pro"/>
    </w:rPr>
  </w:style>
  <w:style w:type="character" w:styleId="Hyperlink">
    <w:name w:val="Hyperlink"/>
    <w:basedOn w:val="Fontepargpadro"/>
    <w:uiPriority w:val="99"/>
    <w:unhideWhenUsed/>
    <w:rsid w:val="00F37C9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7C97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C6CE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C6CE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C6CE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leis/l8906.htm?utm_source=chatgpt.com" TargetMode="External"/><Relationship Id="rId13" Type="http://schemas.openxmlformats.org/officeDocument/2006/relationships/hyperlink" Target="https://www.planalto.gov.br/ccivil_03/_ato2015-2018/2016/lei/l13245.htm?utm_source=chatgpt.com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jusbrasil.com.br/topicos/88595400/inciso-xxi-do-artigo-7-da-lei-n-8906-de-04-de-julho-de-1994?utm_source=chatgpt.com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oabpr.org.br/decisao-judicial-garante-presenca-de-advogado-em-oitiva-de-testemunha-na-fase-do-inquerito-policial/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oab.org.br/publicacoes/detartigo/131?utm_source=chatgpt.com" TargetMode="External"/><Relationship Id="rId10" Type="http://schemas.openxmlformats.org/officeDocument/2006/relationships/hyperlink" Target="https://portal.stf.jus.br/jurisprudencia/sumariosumulas.asp?base=26&amp;sumula=1230&amp;utm_source=chatgpt.com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prerrogativas.oabpr.org.br/legislacao/estatuto-da-advocacia-e-da-oab-art-6o-e-7o/?utm_source=chatgpt.com" TargetMode="External"/><Relationship Id="rId14" Type="http://schemas.openxmlformats.org/officeDocument/2006/relationships/hyperlink" Target="https://www.oab.org.br/noticia/54865/norma-do-cnmp-regulamenta-acesso-de-advogado-a-investigacoes-do-ministerio-publico?utm_source=chatgpt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B2DD4-FB5F-4B26-A089-33F2354E4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653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Angelo Guarnieri Martins</dc:creator>
  <cp:keywords/>
  <dc:description/>
  <cp:lastModifiedBy>Mário Angelo Guarnieri Martins</cp:lastModifiedBy>
  <cp:revision>2</cp:revision>
  <cp:lastPrinted>2025-10-14T13:26:00Z</cp:lastPrinted>
  <dcterms:created xsi:type="dcterms:W3CDTF">2025-11-12T19:47:00Z</dcterms:created>
  <dcterms:modified xsi:type="dcterms:W3CDTF">2025-11-12T19:47:00Z</dcterms:modified>
</cp:coreProperties>
</file>