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18D1F341" w14:textId="77777777" w:rsidR="00964DE7" w:rsidRDefault="00964DE7" w:rsidP="00964DE7">
      <w:pPr>
        <w:pStyle w:val="SemEspaamento"/>
      </w:pPr>
      <w:r>
        <w:t>O paciente foi preso em flagrante em razão de suposta prática de crime de tráfico de drogas, após diligência policial realizada nas proximidades de sua residência. Consta dos autos de origem que a guarnição policial recebeu denúncia anônima informando a existência de mercancia de entorpecentes no imóvel onde o paciente reside e, ao se dirigir ao local, o avistou nas imediações, ocasião em que ele teria adotado “atitude suspeita” ao perceber a aproximação da viatura. Com base exclusivamente nesses elementos genéricos, os policiais decidiram ingressar no interior da casa.</w:t>
      </w:r>
    </w:p>
    <w:p w14:paraId="12AEEB59" w14:textId="77777777" w:rsidR="00964DE7" w:rsidRDefault="00964DE7" w:rsidP="00964DE7">
      <w:pPr>
        <w:pStyle w:val="SemEspaamento"/>
      </w:pPr>
      <w:r>
        <w:t xml:space="preserve">Já no interior do domicílio, sem mandado judicial e sem qualquer autorização do paciente ou de outro morador, os agentes procederam à revista do imóvel e afirmam ter localizado certa quantidade de substância que entenderam tratar-se de droga, além de alguns objetos supostamente relacionados à traficância. Todo o </w:t>
      </w:r>
      <w:r>
        <w:lastRenderedPageBreak/>
        <w:t>suporte fático da prisão em flagrante e da subsequente ação penal decorre desse ingresso forçado em residência, pois não há notícia de apreensão prévia em via pública, de monitoramento anterior, de compra controlada, de campana ou de qualquer outro elemento investigativo independente.</w:t>
      </w:r>
    </w:p>
    <w:p w14:paraId="2DA54DAD" w14:textId="758D3634" w:rsidR="004E1F61" w:rsidRDefault="00964DE7" w:rsidP="00964DE7">
      <w:pPr>
        <w:pStyle w:val="SemEspaamento"/>
      </w:pPr>
      <w:r>
        <w:t>A despeito de a própria narrativa policial revelar que a entrada no domicílio se deu apenas com fundamento em denúncia anônima e na referida “atitude suspeita” do paciente ao avistar a viatura, o flagrante foi homologado e a custódia mantida, vindo o paciente a responder à ação penal com base em prova produzida a partir desse ingresso domiciliar questionado. É justamente contra essa situação – em que a prisão e a persecução penal se apoiam em diligência potencialmente inconstitucional e ilegal – que se volta o presente habeas corpus, a fim de ver reconhecido o constrangimento ilegal e restaurada a liberdade do paciente.</w:t>
      </w:r>
    </w:p>
    <w:p w14:paraId="1D445A7D" w14:textId="77777777" w:rsidR="00A22EBA" w:rsidRDefault="00A22EBA" w:rsidP="00A22EBA">
      <w:pPr>
        <w:pStyle w:val="SemEspaamento"/>
      </w:pPr>
    </w:p>
    <w:p w14:paraId="5087947A" w14:textId="4D056706" w:rsidR="002D3115" w:rsidRDefault="00435014" w:rsidP="002D3115">
      <w:pPr>
        <w:pStyle w:val="Ttulo1"/>
        <w:spacing w:before="0" w:after="0" w:line="240" w:lineRule="auto"/>
      </w:pPr>
      <w:bookmarkStart w:id="0" w:name="_Hlk214783266"/>
      <w:r>
        <w:t>AUSÊNCIA DE FUNDADAS RAZÕES</w:t>
      </w:r>
      <w:bookmarkEnd w:id="0"/>
      <w:r>
        <w:t xml:space="preserve"> – PRISÃO ILEGAL</w:t>
      </w:r>
    </w:p>
    <w:p w14:paraId="7C57FDD5" w14:textId="1647D665" w:rsidR="002D3115" w:rsidRPr="00547988" w:rsidRDefault="00435014"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bookmarkStart w:id="1" w:name="_Hlk214783282"/>
      <w:r>
        <w:rPr>
          <w:rFonts w:ascii="Source Sans Pro" w:hAnsi="Source Sans Pro"/>
          <w:i/>
          <w:iCs/>
          <w:shd w:val="clear" w:color="auto" w:fill="FFFFFF" w:themeFill="background1"/>
        </w:rPr>
        <w:t xml:space="preserve">Afronta ao entendimento consolidado pelo STJ - </w:t>
      </w:r>
      <w:r w:rsidRPr="00CE047B">
        <w:rPr>
          <w:rFonts w:ascii="Source Sans Pro" w:hAnsi="Source Sans Pro"/>
          <w:i/>
          <w:iCs/>
          <w:shd w:val="clear" w:color="auto" w:fill="FFFFFF" w:themeFill="background1"/>
        </w:rPr>
        <w:t>AgRg no HC n. 984.397/MG</w:t>
      </w:r>
      <w:bookmarkEnd w:id="1"/>
    </w:p>
    <w:p w14:paraId="38D96F0C" w14:textId="77777777" w:rsidR="00435014" w:rsidRPr="00435014" w:rsidRDefault="00435014" w:rsidP="00435014">
      <w:pPr>
        <w:pStyle w:val="SemEspaamento"/>
      </w:pPr>
      <w:r w:rsidRPr="00435014">
        <w:t xml:space="preserve">No caso em exame, verifica-se que o elemento central a fundamentar a prisão do paciente é a </w:t>
      </w:r>
      <w:r w:rsidRPr="00435014">
        <w:rPr>
          <w:b/>
          <w:bCs/>
        </w:rPr>
        <w:t>apreensão de drogas em sua residência</w:t>
      </w:r>
      <w:r w:rsidRPr="00435014">
        <w:t xml:space="preserve">. Conforme narrado pelos próprios policiais militares, tanto na fase administrativa quanto em juízo, a dinâmica dos fatos seguiu a seguinte sequência: (i) recebimento de denúncia anônima noticiando suposta mercancia de entorpecentes no local onde o paciente reside; (ii) avistamento do paciente, que teria adotado “atitude suspeita” ao perceber a aproximação da viatura; e, na sequência, (iii) </w:t>
      </w:r>
      <w:r w:rsidRPr="00435014">
        <w:rPr>
          <w:b/>
          <w:bCs/>
        </w:rPr>
        <w:t>ingresso forçado no domicílio</w:t>
      </w:r>
      <w:r w:rsidRPr="00435014">
        <w:t>, sem mandado judicial, com base exclusivamente nesses elementos genéricos.</w:t>
      </w:r>
    </w:p>
    <w:p w14:paraId="0885E246" w14:textId="77777777" w:rsidR="00435014" w:rsidRPr="00435014" w:rsidRDefault="00435014" w:rsidP="00435014">
      <w:pPr>
        <w:pStyle w:val="SemEspaamento"/>
      </w:pPr>
      <w:r w:rsidRPr="00435014">
        <w:t xml:space="preserve">É de pleno conhecimento do paciente e de sua Defesa que o delito de tráfico de drogas é classificado como crime permanente e que a conduta de ter em depósito substância entorpecente para fins de comércio encontra previsão típica no art. 33 da Lei n. 11.343/2006, sendo certo que, em tese, a situação de flagrante pode autorizar o ingresso em domicílio sem prévia ordem judicial. Todavia, essa possibilidade excepcional não constitui carta branca para que se viole a inviolabilidade do lar com </w:t>
      </w:r>
      <w:r w:rsidRPr="00435014">
        <w:lastRenderedPageBreak/>
        <w:t xml:space="preserve">base em meras intuições ou notícias anônimas, impondo-se o exame rigoroso das </w:t>
      </w:r>
      <w:r w:rsidRPr="00435014">
        <w:rPr>
          <w:b/>
          <w:bCs/>
        </w:rPr>
        <w:t>fundadas razões</w:t>
      </w:r>
      <w:r w:rsidRPr="00435014">
        <w:t xml:space="preserve"> que antecederam a invasão.</w:t>
      </w:r>
    </w:p>
    <w:p w14:paraId="134652C7" w14:textId="77777777" w:rsidR="00435014" w:rsidRPr="00435014" w:rsidRDefault="00435014" w:rsidP="00435014">
      <w:pPr>
        <w:pStyle w:val="SemEspaamento"/>
      </w:pPr>
      <w:r w:rsidRPr="00435014">
        <w:t xml:space="preserve">Em hipóteses como a presente, é indispensável que se analise o contexto fático </w:t>
      </w:r>
      <w:r w:rsidRPr="00435014">
        <w:rPr>
          <w:b/>
          <w:bCs/>
        </w:rPr>
        <w:t>anterior ao ingresso forçado</w:t>
      </w:r>
      <w:r w:rsidRPr="00435014">
        <w:t xml:space="preserve">, a fim de verificar se, no momento da diligência, realmente havia elementos concretos e objetivos que configurassem as fundadas suspeitas exigidas pela Constituição Federal e pelo entendimento consolidado dos Tribunais Superiores. Tanto o Supremo Tribunal Federal quanto o Superior Tribunal de Justiça firmaram orientação no sentido de que a entrada forçada em domicílio, sem mandado judicial, </w:t>
      </w:r>
      <w:r w:rsidRPr="00435014">
        <w:rPr>
          <w:b/>
          <w:bCs/>
        </w:rPr>
        <w:t>somente é lícita quando amparada em fundadas razões</w:t>
      </w:r>
      <w:r w:rsidRPr="00435014">
        <w:t>, devidamente justificadas, de que no interior do imóvel há situação atual de flagrante delito.</w:t>
      </w:r>
    </w:p>
    <w:p w14:paraId="6FD7D1E4" w14:textId="77777777" w:rsidR="00435014" w:rsidRDefault="00435014" w:rsidP="00435014">
      <w:pPr>
        <w:pStyle w:val="SemEspaamento"/>
        <w:pBdr>
          <w:bottom w:val="single" w:sz="4" w:space="1" w:color="auto"/>
        </w:pBdr>
        <w:spacing w:before="60" w:after="60" w:line="240" w:lineRule="auto"/>
        <w:ind w:left="2268" w:firstLine="0"/>
      </w:pPr>
      <w:bookmarkStart w:id="2" w:name="_Hlk214468050"/>
      <w:r w:rsidRPr="00ED0C3A">
        <w:rPr>
          <w:b/>
          <w:bCs/>
          <w:sz w:val="36"/>
          <w:szCs w:val="36"/>
        </w:rPr>
        <w:t>STJ</w:t>
      </w:r>
      <w:r>
        <w:t xml:space="preserve"> </w:t>
      </w:r>
      <w:r w:rsidRPr="00ED0C3A">
        <w:rPr>
          <w:color w:val="808080" w:themeColor="background1" w:themeShade="80"/>
        </w:rPr>
        <w:t xml:space="preserve">– </w:t>
      </w:r>
      <w:bookmarkStart w:id="3" w:name="_Hlk214467994"/>
      <w:r w:rsidRPr="0064461A">
        <w:rPr>
          <w:color w:val="808080" w:themeColor="background1" w:themeShade="80"/>
        </w:rPr>
        <w:t>AgRg no HC n. 984.397/MG</w:t>
      </w:r>
      <w:bookmarkEnd w:id="3"/>
      <w:r w:rsidRPr="0064461A">
        <w:rPr>
          <w:color w:val="808080" w:themeColor="background1" w:themeShade="80"/>
        </w:rPr>
        <w:t>, relator Ministro Antonio Saldanha Palheiro, Sexta Turma, julgado em 10/9/2025</w:t>
      </w:r>
      <w:r w:rsidRPr="00580B73">
        <w:rPr>
          <w:color w:val="808080" w:themeColor="background1" w:themeShade="80"/>
        </w:rPr>
        <w:t>.</w:t>
      </w:r>
    </w:p>
    <w:p w14:paraId="7483A74D" w14:textId="459C1509" w:rsidR="009E6E78" w:rsidRPr="00A67F26" w:rsidRDefault="00435014" w:rsidP="00435014">
      <w:pPr>
        <w:pStyle w:val="SemEspaamento"/>
        <w:spacing w:before="60" w:after="60" w:line="276" w:lineRule="auto"/>
        <w:ind w:left="2268" w:firstLine="0"/>
        <w:rPr>
          <w:i/>
          <w:iCs/>
        </w:rPr>
      </w:pPr>
      <w:r w:rsidRPr="0064461A">
        <w:rPr>
          <w:i/>
          <w:iCs/>
        </w:rPr>
        <w:t>3. No caso em tela, constata-se que o ingresso forçado na residência onde foram apreendidas as drogas não se sustenta em fundadas razões. Isso, porque a diligência apoiou-se em denúncia anônima e na suposta autorização, combatida pela defesa e sem a respectiva comprovação da voluntariedade do residente; circunstâncias que não justificam, por si sós, a dispensa de investigações prévias ou do mandado judicial.</w:t>
      </w:r>
      <w:bookmarkEnd w:id="2"/>
    </w:p>
    <w:p w14:paraId="26EAF433" w14:textId="0DA1A037" w:rsidR="0044781C" w:rsidRPr="00A67F26" w:rsidRDefault="0044781C" w:rsidP="0023351C">
      <w:pPr>
        <w:pStyle w:val="SemEspaamento"/>
        <w:spacing w:before="60" w:after="60" w:line="276" w:lineRule="auto"/>
        <w:ind w:left="2268" w:firstLine="0"/>
        <w:rPr>
          <w:i/>
          <w:iCs/>
        </w:rPr>
      </w:pPr>
    </w:p>
    <w:p w14:paraId="7799D5B8" w14:textId="77777777" w:rsidR="00435014" w:rsidRPr="00435014" w:rsidRDefault="00435014" w:rsidP="00435014">
      <w:pPr>
        <w:pStyle w:val="SemEspaamento"/>
      </w:pPr>
      <w:r w:rsidRPr="00435014">
        <w:t xml:space="preserve">No caso concreto, conforme já salientado, a invasão do domicílio do paciente decorreu, em um primeiro momento, </w:t>
      </w:r>
      <w:r w:rsidRPr="00435014">
        <w:rPr>
          <w:b/>
          <w:bCs/>
        </w:rPr>
        <w:t>apenas de denúncia anônima</w:t>
      </w:r>
      <w:r w:rsidRPr="00435014">
        <w:t xml:space="preserve"> e, em seguida, da suposta “atitude suspeita” consistente em correr ao avistar a viatura policial. Não havia, portanto, qualquer outro elemento prévio – como investigação anterior, monitoramento, compra controlada, flagrante visual de negociação ou qualquer dado empírico robusto – que justificasse a mitigação da garantia da inviolabilidade domiciliar. As “fundadas razões”, aqui, foram substituídas por mera conjectura e por juízo subjetivo dos agentes.</w:t>
      </w:r>
    </w:p>
    <w:p w14:paraId="63A8E74E" w14:textId="77777777" w:rsidR="00435014" w:rsidRPr="00435014" w:rsidRDefault="00435014" w:rsidP="00435014">
      <w:pPr>
        <w:pStyle w:val="SemEspaamento"/>
      </w:pPr>
      <w:r w:rsidRPr="00435014">
        <w:t xml:space="preserve">A tese ora deduzida em habeas corpus apoia-se, inclusive, nos próprios depoimentos dos policiais condutores, que são uníssonos em afirmar que o ingresso na </w:t>
      </w:r>
      <w:r w:rsidRPr="00435014">
        <w:lastRenderedPageBreak/>
        <w:t xml:space="preserve">residência do paciente se deu com base na denúncia anônima recebida e na reação dele ao perceber a presença da guarnição. Ou seja, não havia quadro concreto de flagrância prévia no interior do imóvel; a diligência domiciliar foi desencadeada exclusivamente a partir de </w:t>
      </w:r>
      <w:r w:rsidRPr="00435014">
        <w:rPr>
          <w:b/>
          <w:bCs/>
        </w:rPr>
        <w:t>elementos frágeis e estereotipados</w:t>
      </w:r>
      <w:r w:rsidRPr="00435014">
        <w:t>, absolutamente insuficientes para autorizar a violação do domicílio.</w:t>
      </w:r>
    </w:p>
    <w:p w14:paraId="5551B6C2" w14:textId="77777777" w:rsidR="00435014" w:rsidRPr="00552F50" w:rsidRDefault="00435014" w:rsidP="00435014">
      <w:pPr>
        <w:pStyle w:val="SemEspaamento"/>
        <w:jc w:val="center"/>
      </w:pPr>
      <w:bookmarkStart w:id="4" w:name="_Hlk214783571"/>
      <w:r w:rsidRPr="00552F50">
        <w:rPr>
          <w:highlight w:val="yellow"/>
        </w:rPr>
        <w:t>COLAR O DEPOIMENTO DO CONDUTOR</w:t>
      </w:r>
    </w:p>
    <w:bookmarkEnd w:id="4"/>
    <w:p w14:paraId="325037DE" w14:textId="33F7B165" w:rsidR="009E6E78" w:rsidRPr="009E6E78" w:rsidRDefault="00435014" w:rsidP="009E6E78">
      <w:pPr>
        <w:pStyle w:val="SemEspaamento"/>
      </w:pPr>
      <w:r w:rsidRPr="00435014">
        <w:t xml:space="preserve">Nessa linha, a simples fuga do local ao avistar a polícia, somada a denúncia anônima desacompanhada de diligências preliminares, </w:t>
      </w:r>
      <w:r w:rsidRPr="00435014">
        <w:rPr>
          <w:b/>
          <w:bCs/>
        </w:rPr>
        <w:t>não constitui fundamento idôneo</w:t>
      </w:r>
      <w:r w:rsidRPr="00435014">
        <w:t xml:space="preserve"> para validar o ingresso forçado em residência, conforme reiteradamente reconhecido pela jurisprudência do STJ. Exigir-se menos do que isso seria admitir o esvaziamento do art. 5º, XI, da Constituição Federal, transformando a regra da inviolabilidade domiciliar em mera exceção.</w:t>
      </w:r>
    </w:p>
    <w:p w14:paraId="4FD71759" w14:textId="77777777" w:rsidR="00435014" w:rsidRDefault="00435014" w:rsidP="00435014">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r w:rsidRPr="0064461A">
        <w:rPr>
          <w:color w:val="808080" w:themeColor="background1" w:themeShade="80"/>
        </w:rPr>
        <w:t>AgRg no HC n. 984.397/MG, relator Ministro Antonio Saldanha Palheiro, Sexta Turma, julgado em 10/9/2025</w:t>
      </w:r>
      <w:r w:rsidRPr="00580B73">
        <w:rPr>
          <w:color w:val="808080" w:themeColor="background1" w:themeShade="80"/>
        </w:rPr>
        <w:t>.</w:t>
      </w:r>
    </w:p>
    <w:p w14:paraId="09A78C73" w14:textId="77777777" w:rsidR="00435014" w:rsidRPr="00A67F26" w:rsidRDefault="00435014" w:rsidP="00435014">
      <w:pPr>
        <w:pStyle w:val="SemEspaamento"/>
        <w:spacing w:before="60" w:after="60" w:line="276" w:lineRule="auto"/>
        <w:ind w:left="2268" w:firstLine="0"/>
        <w:rPr>
          <w:i/>
          <w:iCs/>
        </w:rPr>
      </w:pPr>
      <w:r w:rsidRPr="0064461A">
        <w:rPr>
          <w:i/>
          <w:iCs/>
        </w:rPr>
        <w:t>3. No caso em tela, constata-se que o ingresso forçado na residência onde foram apreendidas as drogas não se sustenta em fundadas razões. Isso, porque a diligência apoiou-se em denúncia anônima e na suposta autorização, combatida pela defesa e sem a respectiva comprovação da voluntariedade do residente; circunstâncias que não justificam, por si sós, a dispensa de investigações prévias ou do mandado judicial.</w:t>
      </w:r>
    </w:p>
    <w:p w14:paraId="2D4B1EC2" w14:textId="20A3CF16" w:rsidR="009F161E" w:rsidRDefault="00435014" w:rsidP="002A79CB">
      <w:pPr>
        <w:pStyle w:val="SemEspaamento"/>
      </w:pPr>
      <w:r w:rsidRPr="00435014">
        <w:t xml:space="preserve">Diante desse cenário, resta flagrante que o ingresso forçado no domicílio do paciente ocorreu de forma </w:t>
      </w:r>
      <w:r w:rsidRPr="00435014">
        <w:rPr>
          <w:b/>
          <w:bCs/>
        </w:rPr>
        <w:t>ilegal</w:t>
      </w:r>
      <w:r w:rsidRPr="00435014">
        <w:t>, por ausência de fundadas razões prévias que autorizassem a medida extrema. Consequentemente, a situação de flagrante é igualmente ilícita, pois decorrente de diligência inconstitucional, o que torna a prisão do paciente manifestamente ilegal, impondo-se o seu imediato relaxamento, na forma do art. 5º, LXV, da Constituição Federal, bem como o reconhecimento da ilicitude das provas obtidas a partir dessa invasão.</w:t>
      </w:r>
    </w:p>
    <w:p w14:paraId="4F73187F" w14:textId="77777777" w:rsidR="00435014" w:rsidRDefault="00435014" w:rsidP="002A79CB">
      <w:pPr>
        <w:pStyle w:val="SemEspaamento"/>
      </w:pPr>
    </w:p>
    <w:p w14:paraId="75708466" w14:textId="77777777" w:rsidR="00435014" w:rsidRPr="002C7BE1" w:rsidRDefault="00435014" w:rsidP="002A79CB">
      <w:pPr>
        <w:pStyle w:val="SemEspaamento"/>
      </w:pPr>
    </w:p>
    <w:p w14:paraId="31840A91" w14:textId="77777777" w:rsidR="00435014" w:rsidRDefault="00435014" w:rsidP="00435014">
      <w:pPr>
        <w:pStyle w:val="Ttulo1"/>
        <w:spacing w:before="0" w:after="0" w:line="240" w:lineRule="auto"/>
      </w:pPr>
      <w:bookmarkStart w:id="5" w:name="_Hlk214783665"/>
      <w:r>
        <w:lastRenderedPageBreak/>
        <w:t xml:space="preserve">AUSÊNCIA DE AUTORIZAÇÃO DO MORADOR </w:t>
      </w:r>
    </w:p>
    <w:p w14:paraId="31963C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Ônus de provar a autorização do estado - </w:t>
      </w:r>
      <w:r w:rsidRPr="00552F50">
        <w:rPr>
          <w:rFonts w:ascii="Source Sans Pro" w:hAnsi="Source Sans Pro"/>
          <w:i/>
          <w:iCs/>
          <w:shd w:val="clear" w:color="auto" w:fill="FFFFFF" w:themeFill="background1"/>
        </w:rPr>
        <w:t>STJ AGRG NO HC N. 757.228/SP</w:t>
      </w:r>
    </w:p>
    <w:p w14:paraId="6BA4CCE3" w14:textId="381E1EE0" w:rsidR="00435014" w:rsidRPr="00552F50" w:rsidRDefault="00435014" w:rsidP="00435014">
      <w:pPr>
        <w:pStyle w:val="SemEspaamento"/>
      </w:pPr>
      <w:r w:rsidRPr="00717B65">
        <w:rPr>
          <w:rFonts w:cstheme="minorHAnsi"/>
          <w:bCs/>
        </w:rPr>
        <w:t xml:space="preserve">Por outro lado, a busca realizada não foi permitida pelo próprio </w:t>
      </w:r>
      <w:r>
        <w:rPr>
          <w:rFonts w:cstheme="minorHAnsi"/>
          <w:bCs/>
        </w:rPr>
        <w:t>paciente</w:t>
      </w:r>
      <w:r w:rsidRPr="00717B65">
        <w:rPr>
          <w:rFonts w:cstheme="minorHAnsi"/>
          <w:bCs/>
        </w:rPr>
        <w:t xml:space="preserve"> ou outra pessoa com capacidade para consentir, de maneira registrada. Não houve consentimento </w:t>
      </w:r>
      <w:r>
        <w:rPr>
          <w:rFonts w:cstheme="minorHAnsi"/>
          <w:bCs/>
        </w:rPr>
        <w:t xml:space="preserve">válido </w:t>
      </w:r>
      <w:r w:rsidRPr="00717B65">
        <w:rPr>
          <w:rFonts w:cstheme="minorHAnsi"/>
          <w:bCs/>
        </w:rPr>
        <w:t xml:space="preserve">do morador para a entrada dos policiais no imóvel, ante a </w:t>
      </w:r>
      <w:r>
        <w:rPr>
          <w:rFonts w:cstheme="minorHAnsi"/>
          <w:bCs/>
        </w:rPr>
        <w:t xml:space="preserve">falta de prova </w:t>
      </w:r>
      <w:r w:rsidRPr="00717B65">
        <w:rPr>
          <w:rFonts w:cstheme="minorHAnsi"/>
          <w:bCs/>
        </w:rPr>
        <w:t>documentad</w:t>
      </w:r>
      <w:r>
        <w:rPr>
          <w:rFonts w:cstheme="minorHAnsi"/>
          <w:bCs/>
        </w:rPr>
        <w:t>a</w:t>
      </w:r>
      <w:r w:rsidRPr="00717B65">
        <w:rPr>
          <w:rFonts w:cstheme="minorHAnsi"/>
          <w:bCs/>
        </w:rPr>
        <w:t xml:space="preserve"> por escrito ou registr</w:t>
      </w:r>
      <w:r>
        <w:rPr>
          <w:rFonts w:cstheme="minorHAnsi"/>
          <w:bCs/>
        </w:rPr>
        <w:t>o</w:t>
      </w:r>
      <w:r w:rsidRPr="00717B65">
        <w:rPr>
          <w:rFonts w:cstheme="minorHAnsi"/>
          <w:bCs/>
        </w:rPr>
        <w:t xml:space="preserve"> em gravação audiovisual</w:t>
      </w:r>
      <w:r>
        <w:rPr>
          <w:rFonts w:cstheme="minorHAnsi"/>
          <w:bCs/>
        </w:rPr>
        <w:t xml:space="preserve"> da suposta au</w:t>
      </w:r>
      <w:r w:rsidRPr="00552F50">
        <w:t>torização.</w:t>
      </w:r>
    </w:p>
    <w:p w14:paraId="2C552371" w14:textId="77777777" w:rsidR="00435014" w:rsidRPr="00552F50" w:rsidRDefault="00435014" w:rsidP="00435014">
      <w:pPr>
        <w:pStyle w:val="SemEspaamento"/>
      </w:pPr>
      <w:r w:rsidRPr="00552F50">
        <w:t>Ademais, sabe-se que em eventual dúvida se houve ou não autorização do morador para invasão do domicílio, o ônus da prova recai sobre o estado.</w:t>
      </w:r>
    </w:p>
    <w:p w14:paraId="593D6D02" w14:textId="77777777" w:rsidR="00435014" w:rsidRDefault="00435014" w:rsidP="00435014">
      <w:pPr>
        <w:pStyle w:val="SemEspaamento"/>
        <w:pBdr>
          <w:bottom w:val="single" w:sz="4" w:space="1" w:color="auto"/>
        </w:pBdr>
        <w:spacing w:before="60" w:after="60" w:line="240" w:lineRule="auto"/>
        <w:ind w:left="2268" w:firstLine="0"/>
      </w:pPr>
      <w:bookmarkStart w:id="6" w:name="_Hlk214468131"/>
      <w:r w:rsidRPr="00ED0C3A">
        <w:rPr>
          <w:b/>
          <w:bCs/>
          <w:sz w:val="36"/>
          <w:szCs w:val="36"/>
        </w:rPr>
        <w:t>STJ</w:t>
      </w:r>
      <w:r>
        <w:t xml:space="preserve"> </w:t>
      </w:r>
      <w:r w:rsidRPr="00ED0C3A">
        <w:rPr>
          <w:color w:val="808080" w:themeColor="background1" w:themeShade="80"/>
        </w:rPr>
        <w:t xml:space="preserve">– </w:t>
      </w:r>
      <w:r w:rsidRPr="00552F50">
        <w:rPr>
          <w:color w:val="808080" w:themeColor="background1" w:themeShade="80"/>
        </w:rPr>
        <w:t>AgRg no HC n. 757.228/SP, relator Ministro Sebastião Reis Júnior, Sexta Turma, julgado em 20/3/2023</w:t>
      </w:r>
      <w:r w:rsidRPr="00580B73">
        <w:rPr>
          <w:color w:val="808080" w:themeColor="background1" w:themeShade="80"/>
        </w:rPr>
        <w:t>.</w:t>
      </w:r>
    </w:p>
    <w:p w14:paraId="248BC018" w14:textId="77777777" w:rsidR="00435014" w:rsidRDefault="00435014" w:rsidP="00435014">
      <w:pPr>
        <w:pStyle w:val="SemEspaamento"/>
        <w:spacing w:before="60" w:after="60" w:line="276" w:lineRule="auto"/>
        <w:ind w:left="2268" w:firstLine="0"/>
        <w:rPr>
          <w:i/>
          <w:iCs/>
        </w:rPr>
      </w:pPr>
      <w:r w:rsidRPr="00552F50">
        <w:rPr>
          <w:i/>
          <w:iCs/>
        </w:rPr>
        <w:t>A prova da legalidade e da voluntariedade do consentimento para o ingresso na residência do suspeito incumbe, em caso de dúvida, ao Estado, e deve ser registrada em áudio-vídeo e preservada tal prova enquanto durar o processo</w:t>
      </w:r>
      <w:bookmarkEnd w:id="6"/>
      <w:r w:rsidRPr="00617C7C">
        <w:rPr>
          <w:i/>
          <w:iCs/>
        </w:rPr>
        <w:t>.</w:t>
      </w:r>
    </w:p>
    <w:p w14:paraId="20550E72" w14:textId="1B106B97" w:rsidR="00435014" w:rsidRPr="00552F50" w:rsidRDefault="00435014" w:rsidP="00435014">
      <w:pPr>
        <w:pStyle w:val="SemEspaamento"/>
      </w:pPr>
      <w:r w:rsidRPr="00552F50">
        <w:t xml:space="preserve">Da análise dos autos percebe-se que não há prova acerca do consentimento do </w:t>
      </w:r>
      <w:r>
        <w:t>paciente</w:t>
      </w:r>
      <w:r w:rsidRPr="00552F50">
        <w:t xml:space="preserve"> para o ingresso em seu domicílio, tornando o ato ilegal.</w:t>
      </w:r>
    </w:p>
    <w:p w14:paraId="7A17E7F4" w14:textId="5FCFD41B" w:rsidR="00435014" w:rsidRDefault="00435014" w:rsidP="00435014">
      <w:pPr>
        <w:pStyle w:val="SemEspaamento"/>
      </w:pPr>
      <w:r w:rsidRPr="00552F50">
        <w:t xml:space="preserve">Ante os fatos expostos, requer o reconhecimento da ilegalidade da entrada forçada no domicílio do </w:t>
      </w:r>
      <w:r>
        <w:t>paciente</w:t>
      </w:r>
      <w:r w:rsidRPr="00552F50">
        <w:t>, bem como de sua prisão em flagrante, devendo ser imediatamente relaxada como medida de inteira justiça</w:t>
      </w:r>
      <w:r>
        <w:t>.</w:t>
      </w:r>
    </w:p>
    <w:p w14:paraId="2D6BD05C" w14:textId="77777777" w:rsidR="00435014" w:rsidRDefault="00435014" w:rsidP="00435014">
      <w:pPr>
        <w:pStyle w:val="SemEspaamento"/>
      </w:pPr>
    </w:p>
    <w:p w14:paraId="37FB3C55" w14:textId="3C9F6237" w:rsidR="00435014" w:rsidRDefault="00435014" w:rsidP="00435014">
      <w:pPr>
        <w:pStyle w:val="Ttulo1"/>
        <w:spacing w:before="0" w:after="0" w:line="240" w:lineRule="auto"/>
      </w:pPr>
      <w:r>
        <w:t>NECESSIDADE DE CONCESSÃO DA LIMINAR</w:t>
      </w:r>
      <w:r>
        <w:t xml:space="preserve">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072B764C" w14:textId="77777777" w:rsidR="00435014" w:rsidRPr="00435014" w:rsidRDefault="00435014" w:rsidP="00435014">
      <w:pPr>
        <w:pStyle w:val="SemEspaamento"/>
        <w:rPr>
          <w:rFonts w:cstheme="minorHAnsi"/>
          <w:bCs/>
        </w:rPr>
      </w:pPr>
      <w:r w:rsidRPr="00435014">
        <w:rPr>
          <w:rFonts w:cstheme="minorHAnsi"/>
          <w:bCs/>
        </w:rPr>
        <w:t xml:space="preserve">A presença do </w:t>
      </w:r>
      <w:r w:rsidRPr="00435014">
        <w:rPr>
          <w:rFonts w:cstheme="minorHAnsi"/>
          <w:b/>
          <w:bCs/>
        </w:rPr>
        <w:t>fumus boni iuris</w:t>
      </w:r>
      <w:r w:rsidRPr="00435014">
        <w:rPr>
          <w:rFonts w:cstheme="minorHAnsi"/>
          <w:bCs/>
        </w:rPr>
        <w:t xml:space="preserve"> mostra-se cristalina no caso em apreço. A narrativa dos próprios policiais evidencia que o ingresso no domicílio do paciente se deu exclusivamente com base em denúncia anônima e na suposta “atitude suspeita” de correr ao avistar a viatura, sem qualquer outro elemento concreto prévio que indicasse a ocorrência de flagrante delito no interior da residência. À luz da jurisprudência consolidada do STF e do STJ, tais elementos são manifestamente </w:t>
      </w:r>
      <w:r w:rsidRPr="00435014">
        <w:rPr>
          <w:rFonts w:cstheme="minorHAnsi"/>
          <w:bCs/>
        </w:rPr>
        <w:lastRenderedPageBreak/>
        <w:t>insuficientes para caracterizar as “fundadas razões” exigidas para a mitigação da inviolabilidade domiciliar, o que põe em xeque a licitude do ingresso e, por consequência, de toda a prova e da prisão dele decorrentes.</w:t>
      </w:r>
    </w:p>
    <w:p w14:paraId="2965FEAD" w14:textId="77777777" w:rsidR="00435014" w:rsidRPr="00435014" w:rsidRDefault="00435014" w:rsidP="00435014">
      <w:pPr>
        <w:pStyle w:val="SemEspaamento"/>
        <w:rPr>
          <w:rFonts w:cstheme="minorHAnsi"/>
          <w:bCs/>
        </w:rPr>
      </w:pPr>
      <w:r w:rsidRPr="00435014">
        <w:rPr>
          <w:rFonts w:cstheme="minorHAnsi"/>
          <w:bCs/>
        </w:rPr>
        <w:t xml:space="preserve">O constrangimento ilegal, portanto, não decorre de mera tese abstrata, mas de violação direta ao art. 5º, XI e LXV, da Constituição Federal, já que o paciente se encontra preso em decorrência de flagrante oriundo de diligência inconstitucional. Se o ingresso foi ilegal, o flagrante é nulo; se o flagrante é nulo, a manutenção da custódia cautelar revela-se igualmente desprovida de suporte jurídico. Esse quadro, por si só, evidencia o </w:t>
      </w:r>
      <w:r w:rsidRPr="00435014">
        <w:rPr>
          <w:rFonts w:cstheme="minorHAnsi"/>
          <w:b/>
          <w:bCs/>
        </w:rPr>
        <w:t>bom direito invocado</w:t>
      </w:r>
      <w:r w:rsidRPr="00435014">
        <w:rPr>
          <w:rFonts w:cstheme="minorHAnsi"/>
          <w:bCs/>
        </w:rPr>
        <w:t>, na medida em que a prisão se encontra alicerçada em prova potencialmente ilícita, situação típica de cabimento de liminar em habeas corpus.</w:t>
      </w:r>
    </w:p>
    <w:p w14:paraId="48E80E1C" w14:textId="77777777" w:rsidR="00435014" w:rsidRPr="00435014" w:rsidRDefault="00435014" w:rsidP="00435014">
      <w:pPr>
        <w:pStyle w:val="SemEspaamento"/>
        <w:rPr>
          <w:rFonts w:cstheme="minorHAnsi"/>
          <w:bCs/>
        </w:rPr>
      </w:pPr>
      <w:r w:rsidRPr="00435014">
        <w:rPr>
          <w:rFonts w:cstheme="minorHAnsi"/>
          <w:bCs/>
        </w:rPr>
        <w:t xml:space="preserve">No que concerne ao </w:t>
      </w:r>
      <w:r w:rsidRPr="00435014">
        <w:rPr>
          <w:rFonts w:cstheme="minorHAnsi"/>
          <w:b/>
          <w:bCs/>
        </w:rPr>
        <w:t>periculum in mora</w:t>
      </w:r>
      <w:r w:rsidRPr="00435014">
        <w:rPr>
          <w:rFonts w:cstheme="minorHAnsi"/>
          <w:bCs/>
        </w:rPr>
        <w:t>, ele é igualmente patente: o paciente encontra-se privado de sua liberdade com base em ato que, em juízo de cognição sumária, revela-se gravemente ilegal. Cada dia de manutenção dessa prisão representa dano contínuo e de difícil reparação ao bem jurídico liberdade, que ocupa posição central na ordem constitucional. Aguardar o julgamento definitivo do writ, sem qualquer intervenção cautelar, significaria tolerar que o paciente permaneça encarcerado sob a égide de um flagrante viciado, tornando inócua a própria finalidade do habeas corpus enquanto remédio urgente.</w:t>
      </w:r>
    </w:p>
    <w:p w14:paraId="09722B28" w14:textId="77777777" w:rsidR="00435014" w:rsidRPr="00435014" w:rsidRDefault="00435014" w:rsidP="00435014">
      <w:pPr>
        <w:pStyle w:val="SemEspaamento"/>
        <w:rPr>
          <w:rFonts w:cstheme="minorHAnsi"/>
          <w:bCs/>
        </w:rPr>
      </w:pPr>
      <w:r w:rsidRPr="00435014">
        <w:rPr>
          <w:rFonts w:cstheme="minorHAnsi"/>
          <w:bCs/>
        </w:rPr>
        <w:t xml:space="preserve">Ademais, a prisão processual – sobretudo quando fundada em prova cuja licitude é seriamente questionada – não pode ser tratada como situação ordinária ou irrelevante. A morosidade natural da tramitação, somada à gravidade do constrangimento, reforça a necessidade de atuação imediata desta Egrégia Câmara Criminal, por meio da </w:t>
      </w:r>
      <w:r w:rsidRPr="00435014">
        <w:rPr>
          <w:rFonts w:cstheme="minorHAnsi"/>
          <w:b/>
          <w:bCs/>
        </w:rPr>
        <w:t>concessão da liminar</w:t>
      </w:r>
      <w:r w:rsidRPr="00435014">
        <w:rPr>
          <w:rFonts w:cstheme="minorHAnsi"/>
          <w:bCs/>
        </w:rPr>
        <w:t xml:space="preserve"> para suspender os efeitos da prisão e/ou o andamento da ação penal até o julgamento de mérito do presente writ. Estão presentes, portanto, de forma concomitante e robusta, o fumus boni iuris e o periculum in mora, recomendando-se fortemente o deferimento da medida liminar pleiteada.</w:t>
      </w:r>
    </w:p>
    <w:p w14:paraId="2BF050BE" w14:textId="77777777" w:rsidR="00435014" w:rsidRDefault="00435014" w:rsidP="00435014">
      <w:pPr>
        <w:pStyle w:val="SemEspaamento"/>
      </w:pPr>
    </w:p>
    <w:p w14:paraId="721C8D8E" w14:textId="77777777" w:rsidR="00435014" w:rsidRDefault="00435014" w:rsidP="00435014">
      <w:pPr>
        <w:pStyle w:val="SemEspaamento"/>
      </w:pPr>
    </w:p>
    <w:bookmarkEnd w:id="5"/>
    <w:p w14:paraId="0D9CD480" w14:textId="77777777" w:rsidR="00435014" w:rsidRDefault="00435014" w:rsidP="00435014">
      <w:pPr>
        <w:pStyle w:val="Ttulo1"/>
        <w:spacing w:before="0" w:after="0" w:line="240" w:lineRule="auto"/>
      </w:pPr>
      <w:r w:rsidRPr="00E71747">
        <w:lastRenderedPageBreak/>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VI - deixar de seguir enunciado de súmula, jurisprudência ou precedente invocado pela parte, sem demonstrar a existência de distinção no caso em julgamento ou a superação do entendimento.</w:t>
      </w:r>
    </w:p>
    <w:p w14:paraId="5605A833" w14:textId="5040D606" w:rsidR="00B36DE2" w:rsidRDefault="00B36DE2" w:rsidP="00B36DE2">
      <w:pPr>
        <w:pStyle w:val="SemEspaamento"/>
      </w:pPr>
    </w:p>
    <w:p w14:paraId="57E5CAE2" w14:textId="77777777" w:rsidR="00716747" w:rsidRDefault="00716747" w:rsidP="00B36DE2">
      <w:pPr>
        <w:pStyle w:val="SemEspaamento"/>
      </w:pPr>
    </w:p>
    <w:p w14:paraId="48C47107" w14:textId="77777777" w:rsidR="00716747" w:rsidRDefault="00716747" w:rsidP="00B36DE2">
      <w:pPr>
        <w:pStyle w:val="SemEspaamento"/>
      </w:pPr>
    </w:p>
    <w:p w14:paraId="75CB013B" w14:textId="77777777" w:rsidR="00716747" w:rsidRDefault="00716747" w:rsidP="00B36DE2">
      <w:pPr>
        <w:pStyle w:val="SemEspaamento"/>
      </w:pPr>
    </w:p>
    <w:p w14:paraId="49841561" w14:textId="77777777" w:rsidR="00716747" w:rsidRDefault="00716747" w:rsidP="00B36DE2">
      <w:pPr>
        <w:pStyle w:val="SemEspaamento"/>
      </w:pPr>
    </w:p>
    <w:p w14:paraId="6DECCDC9" w14:textId="77777777" w:rsidR="00716747" w:rsidRDefault="00716747" w:rsidP="00B36DE2">
      <w:pPr>
        <w:pStyle w:val="SemEspaamento"/>
      </w:pPr>
    </w:p>
    <w:p w14:paraId="7440E43B" w14:textId="77777777" w:rsidR="00716747" w:rsidRPr="00B36DE2" w:rsidRDefault="00716747" w:rsidP="00B36DE2">
      <w:pPr>
        <w:pStyle w:val="SemEspaamento"/>
      </w:pPr>
    </w:p>
    <w:p w14:paraId="08DB4815" w14:textId="7480FC8F" w:rsidR="00323708" w:rsidRDefault="00323708" w:rsidP="00323708">
      <w:pPr>
        <w:pStyle w:val="SemEspaamento"/>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07C7C1C2" w14:textId="0F4B18D0" w:rsidR="00716747" w:rsidRDefault="00716747" w:rsidP="00716747">
      <w:pPr>
        <w:spacing w:before="120" w:after="120" w:line="312" w:lineRule="auto"/>
        <w:ind w:firstLine="567"/>
        <w:jc w:val="both"/>
        <w:rPr>
          <w:rFonts w:ascii="Source Serif Pro" w:hAnsi="Source Serif Pro"/>
        </w:rPr>
      </w:pPr>
      <w:r w:rsidRPr="00716747">
        <w:rPr>
          <w:rFonts w:ascii="Source Serif Pro" w:hAnsi="Source Serif Pro"/>
        </w:rPr>
        <w:t xml:space="preserve">Requer, em </w:t>
      </w:r>
      <w:r w:rsidRPr="00716747">
        <w:rPr>
          <w:rFonts w:ascii="Source Serif Pro" w:hAnsi="Source Serif Pro"/>
          <w:b/>
          <w:bCs/>
        </w:rPr>
        <w:t>caráter liminar</w:t>
      </w:r>
      <w:r w:rsidRPr="00716747">
        <w:rPr>
          <w:rFonts w:ascii="Source Serif Pro" w:hAnsi="Source Serif Pro"/>
        </w:rPr>
        <w:t xml:space="preserve">, </w:t>
      </w:r>
      <w:r>
        <w:rPr>
          <w:rFonts w:ascii="Source Serif Pro" w:hAnsi="Source Serif Pro"/>
        </w:rPr>
        <w:t>diante da presença</w:t>
      </w:r>
      <w:r w:rsidRPr="00716747">
        <w:rPr>
          <w:rFonts w:ascii="Source Serif Pro" w:hAnsi="Source Serif Pro"/>
        </w:rPr>
        <w:t xml:space="preserve"> do </w:t>
      </w:r>
      <w:r w:rsidRPr="00716747">
        <w:rPr>
          <w:rFonts w:ascii="Source Serif Pro" w:hAnsi="Source Serif Pro"/>
          <w:i/>
          <w:iCs/>
        </w:rPr>
        <w:t xml:space="preserve">fumus boni iuris </w:t>
      </w:r>
      <w:r w:rsidRPr="00716747">
        <w:rPr>
          <w:rFonts w:ascii="Source Serif Pro" w:hAnsi="Source Serif Pro"/>
        </w:rPr>
        <w:t xml:space="preserve">e do </w:t>
      </w:r>
      <w:r w:rsidRPr="00716747">
        <w:rPr>
          <w:rFonts w:ascii="Source Serif Pro" w:hAnsi="Source Serif Pro"/>
          <w:i/>
          <w:iCs/>
        </w:rPr>
        <w:t xml:space="preserve">periculum in mora </w:t>
      </w:r>
      <w:r w:rsidRPr="00716747">
        <w:rPr>
          <w:rFonts w:ascii="Source Serif Pro" w:hAnsi="Source Serif Pro"/>
        </w:rPr>
        <w:t xml:space="preserve">demonstrados, </w:t>
      </w:r>
      <w:r w:rsidRPr="00716747">
        <w:rPr>
          <w:rFonts w:ascii="Source Serif Pro" w:hAnsi="Source Serif Pro"/>
          <w:b/>
          <w:bCs/>
        </w:rPr>
        <w:t>que seja desde logo suspensa a eficácia do flagrante e/ou da decisão que mantém a custódia, determinando-se a imediata colocação do paciente em liberdade</w:t>
      </w:r>
      <w:r w:rsidRPr="00716747">
        <w:rPr>
          <w:rFonts w:ascii="Source Serif Pro" w:hAnsi="Source Serif Pro"/>
        </w:rPr>
        <w:t xml:space="preserve"> até o julgamento definitivo deste </w:t>
      </w:r>
      <w:r w:rsidRPr="00244EEE">
        <w:rPr>
          <w:rFonts w:ascii="Source Serif Pro" w:hAnsi="Source Serif Pro"/>
          <w:i/>
          <w:iCs/>
        </w:rPr>
        <w:t>writ</w:t>
      </w:r>
      <w:r w:rsidRPr="00716747">
        <w:rPr>
          <w:rFonts w:ascii="Source Serif Pro" w:hAnsi="Source Serif Pro"/>
        </w:rPr>
        <w:t>.</w:t>
      </w:r>
    </w:p>
    <w:p w14:paraId="1A913691" w14:textId="0399C2DD" w:rsidR="00716747" w:rsidRPr="00716747" w:rsidRDefault="00244EEE" w:rsidP="00716747">
      <w:pPr>
        <w:spacing w:before="120" w:after="120" w:line="312" w:lineRule="auto"/>
        <w:ind w:firstLine="567"/>
        <w:jc w:val="both"/>
        <w:rPr>
          <w:rFonts w:ascii="Source Serif Pro" w:hAnsi="Source Serif Pro"/>
        </w:rPr>
      </w:pPr>
      <w:r w:rsidRPr="00244EEE">
        <w:rPr>
          <w:rFonts w:ascii="Source Serif Pro" w:hAnsi="Source Serif Pro"/>
          <w:b/>
          <w:bCs/>
        </w:rPr>
        <w:t>Com relação ao mérito</w:t>
      </w:r>
      <w:r w:rsidR="00716747" w:rsidRPr="00244EEE">
        <w:rPr>
          <w:rFonts w:ascii="Source Serif Pro" w:hAnsi="Source Serif Pro"/>
          <w:b/>
          <w:bCs/>
        </w:rPr>
        <w:t>, requer</w:t>
      </w:r>
      <w:r w:rsidR="00716747" w:rsidRPr="00716747">
        <w:rPr>
          <w:rFonts w:ascii="Source Serif Pro" w:hAnsi="Source Serif Pro"/>
        </w:rPr>
        <w:t xml:space="preserve"> o Impetrante a Vossas Excelências, integrantes desta Egrégia Câmara Criminal, </w:t>
      </w:r>
      <w:r w:rsidR="00716747" w:rsidRPr="00244EEE">
        <w:rPr>
          <w:rFonts w:ascii="Source Serif Pro" w:hAnsi="Source Serif Pro"/>
          <w:b/>
          <w:bCs/>
        </w:rPr>
        <w:t>a concessão da ordem de habeas corpus para reconhecer a ilegalidade do ingresso forçado no domicílio</w:t>
      </w:r>
      <w:r w:rsidR="00716747" w:rsidRPr="00716747">
        <w:rPr>
          <w:rFonts w:ascii="Source Serif Pro" w:hAnsi="Source Serif Pro"/>
        </w:rPr>
        <w:t xml:space="preserve"> do paciente, por ausência de fundadas razões a amparar a medida, declarando-se, por consequência, a nulidade do flagrante e a ilicitude das provas obtidas a partir da invasão, nos termos do art. 5º, XI e LXV, da Constituição Federal e do art. 157 do Código de Processo Penal.</w:t>
      </w:r>
    </w:p>
    <w:p w14:paraId="6EE3B92A" w14:textId="77777777" w:rsidR="00716747" w:rsidRPr="00716747" w:rsidRDefault="00716747" w:rsidP="00716747">
      <w:pPr>
        <w:spacing w:before="120" w:after="120" w:line="312" w:lineRule="auto"/>
        <w:ind w:firstLine="567"/>
        <w:jc w:val="both"/>
        <w:rPr>
          <w:rFonts w:ascii="Source Serif Pro" w:hAnsi="Source Serif Pro"/>
        </w:rPr>
      </w:pPr>
      <w:r w:rsidRPr="00716747">
        <w:rPr>
          <w:rFonts w:ascii="Source Serif Pro" w:hAnsi="Source Serif Pro"/>
        </w:rPr>
        <w:t xml:space="preserve">Em decorrência disso, </w:t>
      </w:r>
      <w:r w:rsidRPr="00244EEE">
        <w:rPr>
          <w:rFonts w:ascii="Source Serif Pro" w:hAnsi="Source Serif Pro"/>
          <w:b/>
          <w:bCs/>
        </w:rPr>
        <w:t>requer seja determinada a imediata soltura do paciente</w:t>
      </w:r>
      <w:r w:rsidRPr="00716747">
        <w:rPr>
          <w:rFonts w:ascii="Source Serif Pro" w:hAnsi="Source Serif Pro"/>
        </w:rPr>
        <w:t xml:space="preserve">, </w:t>
      </w:r>
      <w:r w:rsidRPr="00244EEE">
        <w:rPr>
          <w:rFonts w:ascii="Source Serif Pro" w:hAnsi="Source Serif Pro"/>
          <w:b/>
          <w:bCs/>
        </w:rPr>
        <w:t>com o relaxamento da prisão ilegal</w:t>
      </w:r>
      <w:r w:rsidRPr="00716747">
        <w:rPr>
          <w:rFonts w:ascii="Source Serif Pro" w:hAnsi="Source Serif Pro"/>
        </w:rPr>
        <w:t>, expedindo-se alvará de soltura em seu favor, se por outro motivo não estiver preso. Subsidiariamente, caso assim não entendam Vossas Excelências, que seja ao menos revogada a prisão preventiva eventualmente decretada, com a substituição por medidas cautelares diversas da prisão, se reputadas necessárias, nos termos do art. 319 do CPP.</w:t>
      </w:r>
    </w:p>
    <w:p w14:paraId="028AA450" w14:textId="4D37B7BC" w:rsidR="00716747" w:rsidRPr="00716747" w:rsidRDefault="00716747" w:rsidP="00716747">
      <w:pPr>
        <w:spacing w:before="120" w:after="120" w:line="312" w:lineRule="auto"/>
        <w:ind w:firstLine="567"/>
        <w:jc w:val="both"/>
        <w:rPr>
          <w:rFonts w:ascii="Source Serif Pro" w:hAnsi="Source Serif Pro"/>
        </w:rPr>
      </w:pP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9C32AC9"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23351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DF0B2" w14:textId="77777777" w:rsidR="00F06A37" w:rsidRDefault="00F06A37" w:rsidP="00BA1F94">
      <w:pPr>
        <w:spacing w:after="0" w:line="240" w:lineRule="auto"/>
      </w:pPr>
      <w:r>
        <w:separator/>
      </w:r>
    </w:p>
  </w:endnote>
  <w:endnote w:type="continuationSeparator" w:id="0">
    <w:p w14:paraId="2298D06F" w14:textId="77777777" w:rsidR="00F06A37" w:rsidRDefault="00F06A37"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CB0F" w14:textId="77777777" w:rsidR="00F06A37" w:rsidRDefault="00F06A37" w:rsidP="00BA1F94">
      <w:pPr>
        <w:spacing w:after="0" w:line="240" w:lineRule="auto"/>
      </w:pPr>
      <w:r>
        <w:separator/>
      </w:r>
    </w:p>
  </w:footnote>
  <w:footnote w:type="continuationSeparator" w:id="0">
    <w:p w14:paraId="4D19965B" w14:textId="77777777" w:rsidR="00F06A37" w:rsidRDefault="00F06A37"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5565"/>
    <w:rsid w:val="000633B8"/>
    <w:rsid w:val="000765C6"/>
    <w:rsid w:val="000911F8"/>
    <w:rsid w:val="000A234B"/>
    <w:rsid w:val="000B1C85"/>
    <w:rsid w:val="000B2591"/>
    <w:rsid w:val="000B5216"/>
    <w:rsid w:val="0011164C"/>
    <w:rsid w:val="001153D8"/>
    <w:rsid w:val="00133E06"/>
    <w:rsid w:val="00144A4B"/>
    <w:rsid w:val="00151D12"/>
    <w:rsid w:val="0015581C"/>
    <w:rsid w:val="00163268"/>
    <w:rsid w:val="0018525B"/>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79CB"/>
    <w:rsid w:val="002C012C"/>
    <w:rsid w:val="002C7BE1"/>
    <w:rsid w:val="002D3115"/>
    <w:rsid w:val="002D79D9"/>
    <w:rsid w:val="002E0484"/>
    <w:rsid w:val="002F00FD"/>
    <w:rsid w:val="002F4394"/>
    <w:rsid w:val="00307183"/>
    <w:rsid w:val="0032114D"/>
    <w:rsid w:val="00323708"/>
    <w:rsid w:val="00334B83"/>
    <w:rsid w:val="00335715"/>
    <w:rsid w:val="0035269F"/>
    <w:rsid w:val="003602F7"/>
    <w:rsid w:val="00377552"/>
    <w:rsid w:val="00383D06"/>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A1397"/>
    <w:rsid w:val="004B23AC"/>
    <w:rsid w:val="004C2B0E"/>
    <w:rsid w:val="004C78F2"/>
    <w:rsid w:val="004E1F61"/>
    <w:rsid w:val="004E32D6"/>
    <w:rsid w:val="004F6860"/>
    <w:rsid w:val="00502064"/>
    <w:rsid w:val="00510D1D"/>
    <w:rsid w:val="005271CA"/>
    <w:rsid w:val="00547988"/>
    <w:rsid w:val="00552F50"/>
    <w:rsid w:val="0056423A"/>
    <w:rsid w:val="005701F5"/>
    <w:rsid w:val="005702CF"/>
    <w:rsid w:val="00575469"/>
    <w:rsid w:val="00576D3A"/>
    <w:rsid w:val="005811CD"/>
    <w:rsid w:val="00585236"/>
    <w:rsid w:val="005926D6"/>
    <w:rsid w:val="00596D6C"/>
    <w:rsid w:val="005A01D2"/>
    <w:rsid w:val="005A6E55"/>
    <w:rsid w:val="005C54F8"/>
    <w:rsid w:val="005E2F23"/>
    <w:rsid w:val="005F47A7"/>
    <w:rsid w:val="00617C7C"/>
    <w:rsid w:val="00636660"/>
    <w:rsid w:val="00636D00"/>
    <w:rsid w:val="006419C1"/>
    <w:rsid w:val="0064461A"/>
    <w:rsid w:val="0066103B"/>
    <w:rsid w:val="00672F34"/>
    <w:rsid w:val="00673A8C"/>
    <w:rsid w:val="006916BF"/>
    <w:rsid w:val="006A3AEB"/>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7295"/>
    <w:rsid w:val="007C0711"/>
    <w:rsid w:val="007C53FC"/>
    <w:rsid w:val="007C59F9"/>
    <w:rsid w:val="007E3DC1"/>
    <w:rsid w:val="007F0F05"/>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23F88"/>
    <w:rsid w:val="00924899"/>
    <w:rsid w:val="00933297"/>
    <w:rsid w:val="00964DE7"/>
    <w:rsid w:val="009825A3"/>
    <w:rsid w:val="00983A54"/>
    <w:rsid w:val="0099073D"/>
    <w:rsid w:val="0099435F"/>
    <w:rsid w:val="00996DA0"/>
    <w:rsid w:val="009A601B"/>
    <w:rsid w:val="009D129F"/>
    <w:rsid w:val="009D178E"/>
    <w:rsid w:val="009E098F"/>
    <w:rsid w:val="009E6E78"/>
    <w:rsid w:val="009F161E"/>
    <w:rsid w:val="009F311E"/>
    <w:rsid w:val="00A01420"/>
    <w:rsid w:val="00A22EBA"/>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B0317F"/>
    <w:rsid w:val="00B04357"/>
    <w:rsid w:val="00B24A33"/>
    <w:rsid w:val="00B36DE2"/>
    <w:rsid w:val="00B57D96"/>
    <w:rsid w:val="00B77BFB"/>
    <w:rsid w:val="00B77E49"/>
    <w:rsid w:val="00B85546"/>
    <w:rsid w:val="00B85981"/>
    <w:rsid w:val="00B87032"/>
    <w:rsid w:val="00B92FD1"/>
    <w:rsid w:val="00B968CC"/>
    <w:rsid w:val="00BA1F94"/>
    <w:rsid w:val="00BA5370"/>
    <w:rsid w:val="00BC28F2"/>
    <w:rsid w:val="00BC6F5E"/>
    <w:rsid w:val="00BC781A"/>
    <w:rsid w:val="00BE6274"/>
    <w:rsid w:val="00BF64DD"/>
    <w:rsid w:val="00C05AC4"/>
    <w:rsid w:val="00C061A6"/>
    <w:rsid w:val="00C12FC6"/>
    <w:rsid w:val="00C1367E"/>
    <w:rsid w:val="00C30B7B"/>
    <w:rsid w:val="00C34436"/>
    <w:rsid w:val="00C42738"/>
    <w:rsid w:val="00C56908"/>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934F0"/>
    <w:rsid w:val="00D94708"/>
    <w:rsid w:val="00DB0C17"/>
    <w:rsid w:val="00DB287D"/>
    <w:rsid w:val="00DB7797"/>
    <w:rsid w:val="00DD04F4"/>
    <w:rsid w:val="00DE43FF"/>
    <w:rsid w:val="00E15CB7"/>
    <w:rsid w:val="00E260D2"/>
    <w:rsid w:val="00E70A06"/>
    <w:rsid w:val="00E70C92"/>
    <w:rsid w:val="00E939CA"/>
    <w:rsid w:val="00E93C31"/>
    <w:rsid w:val="00EA061D"/>
    <w:rsid w:val="00EB0207"/>
    <w:rsid w:val="00ED0C3A"/>
    <w:rsid w:val="00EE0ABC"/>
    <w:rsid w:val="00F06A37"/>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2248</Words>
  <Characters>11853</Characters>
  <Application>Microsoft Office Word</Application>
  <DocSecurity>0</DocSecurity>
  <Lines>252</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5</cp:revision>
  <cp:lastPrinted>2025-10-14T13:26:00Z</cp:lastPrinted>
  <dcterms:created xsi:type="dcterms:W3CDTF">2025-11-23T20:26:00Z</dcterms:created>
  <dcterms:modified xsi:type="dcterms:W3CDTF">2025-11-23T20:43:00Z</dcterms:modified>
</cp:coreProperties>
</file>