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9469" w14:textId="7CEB48FD" w:rsidR="0015581C" w:rsidRDefault="0015581C" w:rsidP="00AB2011">
      <w:pPr>
        <w:spacing w:after="0" w:line="240" w:lineRule="auto"/>
        <w:rPr>
          <w:rFonts w:ascii="Source Serif Pro" w:hAnsi="Source Serif Pro"/>
          <w:b/>
          <w:bCs/>
          <w:sz w:val="26"/>
          <w:szCs w:val="28"/>
        </w:rPr>
      </w:pPr>
      <w:r w:rsidRPr="0015581C">
        <w:rPr>
          <w:rFonts w:ascii="Source Serif Pro" w:hAnsi="Source Serif Pro"/>
          <w:b/>
          <w:bCs/>
          <w:sz w:val="26"/>
          <w:szCs w:val="28"/>
        </w:rPr>
        <w:t xml:space="preserve">Ao </w:t>
      </w:r>
      <w:r w:rsidR="004B23AC">
        <w:rPr>
          <w:rFonts w:ascii="Source Serif Pro" w:hAnsi="Source Serif Pro"/>
          <w:b/>
          <w:bCs/>
          <w:sz w:val="26"/>
          <w:szCs w:val="28"/>
        </w:rPr>
        <w:t>Ex</w:t>
      </w:r>
      <w:r w:rsidR="00884412">
        <w:rPr>
          <w:rFonts w:ascii="Source Serif Pro" w:hAnsi="Source Serif Pro"/>
          <w:b/>
          <w:bCs/>
          <w:sz w:val="26"/>
          <w:szCs w:val="28"/>
        </w:rPr>
        <w:t>mo</w:t>
      </w:r>
      <w:r w:rsidR="004B23AC">
        <w:rPr>
          <w:rFonts w:ascii="Source Serif Pro" w:hAnsi="Source Serif Pro"/>
          <w:b/>
          <w:bCs/>
          <w:sz w:val="26"/>
          <w:szCs w:val="28"/>
        </w:rPr>
        <w:t xml:space="preserve">. </w:t>
      </w:r>
      <w:r w:rsidR="00C12FC6">
        <w:rPr>
          <w:rFonts w:ascii="Source Serif Pro" w:hAnsi="Source Serif Pro"/>
          <w:b/>
          <w:bCs/>
          <w:sz w:val="26"/>
          <w:szCs w:val="28"/>
        </w:rPr>
        <w:t>Desembargador Presidente</w:t>
      </w:r>
    </w:p>
    <w:p w14:paraId="0BE51421" w14:textId="03DD2288" w:rsidR="00B968CC" w:rsidRPr="00B24A33" w:rsidRDefault="00CF11A1" w:rsidP="00AB2011">
      <w:pPr>
        <w:spacing w:after="0" w:line="240" w:lineRule="auto"/>
        <w:rPr>
          <w:rFonts w:ascii="Source Serif Pro" w:hAnsi="Source Serif Pro"/>
          <w:i/>
          <w:iCs/>
          <w:sz w:val="22"/>
          <w:szCs w:val="22"/>
        </w:rPr>
      </w:pPr>
      <w:r>
        <w:rPr>
          <w:rFonts w:ascii="Source Serif Pro" w:hAnsi="Source Serif Pro"/>
          <w:i/>
          <w:iCs/>
          <w:sz w:val="22"/>
          <w:szCs w:val="22"/>
        </w:rPr>
        <w:t>Tribunal de Justiça do Estado de....</w:t>
      </w:r>
    </w:p>
    <w:p w14:paraId="39684049" w14:textId="77777777" w:rsidR="00F3233A" w:rsidRDefault="00F3233A" w:rsidP="00DB7797">
      <w:pPr>
        <w:spacing w:before="360" w:after="0"/>
        <w:rPr>
          <w:rFonts w:ascii="Source Serif Pro" w:hAnsi="Source Serif Pro" w:cs="Segoe UI Semibold"/>
          <w:noProof/>
          <w:spacing w:val="10"/>
          <w:sz w:val="21"/>
          <w:szCs w:val="21"/>
        </w:rPr>
      </w:pPr>
    </w:p>
    <w:p w14:paraId="41C34F6F" w14:textId="07A5689F" w:rsidR="00DB7797" w:rsidRPr="00B24A33" w:rsidRDefault="00DB7797" w:rsidP="00DB7797">
      <w:pPr>
        <w:spacing w:before="40" w:after="0"/>
        <w:rPr>
          <w:rFonts w:ascii="Source Serif Pro" w:hAnsi="Source Serif Pro" w:cs="Segoe UI"/>
          <w:sz w:val="18"/>
          <w:szCs w:val="18"/>
        </w:rPr>
      </w:pPr>
    </w:p>
    <w:p w14:paraId="5A87B2C6" w14:textId="17D198C5" w:rsidR="00EE0ABC" w:rsidRDefault="00EE0ABC">
      <w:pPr>
        <w:rPr>
          <w:rFonts w:ascii="Source Serif Pro" w:hAnsi="Source Serif Pro"/>
        </w:rPr>
      </w:pPr>
    </w:p>
    <w:p w14:paraId="45BE129E" w14:textId="77777777" w:rsidR="00F3233A" w:rsidRPr="00B24A33" w:rsidRDefault="00F3233A">
      <w:pPr>
        <w:rPr>
          <w:rFonts w:ascii="Source Serif Pro" w:hAnsi="Source Serif Pro"/>
        </w:rPr>
      </w:pPr>
    </w:p>
    <w:p w14:paraId="1D46FD50" w14:textId="77777777" w:rsidR="005C54F8" w:rsidRPr="00B24A33" w:rsidRDefault="005C54F8" w:rsidP="00EE0ABC">
      <w:pPr>
        <w:ind w:firstLine="567"/>
        <w:rPr>
          <w:rFonts w:ascii="Source Serif Pro" w:hAnsi="Source Serif Pro"/>
        </w:rPr>
      </w:pPr>
    </w:p>
    <w:p w14:paraId="1DE5A89B" w14:textId="05A07158" w:rsidR="00B57D96" w:rsidRPr="00B24A33" w:rsidRDefault="00CF11A1" w:rsidP="009D129F">
      <w:pPr>
        <w:spacing w:before="120" w:after="240" w:line="312" w:lineRule="auto"/>
        <w:ind w:firstLine="567"/>
        <w:jc w:val="both"/>
        <w:rPr>
          <w:rFonts w:ascii="Source Serif Pro" w:hAnsi="Source Serif Pro"/>
        </w:rPr>
      </w:pPr>
      <w:r>
        <w:rPr>
          <w:rFonts w:ascii="Source Serif Pro" w:hAnsi="Source Serif Pro"/>
          <w:smallCaps/>
        </w:rPr>
        <w:t>[</w:t>
      </w:r>
      <w:r w:rsidRPr="00CF11A1">
        <w:rPr>
          <w:rFonts w:ascii="Source Serif Pro" w:hAnsi="Source Serif Pro"/>
          <w:smallCaps/>
          <w:shd w:val="clear" w:color="auto" w:fill="FAFBBD"/>
        </w:rPr>
        <w:t>NOME DO ADVOGADO</w:t>
      </w:r>
      <w:r>
        <w:rPr>
          <w:rFonts w:ascii="Source Serif Pro" w:hAnsi="Source Serif Pro"/>
          <w:smallCaps/>
        </w:rPr>
        <w:t>]</w:t>
      </w:r>
      <w:r w:rsidRPr="00CF11A1">
        <w:rPr>
          <w:rFonts w:ascii="Source Serif Pro" w:hAnsi="Source Serif Pro"/>
          <w:smallCaps/>
        </w:rPr>
        <w:t xml:space="preserve">, </w:t>
      </w:r>
      <w:r w:rsidRPr="00CF11A1">
        <w:rPr>
          <w:rFonts w:ascii="Source Serif Pro" w:hAnsi="Source Serif Pro"/>
        </w:rPr>
        <w:t>brasileiro, advogado devidamente inscrito na Ordem dos Advogados do Brasil, seccional estado, sob o nº ......, vêm, respeitosamente, perante Vossa Excelência, impetrar a presente ordem de</w:t>
      </w:r>
    </w:p>
    <w:p w14:paraId="2CD2B9C5" w14:textId="47319D93" w:rsidR="00B57D96" w:rsidRPr="007A0B17" w:rsidRDefault="00CF11A1" w:rsidP="00B57D96">
      <w:pPr>
        <w:shd w:val="clear" w:color="auto" w:fill="F2F2F2" w:themeFill="background1" w:themeFillShade="F2"/>
        <w:spacing w:before="120" w:after="120" w:line="240" w:lineRule="auto"/>
        <w:jc w:val="center"/>
        <w:rPr>
          <w:rFonts w:ascii="Georgia" w:hAnsi="Georgia"/>
          <w:b/>
          <w:bCs/>
          <w:sz w:val="32"/>
          <w:szCs w:val="32"/>
        </w:rPr>
      </w:pPr>
      <w:r>
        <w:rPr>
          <w:rFonts w:ascii="Georgia" w:hAnsi="Georgia"/>
          <w:b/>
          <w:bCs/>
          <w:sz w:val="32"/>
          <w:szCs w:val="32"/>
        </w:rPr>
        <w:t xml:space="preserve">HABEAS CORPUS </w:t>
      </w:r>
      <w:r w:rsidR="003B706F">
        <w:rPr>
          <w:rFonts w:ascii="Georgia" w:hAnsi="Georgia"/>
          <w:b/>
          <w:bCs/>
          <w:sz w:val="32"/>
          <w:szCs w:val="32"/>
        </w:rPr>
        <w:t>COM PEDIDO LIMINAR</w:t>
      </w:r>
    </w:p>
    <w:p w14:paraId="46AE4AF2" w14:textId="47158105" w:rsidR="00EE0ABC" w:rsidRDefault="00CF11A1" w:rsidP="009D129F">
      <w:pPr>
        <w:spacing w:before="240" w:after="120" w:line="312" w:lineRule="auto"/>
        <w:ind w:firstLine="567"/>
        <w:jc w:val="both"/>
        <w:rPr>
          <w:rFonts w:ascii="Source Serif Pro" w:hAnsi="Source Serif Pro"/>
        </w:rPr>
      </w:pPr>
      <w:r w:rsidRPr="00CF11A1">
        <w:rPr>
          <w:rFonts w:ascii="Source Serif Pro" w:hAnsi="Source Serif Pro"/>
        </w:rPr>
        <w:t xml:space="preserve">nos termos do art. 5º, LXVIII, da Constituição Federal, e artigos 647 e 648, inciso I, do Código de Processo Penal, em favor de </w:t>
      </w:r>
      <w:r>
        <w:rPr>
          <w:rFonts w:ascii="Source Serif Pro" w:hAnsi="Source Serif Pro"/>
        </w:rPr>
        <w:t>[</w:t>
      </w:r>
      <w:r w:rsidRPr="00CF11A1">
        <w:rPr>
          <w:rFonts w:ascii="Source Serif Pro" w:hAnsi="Source Serif Pro"/>
          <w:b/>
          <w:bCs/>
          <w:shd w:val="clear" w:color="auto" w:fill="FAFBBD"/>
        </w:rPr>
        <w:t>NOME DO CLIENTE e qualificação completa</w:t>
      </w:r>
      <w:r>
        <w:rPr>
          <w:rFonts w:ascii="Source Serif Pro" w:hAnsi="Source Serif Pro"/>
        </w:rPr>
        <w:t>]</w:t>
      </w:r>
      <w:r w:rsidRPr="00CF11A1">
        <w:rPr>
          <w:rFonts w:ascii="Source Serif Pro" w:hAnsi="Source Serif Pro"/>
        </w:rPr>
        <w:t>, atualmente recolhido no presídio......, por ato ilegal praticado pelo juízo da ...... Vara Criminal, pelas razões de fato e de direito a seguir expostas</w:t>
      </w:r>
      <w:r w:rsidR="002D3115">
        <w:rPr>
          <w:rFonts w:ascii="Source Serif Pro" w:hAnsi="Source Serif Pro"/>
        </w:rPr>
        <w:t>:</w:t>
      </w:r>
    </w:p>
    <w:p w14:paraId="1E74CFFF" w14:textId="77777777" w:rsidR="002D3115" w:rsidRPr="007A0B17" w:rsidRDefault="002D3115" w:rsidP="002D3115">
      <w:pPr>
        <w:pStyle w:val="Ttulo1"/>
      </w:pPr>
      <w:r>
        <w:t>DOS FATOS</w:t>
      </w:r>
    </w:p>
    <w:p w14:paraId="458F77EF" w14:textId="77777777" w:rsidR="00BF19AB" w:rsidRDefault="00BF19AB" w:rsidP="00BF19AB">
      <w:pPr>
        <w:pStyle w:val="SemEspaamento"/>
      </w:pPr>
      <w:r>
        <w:t>O paciente foi preso em flagrante após abordagem policial em via pública, ocasião em que se encontrava em deslocamento, seja na condução de veículo, seja como passageiro ou transeunte. Consta do auto de prisão em flagrante que os policiais, ao visualizarem o paciente, decidiram proceder à abordagem e, em seguida, à revista pessoal e veicular, oportunidade em que afirmam ter localizado objetos e/ou substâncias que entenderam caracterizar situação de flagrante delito, dando ensejo à sua condução à delegacia e à lavratura do flagrante.</w:t>
      </w:r>
    </w:p>
    <w:p w14:paraId="0405D9A9" w14:textId="77777777" w:rsidR="00BF19AB" w:rsidRDefault="00BF19AB" w:rsidP="00BF19AB">
      <w:pPr>
        <w:pStyle w:val="SemEspaamento"/>
      </w:pPr>
      <w:r>
        <w:t xml:space="preserve">Todavia, a leitura atenta do referido auto e dos depoimentos colhidos revela que não houve qualquer descrição concreta de atitude suspeita por parte do paciente que justificasse a intervenção. Os agentes limitam-se a mencionar, de forma genérica, que a diligência decorreu de “informação do setor de inteligência” ou de “denúncia” não especificada, sem apontar elementos objetivos relacionados à </w:t>
      </w:r>
      <w:r>
        <w:lastRenderedPageBreak/>
        <w:t>conduta do paciente naquele momento, como fuga, nervosismo exacerbado, tentativa de ocultar objetos, movimentação típica de comércio ilícito ou qualquer outro dado empírico que configurasse a fundada suspeita exigida pelo art. 244 do CPP.</w:t>
      </w:r>
    </w:p>
    <w:p w14:paraId="2DA54DAD" w14:textId="7F35BA17" w:rsidR="004E1F61" w:rsidRDefault="00BF19AB" w:rsidP="00BF19AB">
      <w:pPr>
        <w:pStyle w:val="SemEspaamento"/>
      </w:pPr>
      <w:r>
        <w:t>Apesar dessa evidente ausência de justa causa para a abordagem e a revista, a prisão em flagrante foi homologada e, em muitos casos, convertida em preventiva, passando o paciente a responder à ação penal com base em prova produzida a partir de busca pessoal/veicular potencialmente ilegal. É justamente contra esse cenário – em que a privação de liberdade e a própria persecução penal decorrem de diligência que afronta o art. 244 do CPP e a jurisprudência consolidada dos Tribunais Superiores – que se insurge o presente habeas corpus, buscando o reconhecimento do constrangimento ilegal e o restabelecimento da liberdade do paciente.</w:t>
      </w:r>
    </w:p>
    <w:p w14:paraId="1D445A7D" w14:textId="77777777" w:rsidR="00A22EBA" w:rsidRDefault="00A22EBA" w:rsidP="00A22EBA">
      <w:pPr>
        <w:pStyle w:val="SemEspaamento"/>
      </w:pPr>
    </w:p>
    <w:p w14:paraId="5087947A" w14:textId="2CB81CB9" w:rsidR="002D3115" w:rsidRDefault="009D22A7" w:rsidP="002D3115">
      <w:pPr>
        <w:pStyle w:val="Ttulo1"/>
        <w:spacing w:before="0" w:after="0" w:line="240" w:lineRule="auto"/>
      </w:pPr>
      <w:r w:rsidRPr="009D22A7">
        <w:t>AUSÊNCIA DE FUNDADAS RAZÕES</w:t>
      </w:r>
    </w:p>
    <w:p w14:paraId="7C57FDD5" w14:textId="76AF0498" w:rsidR="002D3115" w:rsidRPr="00547988" w:rsidRDefault="009D22A7" w:rsidP="0044781C">
      <w:pPr>
        <w:pBdr>
          <w:top w:val="single" w:sz="4" w:space="1" w:color="auto"/>
        </w:pBdr>
        <w:shd w:val="clear" w:color="auto" w:fill="FFFFFF" w:themeFill="background1"/>
        <w:spacing w:after="240"/>
        <w:ind w:firstLine="283"/>
        <w:rPr>
          <w:rFonts w:ascii="Source Sans Pro" w:hAnsi="Source Sans Pro"/>
          <w:i/>
          <w:iCs/>
          <w:shd w:val="clear" w:color="auto" w:fill="FFFFFF" w:themeFill="background1"/>
        </w:rPr>
      </w:pPr>
      <w:bookmarkStart w:id="0" w:name="_Hlk214785688"/>
      <w:r>
        <w:rPr>
          <w:rFonts w:ascii="Source Sans Pro" w:hAnsi="Source Sans Pro"/>
          <w:i/>
          <w:iCs/>
          <w:shd w:val="clear" w:color="auto" w:fill="FFFFFF" w:themeFill="background1"/>
        </w:rPr>
        <w:t>Afronta ao entendimento consolidado pelo STJ</w:t>
      </w:r>
      <w:bookmarkEnd w:id="0"/>
      <w:r>
        <w:rPr>
          <w:rFonts w:ascii="Source Sans Pro" w:hAnsi="Source Sans Pro"/>
          <w:i/>
          <w:iCs/>
          <w:shd w:val="clear" w:color="auto" w:fill="FFFFFF" w:themeFill="background1"/>
        </w:rPr>
        <w:t xml:space="preserve"> - </w:t>
      </w:r>
      <w:r w:rsidRPr="009D22A7">
        <w:rPr>
          <w:rFonts w:ascii="Source Sans Pro" w:hAnsi="Source Sans Pro"/>
          <w:i/>
          <w:iCs/>
          <w:shd w:val="clear" w:color="auto" w:fill="FFFFFF" w:themeFill="background1"/>
        </w:rPr>
        <w:t>RCD no HC n. 1.030.367/SP</w:t>
      </w:r>
    </w:p>
    <w:p w14:paraId="4E6DED15" w14:textId="77777777" w:rsidR="009D22A7" w:rsidRPr="009D22A7" w:rsidRDefault="009D22A7" w:rsidP="009D22A7">
      <w:pPr>
        <w:pStyle w:val="SemEspaamento"/>
      </w:pPr>
      <w:r w:rsidRPr="009D22A7">
        <w:t xml:space="preserve">No caso em exame, a abordagem e a subsequente busca pessoal/veicular realizadas em face do paciente mostram-se manifestamente ilegais, por absoluta ausência de </w:t>
      </w:r>
      <w:r w:rsidRPr="009D22A7">
        <w:rPr>
          <w:b/>
          <w:bCs/>
        </w:rPr>
        <w:t>fundada suspeita prévia</w:t>
      </w:r>
      <w:r w:rsidRPr="009D22A7">
        <w:t xml:space="preserve"> à diligência. O art. 244 do Código de Processo Penal é expresso ao condicionar a busca pessoal, sem mandado judicial, à existência de fundada suspeita de que a pessoa esteja na posse de arma proibida, objetos ou papéis que constituam corpo de delito, ou à sua determinação no curso de busca domiciliar. Não se trata, portanto, de autorização genérica para revistas aleatórias, mas de medida </w:t>
      </w:r>
      <w:r w:rsidRPr="009D22A7">
        <w:rPr>
          <w:b/>
          <w:bCs/>
        </w:rPr>
        <w:t>excepcional</w:t>
      </w:r>
      <w:r w:rsidRPr="009D22A7">
        <w:t>, subordinada a requisitos objetivos e concretos, que não foram atendidos no caso concreto.</w:t>
      </w:r>
    </w:p>
    <w:p w14:paraId="40C216F9" w14:textId="77777777" w:rsidR="00A108DD" w:rsidRDefault="009D22A7" w:rsidP="009D22A7">
      <w:pPr>
        <w:pStyle w:val="SemEspaamento"/>
      </w:pPr>
      <w:r w:rsidRPr="009D22A7">
        <w:t xml:space="preserve">Os policiais responsáveis pela abordagem e pela lavratura do auto de prisão em flagrante foram categóricos ao afirmar que a revista do paciente e de seu veículo decorreu de “informação repassada pelo setor de inteligência”, sem qualquer detalhamento quanto à origem, precisão ou conteúdo desse informe. </w:t>
      </w:r>
    </w:p>
    <w:p w14:paraId="2C704C5A" w14:textId="77777777" w:rsidR="00A108DD" w:rsidRPr="00552F50" w:rsidRDefault="00A108DD" w:rsidP="00A108DD">
      <w:pPr>
        <w:pStyle w:val="SemEspaamento"/>
        <w:jc w:val="center"/>
      </w:pPr>
      <w:bookmarkStart w:id="1" w:name="_Hlk214785712"/>
      <w:r w:rsidRPr="00552F50">
        <w:rPr>
          <w:highlight w:val="yellow"/>
        </w:rPr>
        <w:t>COLAR O DEPOIMENTO DO CONDUTOR</w:t>
      </w:r>
    </w:p>
    <w:bookmarkEnd w:id="1"/>
    <w:p w14:paraId="6A2D1EE9" w14:textId="70F830E9" w:rsidR="009D22A7" w:rsidRPr="009D22A7" w:rsidRDefault="009D22A7" w:rsidP="009D22A7">
      <w:pPr>
        <w:pStyle w:val="SemEspaamento"/>
      </w:pPr>
      <w:r w:rsidRPr="009D22A7">
        <w:lastRenderedPageBreak/>
        <w:t xml:space="preserve">A jurisprudência do Superior Tribunal de Justiça, contudo, é firme no sentido de que </w:t>
      </w:r>
      <w:r w:rsidRPr="009D22A7">
        <w:rPr>
          <w:b/>
          <w:bCs/>
        </w:rPr>
        <w:t>informações vagas ou genéricas</w:t>
      </w:r>
      <w:r w:rsidRPr="009D22A7">
        <w:t>, como meros informes de inteligência desacompanhados de elementos objetivos, não são suficientes para legitimar a abordagem e a busca pessoal.</w:t>
      </w:r>
    </w:p>
    <w:p w14:paraId="5CF82D22" w14:textId="77777777" w:rsidR="00A108DD" w:rsidRDefault="00A108DD" w:rsidP="00A108DD">
      <w:pPr>
        <w:pStyle w:val="SemEspaamento"/>
        <w:pBdr>
          <w:bottom w:val="single" w:sz="4" w:space="1" w:color="auto"/>
        </w:pBdr>
        <w:spacing w:before="60" w:after="60" w:line="240" w:lineRule="auto"/>
        <w:ind w:left="2268" w:firstLine="0"/>
      </w:pPr>
      <w:bookmarkStart w:id="2" w:name="_Hlk214785732"/>
      <w:r w:rsidRPr="00ED0C3A">
        <w:rPr>
          <w:b/>
          <w:bCs/>
          <w:sz w:val="36"/>
          <w:szCs w:val="36"/>
        </w:rPr>
        <w:t>STJ</w:t>
      </w:r>
      <w:r>
        <w:t xml:space="preserve"> </w:t>
      </w:r>
      <w:r w:rsidRPr="00ED0C3A">
        <w:rPr>
          <w:color w:val="808080" w:themeColor="background1" w:themeShade="80"/>
        </w:rPr>
        <w:t xml:space="preserve">– </w:t>
      </w:r>
      <w:proofErr w:type="spellStart"/>
      <w:r w:rsidRPr="000C4E59">
        <w:rPr>
          <w:color w:val="808080" w:themeColor="background1" w:themeShade="80"/>
        </w:rPr>
        <w:t>AgRg</w:t>
      </w:r>
      <w:proofErr w:type="spellEnd"/>
      <w:r w:rsidRPr="000C4E59">
        <w:rPr>
          <w:color w:val="808080" w:themeColor="background1" w:themeShade="80"/>
        </w:rPr>
        <w:t xml:space="preserve"> no HC n. 930.712/AL, rel. Min. Rogerio </w:t>
      </w:r>
      <w:proofErr w:type="spellStart"/>
      <w:r w:rsidRPr="000C4E59">
        <w:rPr>
          <w:color w:val="808080" w:themeColor="background1" w:themeShade="80"/>
        </w:rPr>
        <w:t>Schietti</w:t>
      </w:r>
      <w:proofErr w:type="spellEnd"/>
      <w:r w:rsidRPr="000C4E59">
        <w:rPr>
          <w:color w:val="808080" w:themeColor="background1" w:themeShade="80"/>
        </w:rPr>
        <w:t xml:space="preserve"> Cruz, Sexta Turma, j. 27/8/2025</w:t>
      </w:r>
      <w:r w:rsidRPr="00580B73">
        <w:rPr>
          <w:color w:val="808080" w:themeColor="background1" w:themeShade="80"/>
        </w:rPr>
        <w:t>.</w:t>
      </w:r>
    </w:p>
    <w:p w14:paraId="37E86677" w14:textId="77777777" w:rsidR="00A108DD" w:rsidRDefault="00A108DD" w:rsidP="00A108DD">
      <w:pPr>
        <w:pStyle w:val="SemEspaamento"/>
        <w:spacing w:before="60" w:after="60" w:line="276" w:lineRule="auto"/>
        <w:ind w:left="2268" w:firstLine="0"/>
        <w:rPr>
          <w:i/>
          <w:iCs/>
        </w:rPr>
      </w:pPr>
      <w:r w:rsidRPr="000C4E59">
        <w:rPr>
          <w:i/>
          <w:iCs/>
        </w:rPr>
        <w:t>a busca pessoal e veicular sem mandado judicial exige fundada suspeita, baseada em elementos objetivos e concretos, não sendo suficiente a mera informação vaga de fonte de inteligência</w:t>
      </w:r>
      <w:bookmarkEnd w:id="2"/>
      <w:r>
        <w:rPr>
          <w:i/>
          <w:iCs/>
        </w:rPr>
        <w:t>.</w:t>
      </w:r>
    </w:p>
    <w:p w14:paraId="7483A74D" w14:textId="7533BD75" w:rsidR="009E6E78" w:rsidRPr="00A67F26" w:rsidRDefault="009E6E78" w:rsidP="00916E64">
      <w:pPr>
        <w:pStyle w:val="SemEspaamento"/>
        <w:spacing w:before="60" w:after="60" w:line="276" w:lineRule="auto"/>
        <w:ind w:left="2268" w:firstLine="0"/>
        <w:rPr>
          <w:i/>
          <w:iCs/>
        </w:rPr>
      </w:pPr>
    </w:p>
    <w:p w14:paraId="40195A07" w14:textId="77777777" w:rsidR="00A108DD" w:rsidRPr="00A108DD" w:rsidRDefault="00A108DD" w:rsidP="00A108DD">
      <w:pPr>
        <w:pStyle w:val="SemEspaamento"/>
      </w:pPr>
      <w:r w:rsidRPr="00A108DD">
        <w:t xml:space="preserve">O padrão de “fundada suspeita”, interpretado em consonância com a Constituição, exige que o agente estatal disponha, </w:t>
      </w:r>
      <w:r w:rsidRPr="00A108DD">
        <w:rPr>
          <w:b/>
          <w:bCs/>
        </w:rPr>
        <w:t>antes da intervenção</w:t>
      </w:r>
      <w:r w:rsidRPr="00A108DD">
        <w:t>, de elementos concretos e verificáveis, relacionados à pessoa efetivamente abordada, capazes de indicar, de maneira razoável, que ela porta instrumento ou objeto ligado à prática delitiva. Simples boatos, denúncias genéricas, listas de supostos envolvidos com o crime ou informes não detalhados não satisfazem esse patamar de justificação, sob pena de se transformar o art. 244 do CPP em verdadeira carta branca para abordagens arbitrárias. No presente caso, tal como em precedentes do STJ, não há narrativa de qualquer atitude suspeita contemporânea à abordagem: não se descreve fuga, nervosismo exacerbado, tentativa de ocultar objetos, movimentação típica de comércio ilícito ou outra conduta empiricamente ligada à prática criminosa.</w:t>
      </w:r>
    </w:p>
    <w:p w14:paraId="279F8BE0" w14:textId="77777777" w:rsidR="00A108DD" w:rsidRPr="00A108DD" w:rsidRDefault="00A108DD" w:rsidP="00A108DD">
      <w:pPr>
        <w:pStyle w:val="SemEspaamento"/>
      </w:pPr>
      <w:r w:rsidRPr="00A108DD">
        <w:t xml:space="preserve">A Sexta Turma do STJ tem sido categórica ao afirmar que a </w:t>
      </w:r>
      <w:r w:rsidRPr="00A108DD">
        <w:rPr>
          <w:b/>
          <w:bCs/>
        </w:rPr>
        <w:t>ausência de descrição concreta de atitude suspeita</w:t>
      </w:r>
      <w:r w:rsidRPr="00A108DD">
        <w:t xml:space="preserve"> do abordado, capaz de justificar a intervenção policial, torna a busca pessoal/veicular ilegal, resultando na ilicitude das provas obtidas e das derivadas. Quando a motivação para a revista é apenas formal, genérica ou reproduzida em termos padronizados (“em atitude suspeita”), sem lastro fático mínimo, o vício contamina todo o resultado da diligência, tornando ilícitos tanto os objetos encontrados quanto quaisquer elementos probatórios que deles decorram.</w:t>
      </w:r>
    </w:p>
    <w:p w14:paraId="2EC5C5E0" w14:textId="77777777" w:rsidR="00A108DD" w:rsidRPr="00A108DD" w:rsidRDefault="00A108DD" w:rsidP="00A108DD">
      <w:pPr>
        <w:pStyle w:val="SemEspaamento"/>
      </w:pPr>
      <w:r w:rsidRPr="00A108DD">
        <w:t xml:space="preserve">Importa destacar que a descoberta posterior de substâncias ilícitas, armas ou outros objetos </w:t>
      </w:r>
      <w:r w:rsidRPr="00A108DD">
        <w:rPr>
          <w:b/>
          <w:bCs/>
        </w:rPr>
        <w:t xml:space="preserve">não </w:t>
      </w:r>
      <w:proofErr w:type="gramStart"/>
      <w:r w:rsidRPr="00A108DD">
        <w:rPr>
          <w:b/>
          <w:bCs/>
        </w:rPr>
        <w:t>tem</w:t>
      </w:r>
      <w:proofErr w:type="gramEnd"/>
      <w:r w:rsidRPr="00A108DD">
        <w:rPr>
          <w:b/>
          <w:bCs/>
        </w:rPr>
        <w:t xml:space="preserve"> o condão de convalidar a ilegalidade inicial da abordagem</w:t>
      </w:r>
      <w:r w:rsidRPr="00A108DD">
        <w:t xml:space="preserve">. O próprio STJ já assentou que a fundada suspeita deve ser aferida com base no que </w:t>
      </w:r>
      <w:r w:rsidRPr="00A108DD">
        <w:lastRenderedPageBreak/>
        <w:t>se tinha antes da diligência, e não à luz do resultado: “o acerto do resultado não legitima o erro do procedimento”. Em termos simples, prova aparentemente “boa” não se extrai de fonte contaminada.</w:t>
      </w:r>
    </w:p>
    <w:p w14:paraId="7444F05F" w14:textId="77777777" w:rsidR="00A108DD" w:rsidRPr="00A108DD" w:rsidRDefault="00A108DD" w:rsidP="00A108DD">
      <w:pPr>
        <w:pStyle w:val="SemEspaamento"/>
      </w:pPr>
      <w:r w:rsidRPr="00A108DD">
        <w:t xml:space="preserve">Nessa linha, aplica-se diretamente o art. 157 do CPP, que consagra a teoria dos frutos da árvore envenenada. Se a busca pessoal/veicular é ilegítima por ausência de fundada suspeita, </w:t>
      </w:r>
      <w:r w:rsidRPr="00A108DD">
        <w:rPr>
          <w:b/>
          <w:bCs/>
        </w:rPr>
        <w:t>todo o acervo probatório dela decorrente</w:t>
      </w:r>
      <w:r w:rsidRPr="00A108DD">
        <w:t xml:space="preserve"> – inclusive a própria situação de flagrância alegada pela autoridade policial – revela-se igualmente ilícito, devendo ser desentranhado dos autos. Sem essa prova, não subsiste justa causa para a persecução penal, tampouco para a manutenção da prisão do paciente.</w:t>
      </w:r>
    </w:p>
    <w:p w14:paraId="13C67017" w14:textId="77777777" w:rsidR="00A108DD" w:rsidRPr="00A108DD" w:rsidRDefault="00A108DD" w:rsidP="00A108DD">
      <w:pPr>
        <w:pStyle w:val="SemEspaamento"/>
      </w:pPr>
      <w:r w:rsidRPr="00A108DD">
        <w:t xml:space="preserve">A ilegalidade da busca repercute, ainda, sobre a própria prisão em flagrante, que se mostra eivada de nulidade absoluta, por decorrer de diligência inconstitucional e contrária ao disposto no art. 244 do CPP. Não havendo situação de flagrância legitimamente constituída, a custódia converte-se em verdadeiro </w:t>
      </w:r>
      <w:r w:rsidRPr="00A108DD">
        <w:rPr>
          <w:b/>
          <w:bCs/>
        </w:rPr>
        <w:t>flagrante ilegal</w:t>
      </w:r>
      <w:r w:rsidRPr="00A108DD">
        <w:t>, incompatível com o art. 5º, LXV, da Constituição Federal, que impõe o relaxamento da prisão ilegal, bem como com o art. 310, I, do CPP, que obriga o juiz a relaxar o flagrante quando verificar qualquer vício.</w:t>
      </w:r>
    </w:p>
    <w:p w14:paraId="3EC6D455" w14:textId="77777777" w:rsidR="00A108DD" w:rsidRPr="00A108DD" w:rsidRDefault="00A108DD" w:rsidP="00A108DD">
      <w:pPr>
        <w:pStyle w:val="SemEspaamento"/>
      </w:pPr>
      <w:r w:rsidRPr="00A108DD">
        <w:t xml:space="preserve">Em suma, a atuação policial desprovida de fundada suspeita concreta traduziu-se em violação direta às garantias constitucionais da inviolabilidade da intimidade, da liberdade de locomoção e do devido processo legal, convertendo a busca pessoal/veicular em ato arbitrário e a prisão em flagrante em constrangimento ilegal. À luz da literalidade do art. 244 do CPP e da jurisprudência consolidada do STJ, impõe-se reconhecer a nulidade da revista, a ilicitude de todas as provas dela decorrentes e, via de consequência, o </w:t>
      </w:r>
      <w:r w:rsidRPr="00A108DD">
        <w:rPr>
          <w:b/>
          <w:bCs/>
        </w:rPr>
        <w:t>relaxamento imediato da prisão do paciente</w:t>
      </w:r>
      <w:r w:rsidRPr="00A108DD">
        <w:t>.</w:t>
      </w:r>
    </w:p>
    <w:p w14:paraId="75708466" w14:textId="77777777" w:rsidR="00435014" w:rsidRDefault="00435014" w:rsidP="002A79CB">
      <w:pPr>
        <w:pStyle w:val="SemEspaamento"/>
      </w:pPr>
    </w:p>
    <w:p w14:paraId="1211CC55" w14:textId="77777777" w:rsidR="00332135" w:rsidRDefault="00332135" w:rsidP="002A79CB">
      <w:pPr>
        <w:pStyle w:val="SemEspaamento"/>
      </w:pPr>
    </w:p>
    <w:p w14:paraId="456D041D" w14:textId="77777777" w:rsidR="00332135" w:rsidRDefault="00332135" w:rsidP="002A79CB">
      <w:pPr>
        <w:pStyle w:val="SemEspaamento"/>
      </w:pPr>
    </w:p>
    <w:p w14:paraId="63F21AAB" w14:textId="77777777" w:rsidR="00A108DD" w:rsidRDefault="00A108DD" w:rsidP="002A79CB">
      <w:pPr>
        <w:pStyle w:val="SemEspaamento"/>
      </w:pPr>
    </w:p>
    <w:p w14:paraId="4FAE3162" w14:textId="77777777" w:rsidR="00A108DD" w:rsidRPr="002C7BE1" w:rsidRDefault="00A108DD" w:rsidP="002A79CB">
      <w:pPr>
        <w:pStyle w:val="SemEspaamento"/>
      </w:pPr>
    </w:p>
    <w:p w14:paraId="37FB3C55" w14:textId="3C9F6237" w:rsidR="00435014" w:rsidRDefault="00435014" w:rsidP="00435014">
      <w:pPr>
        <w:pStyle w:val="Ttulo1"/>
        <w:spacing w:before="0" w:after="0" w:line="240" w:lineRule="auto"/>
      </w:pPr>
      <w:bookmarkStart w:id="3" w:name="_Hlk214783665"/>
      <w:r>
        <w:lastRenderedPageBreak/>
        <w:t>NECESSIDADE DE CONCESSÃO DA LIMINAR</w:t>
      </w:r>
      <w:r>
        <w:t xml:space="preserve"> </w:t>
      </w:r>
    </w:p>
    <w:p w14:paraId="3C464D24" w14:textId="22336EA6"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 xml:space="preserve">Presença dos requisitos autorizadores </w:t>
      </w:r>
    </w:p>
    <w:p w14:paraId="7C6D553F" w14:textId="77777777" w:rsidR="00A108DD" w:rsidRPr="00A108DD" w:rsidRDefault="00A108DD" w:rsidP="00A108DD">
      <w:pPr>
        <w:pStyle w:val="SemEspaamento"/>
        <w:rPr>
          <w:rFonts w:cstheme="minorHAnsi"/>
          <w:bCs/>
        </w:rPr>
      </w:pPr>
      <w:r w:rsidRPr="00A108DD">
        <w:rPr>
          <w:rFonts w:cstheme="minorHAnsi"/>
          <w:bCs/>
        </w:rPr>
        <w:t xml:space="preserve">A presença do </w:t>
      </w:r>
      <w:r w:rsidRPr="00A108DD">
        <w:rPr>
          <w:rFonts w:cstheme="minorHAnsi"/>
          <w:b/>
          <w:bCs/>
        </w:rPr>
        <w:t>fumus boni iuris</w:t>
      </w:r>
      <w:r w:rsidRPr="00A108DD">
        <w:rPr>
          <w:rFonts w:cstheme="minorHAnsi"/>
          <w:bCs/>
        </w:rPr>
        <w:t xml:space="preserve"> é evidente no caso em análise. A narrativa constante do auto de prisão em flagrante e dos depoimentos dos próprios policiais revela, de forma clara, que a abordagem e a busca pessoal/veicular em desfavor do paciente foram realizadas sem qualquer descrição concreta de atitude suspeita, baseando-se unicamente em vaga informação oriunda de “setor de inteligência”. À luz do art. 244 do CPP e da jurisprudência consolidada do STJ, tal contexto não satisfaz o requisito de fundada suspeita, condição indispensável para legitimar a busca sem mandado. Se a diligência inicial é ilegal, todo o conjunto probatório dela derivado – inclusive a situação de flagrância – mostra-se contaminado, o que demonstra, em juízo de cognição sumária, a plausibilidade do direito invocado.</w:t>
      </w:r>
    </w:p>
    <w:p w14:paraId="096C4BB9" w14:textId="77777777" w:rsidR="00A108DD" w:rsidRPr="00A108DD" w:rsidRDefault="00A108DD" w:rsidP="00A108DD">
      <w:pPr>
        <w:pStyle w:val="SemEspaamento"/>
        <w:rPr>
          <w:rFonts w:cstheme="minorHAnsi"/>
          <w:bCs/>
        </w:rPr>
      </w:pPr>
      <w:r w:rsidRPr="00A108DD">
        <w:rPr>
          <w:rFonts w:cstheme="minorHAnsi"/>
          <w:bCs/>
        </w:rPr>
        <w:t>O constrangimento ilegal não está apoiado em mera irresignação defensiva, mas em flagrante violação a regras constitucionais e legais de proteção à liberdade e à intimidade. A custódia do paciente foi construída, exclusivamente, a partir de revista pessoal/veicular que desrespeitou o art. 244 do CPP, pois não há, nos autos, qualquer relato de fuga, nervosismo exacerbado, tentativa de ocultar objetos ou qualquer outro comportamento empiricamente ligado à prática criminosa. Nessas condições, a prisão em flagrante – e eventual preventiva que dela se seguiu – carece de suporte jurídico idôneo, o que configura o bom direito necessário à atuação urgente desta Egrégia Câmara Criminal.</w:t>
      </w:r>
    </w:p>
    <w:p w14:paraId="1AA1B92C" w14:textId="77777777" w:rsidR="00A108DD" w:rsidRPr="00A108DD" w:rsidRDefault="00A108DD" w:rsidP="00A108DD">
      <w:pPr>
        <w:pStyle w:val="SemEspaamento"/>
        <w:rPr>
          <w:rFonts w:cstheme="minorHAnsi"/>
          <w:bCs/>
        </w:rPr>
      </w:pPr>
      <w:r w:rsidRPr="00A108DD">
        <w:rPr>
          <w:rFonts w:cstheme="minorHAnsi"/>
          <w:bCs/>
        </w:rPr>
        <w:t xml:space="preserve">O </w:t>
      </w:r>
      <w:r w:rsidRPr="00A108DD">
        <w:rPr>
          <w:rFonts w:cstheme="minorHAnsi"/>
          <w:b/>
          <w:bCs/>
        </w:rPr>
        <w:t>periculum in mora</w:t>
      </w:r>
      <w:r w:rsidRPr="00A108DD">
        <w:rPr>
          <w:rFonts w:cstheme="minorHAnsi"/>
          <w:bCs/>
        </w:rPr>
        <w:t xml:space="preserve"> também se mostra presente de forma intensa e inegável. O paciente encontra-se privado de sua liberdade com base em prova cuja origem é séria e tecnicamente contestada, fruto de diligência que, em tese, afronta diretamente o devido processo legal e a garantia contra buscas arbitrárias. A cada dia de manutenção dessa prisão, renova-se o dano à sua liberdade, honra e à sua esfera pessoal, gerando prejuízo que não pode ser reparado integralmente por eventual decisão futura favorável, se a tutela de urgência não for concedida neste momento.</w:t>
      </w:r>
    </w:p>
    <w:p w14:paraId="494992F8" w14:textId="77777777" w:rsidR="00A108DD" w:rsidRPr="00A108DD" w:rsidRDefault="00A108DD" w:rsidP="00A108DD">
      <w:pPr>
        <w:pStyle w:val="SemEspaamento"/>
        <w:rPr>
          <w:rFonts w:cstheme="minorHAnsi"/>
          <w:bCs/>
        </w:rPr>
      </w:pPr>
      <w:r w:rsidRPr="00A108DD">
        <w:rPr>
          <w:rFonts w:cstheme="minorHAnsi"/>
          <w:bCs/>
        </w:rPr>
        <w:t xml:space="preserve">Ademais, a própria natureza do habeas corpus – remédio constitucional vocacionado à pronta cessação de constrangimentos ilegais à liberdade – reclama a adoção de providência célere quando, como aqui, se demonstram simultaneamente a </w:t>
      </w:r>
      <w:r w:rsidRPr="00A108DD">
        <w:rPr>
          <w:rFonts w:cstheme="minorHAnsi"/>
          <w:bCs/>
        </w:rPr>
        <w:lastRenderedPageBreak/>
        <w:t xml:space="preserve">plausibilidade jurídica da tese e o risco concreto de dano irreversível. Permitir que o paciente permaneça encarcerado até o julgamento definitivo do writ, apesar da robusta indicação de nulidade da busca e das provas, equivaleria a esvaziar a função da liminar em habeas corpus. Por isso, a conjugação do fumus boni iuris e do periculum in mora impõe o </w:t>
      </w:r>
      <w:r w:rsidRPr="00A108DD">
        <w:rPr>
          <w:rFonts w:cstheme="minorHAnsi"/>
          <w:b/>
          <w:bCs/>
        </w:rPr>
        <w:t>deferimento da medida liminar</w:t>
      </w:r>
      <w:r w:rsidRPr="00A108DD">
        <w:rPr>
          <w:rFonts w:cstheme="minorHAnsi"/>
          <w:bCs/>
        </w:rPr>
        <w:t>, com a imediata suspensão dos efeitos da prisão e/ou colocação do paciente em liberdade até o exame de mérito.</w:t>
      </w:r>
    </w:p>
    <w:p w14:paraId="721C8D8E" w14:textId="4A1756E4" w:rsidR="00435014" w:rsidRPr="002A4C6E" w:rsidRDefault="00435014" w:rsidP="002A4C6E">
      <w:pPr>
        <w:pStyle w:val="SemEspaamento"/>
        <w:rPr>
          <w:rFonts w:cstheme="minorHAnsi"/>
          <w:bCs/>
        </w:rPr>
      </w:pPr>
    </w:p>
    <w:bookmarkEnd w:id="3"/>
    <w:p w14:paraId="0D9CD480" w14:textId="77777777" w:rsidR="00435014" w:rsidRDefault="00435014" w:rsidP="00435014">
      <w:pPr>
        <w:pStyle w:val="Ttulo1"/>
        <w:spacing w:before="0" w:after="0" w:line="240" w:lineRule="auto"/>
      </w:pPr>
      <w:r w:rsidRPr="00E71747">
        <w:t>NECESSIDADE DE DISTINGUISHING</w:t>
      </w:r>
    </w:p>
    <w:p w14:paraId="5490F4BC" w14:textId="77777777" w:rsidR="00435014" w:rsidRPr="00547988" w:rsidRDefault="00435014" w:rsidP="00435014">
      <w:pPr>
        <w:pBdr>
          <w:top w:val="single" w:sz="4" w:space="1" w:color="auto"/>
        </w:pBdr>
        <w:shd w:val="clear" w:color="auto" w:fill="FFFFFF" w:themeFill="background1"/>
        <w:spacing w:after="240"/>
        <w:ind w:left="709"/>
        <w:rPr>
          <w:rFonts w:ascii="Source Sans Pro" w:hAnsi="Source Sans Pro"/>
          <w:i/>
          <w:iCs/>
          <w:shd w:val="clear" w:color="auto" w:fill="FFFFFF" w:themeFill="background1"/>
        </w:rPr>
      </w:pPr>
      <w:r>
        <w:rPr>
          <w:rFonts w:ascii="Source Sans Pro" w:hAnsi="Source Sans Pro"/>
          <w:i/>
          <w:iCs/>
          <w:shd w:val="clear" w:color="auto" w:fill="FFFFFF" w:themeFill="background1"/>
        </w:rPr>
        <w:t>Teses apresentadas que se adequam ao entendimento do STJ</w:t>
      </w:r>
    </w:p>
    <w:p w14:paraId="5809C004" w14:textId="77777777" w:rsidR="00435014" w:rsidRPr="00150C5B" w:rsidRDefault="00435014" w:rsidP="00435014">
      <w:pPr>
        <w:pStyle w:val="SemEspaamento"/>
      </w:pPr>
      <w:r w:rsidRPr="00150C5B">
        <w:t>O patrono do requerente apresent</w:t>
      </w:r>
      <w:r>
        <w:t>ou</w:t>
      </w:r>
      <w:r w:rsidRPr="00150C5B">
        <w:t xml:space="preserve"> julgados e decisões dos tribunais superiores para corroborar as teses defensivas lançadas na presente peça.</w:t>
      </w:r>
    </w:p>
    <w:p w14:paraId="09182CA1" w14:textId="77777777" w:rsidR="00435014" w:rsidRPr="00150C5B" w:rsidRDefault="00435014" w:rsidP="00435014">
      <w:pPr>
        <w:pStyle w:val="SemEspaamento"/>
      </w:pPr>
      <w:r w:rsidRPr="00150C5B">
        <w:t xml:space="preserve">Em todas há similitude fática e jurídica com o caso em apreço. Contudo, caso o juízo entenda de maneira diversa, </w:t>
      </w:r>
      <w:r>
        <w:t>requer que elucide na decisão a ser proferida</w:t>
      </w:r>
      <w:r w:rsidRPr="00150C5B">
        <w:t xml:space="preserve"> a diferença entre o presente caso e o</w:t>
      </w:r>
      <w:r>
        <w:t>s</w:t>
      </w:r>
      <w:r w:rsidRPr="00150C5B">
        <w:t xml:space="preserve"> precedente</w:t>
      </w:r>
      <w:r>
        <w:t>s</w:t>
      </w:r>
      <w:r w:rsidRPr="00150C5B">
        <w:t xml:space="preserve"> </w:t>
      </w:r>
      <w:r>
        <w:t>apontados na peça</w:t>
      </w:r>
      <w:r w:rsidRPr="00150C5B">
        <w:t xml:space="preserve">, bem como </w:t>
      </w:r>
      <w:r>
        <w:t xml:space="preserve">que </w:t>
      </w:r>
      <w:r w:rsidRPr="00150C5B">
        <w:t xml:space="preserve">demonstre o motivo pela qual aquele entendimento não se aplica ao presente caso. </w:t>
      </w:r>
    </w:p>
    <w:p w14:paraId="7F74C16D" w14:textId="77777777" w:rsidR="00435014" w:rsidRDefault="00435014" w:rsidP="00435014">
      <w:pPr>
        <w:pStyle w:val="SemEspaamento"/>
      </w:pPr>
      <w:r w:rsidRPr="00150C5B">
        <w:t>Deve ser ressaltado que eventual decisão que não faça essa distinção não poderá ser considerada como suficientemente fundamentada nos termos do art. 315, §2º, VI, gerando vício insuperável.</w:t>
      </w:r>
    </w:p>
    <w:p w14:paraId="3D2D617E" w14:textId="77777777" w:rsidR="00435014" w:rsidRDefault="00435014" w:rsidP="00435014">
      <w:pPr>
        <w:pStyle w:val="SemEspaamento"/>
        <w:pBdr>
          <w:bottom w:val="single" w:sz="4" w:space="1" w:color="auto"/>
        </w:pBdr>
        <w:spacing w:before="60" w:after="60" w:line="240" w:lineRule="auto"/>
        <w:ind w:left="2268" w:firstLine="0"/>
      </w:pPr>
      <w:r>
        <w:rPr>
          <w:b/>
          <w:bCs/>
          <w:sz w:val="36"/>
          <w:szCs w:val="36"/>
        </w:rPr>
        <w:t>CPP</w:t>
      </w:r>
      <w:r>
        <w:t xml:space="preserve"> </w:t>
      </w:r>
      <w:r w:rsidRPr="00ED0C3A">
        <w:rPr>
          <w:color w:val="808080" w:themeColor="background1" w:themeShade="80"/>
        </w:rPr>
        <w:t xml:space="preserve">– </w:t>
      </w:r>
      <w:r>
        <w:rPr>
          <w:color w:val="808080" w:themeColor="background1" w:themeShade="80"/>
        </w:rPr>
        <w:t>art. 315, §2º, VI</w:t>
      </w:r>
      <w:r w:rsidRPr="00580B73">
        <w:rPr>
          <w:color w:val="808080" w:themeColor="background1" w:themeShade="80"/>
        </w:rPr>
        <w:t>.</w:t>
      </w:r>
    </w:p>
    <w:p w14:paraId="1101F206" w14:textId="77777777" w:rsidR="00435014" w:rsidRPr="00E71747" w:rsidRDefault="00435014" w:rsidP="00435014">
      <w:pPr>
        <w:pStyle w:val="SemEspaamento"/>
        <w:spacing w:before="0" w:after="0" w:line="240" w:lineRule="auto"/>
        <w:ind w:left="2268" w:firstLine="0"/>
        <w:rPr>
          <w:i/>
          <w:iCs/>
        </w:rPr>
      </w:pPr>
      <w:r w:rsidRPr="00E71747">
        <w:rPr>
          <w:i/>
          <w:iCs/>
        </w:rPr>
        <w:t>Art. 315. A decisão que decretar, substituir ou denegar a prisão preventiva será sempre motivada e fundamentada.</w:t>
      </w:r>
    </w:p>
    <w:p w14:paraId="12AE7C17" w14:textId="77777777" w:rsidR="00435014" w:rsidRPr="00E71747" w:rsidRDefault="00435014" w:rsidP="00435014">
      <w:pPr>
        <w:pStyle w:val="SemEspaamento"/>
        <w:spacing w:before="0" w:after="0" w:line="240" w:lineRule="auto"/>
        <w:ind w:left="2268" w:firstLine="0"/>
        <w:rPr>
          <w:i/>
          <w:iCs/>
        </w:rPr>
      </w:pPr>
      <w:r w:rsidRPr="00E71747">
        <w:rPr>
          <w:i/>
          <w:iCs/>
        </w:rPr>
        <w:t>§ 2º Não se considera fundamentada qualquer decisão judicial, seja ela interlocutória, sentença ou acórdão, que:</w:t>
      </w:r>
    </w:p>
    <w:p w14:paraId="4ADB42C4" w14:textId="77777777" w:rsidR="00435014" w:rsidRDefault="00435014" w:rsidP="00435014">
      <w:pPr>
        <w:pStyle w:val="SemEspaamento"/>
        <w:spacing w:before="0" w:after="0" w:line="240" w:lineRule="auto"/>
        <w:ind w:left="2268" w:firstLine="0"/>
        <w:rPr>
          <w:i/>
          <w:iCs/>
        </w:rPr>
      </w:pPr>
      <w:r w:rsidRPr="00E71747">
        <w:rPr>
          <w:i/>
          <w:iCs/>
        </w:rPr>
        <w:t xml:space="preserve">VI - </w:t>
      </w:r>
      <w:proofErr w:type="gramStart"/>
      <w:r w:rsidRPr="00E71747">
        <w:rPr>
          <w:i/>
          <w:iCs/>
        </w:rPr>
        <w:t>deixar</w:t>
      </w:r>
      <w:proofErr w:type="gramEnd"/>
      <w:r w:rsidRPr="00E71747">
        <w:rPr>
          <w:i/>
          <w:iCs/>
        </w:rPr>
        <w:t xml:space="preserve"> de seguir enunciado de súmula, jurisprudência ou precedente invocado pela parte, sem demonstrar a existência de distinção no caso em julgamento ou a superação do entendimento.</w:t>
      </w:r>
    </w:p>
    <w:p w14:paraId="26539F40" w14:textId="77777777" w:rsidR="002A4C6E" w:rsidRDefault="002A4C6E" w:rsidP="00435014">
      <w:pPr>
        <w:pStyle w:val="SemEspaamento"/>
        <w:spacing w:before="0" w:after="0" w:line="240" w:lineRule="auto"/>
        <w:ind w:left="2268" w:firstLine="0"/>
        <w:rPr>
          <w:i/>
          <w:iCs/>
        </w:rPr>
      </w:pPr>
    </w:p>
    <w:p w14:paraId="53A0CDED" w14:textId="77777777" w:rsidR="00A108DD" w:rsidRDefault="00A108DD" w:rsidP="00435014">
      <w:pPr>
        <w:pStyle w:val="SemEspaamento"/>
        <w:spacing w:before="0" w:after="0" w:line="240" w:lineRule="auto"/>
        <w:ind w:left="2268" w:firstLine="0"/>
        <w:rPr>
          <w:i/>
          <w:iCs/>
        </w:rPr>
      </w:pPr>
    </w:p>
    <w:p w14:paraId="7C3911B8" w14:textId="77777777" w:rsidR="00A108DD" w:rsidRDefault="00A108DD" w:rsidP="00435014">
      <w:pPr>
        <w:pStyle w:val="SemEspaamento"/>
        <w:spacing w:before="0" w:after="0" w:line="240" w:lineRule="auto"/>
        <w:ind w:left="2268" w:firstLine="0"/>
        <w:rPr>
          <w:i/>
          <w:iCs/>
        </w:rPr>
      </w:pPr>
    </w:p>
    <w:p w14:paraId="580A9D54" w14:textId="77777777" w:rsidR="00A108DD" w:rsidRDefault="00A108DD" w:rsidP="00435014">
      <w:pPr>
        <w:pStyle w:val="SemEspaamento"/>
        <w:spacing w:before="0" w:after="0" w:line="240" w:lineRule="auto"/>
        <w:ind w:left="2268" w:firstLine="0"/>
        <w:rPr>
          <w:i/>
          <w:iCs/>
        </w:rPr>
      </w:pPr>
    </w:p>
    <w:p w14:paraId="563BA6F1" w14:textId="77777777" w:rsidR="00A108DD" w:rsidRDefault="00A108DD" w:rsidP="00435014">
      <w:pPr>
        <w:pStyle w:val="SemEspaamento"/>
        <w:spacing w:before="0" w:after="0" w:line="240" w:lineRule="auto"/>
        <w:ind w:left="2268" w:firstLine="0"/>
        <w:rPr>
          <w:i/>
          <w:iCs/>
        </w:rPr>
      </w:pPr>
    </w:p>
    <w:p w14:paraId="73E39172" w14:textId="0BA79212" w:rsidR="00B85546" w:rsidRPr="008A42DE" w:rsidRDefault="002D3115" w:rsidP="008A42DE">
      <w:pPr>
        <w:pStyle w:val="Ttulo1"/>
        <w:spacing w:before="0" w:after="0" w:line="240" w:lineRule="auto"/>
      </w:pPr>
      <w:r>
        <w:lastRenderedPageBreak/>
        <w:t>DO PEDIDO</w:t>
      </w:r>
    </w:p>
    <w:p w14:paraId="262ABB1F" w14:textId="77777777" w:rsidR="00015D08" w:rsidRDefault="00015D08" w:rsidP="00015D08">
      <w:pPr>
        <w:spacing w:before="120" w:after="120" w:line="312" w:lineRule="auto"/>
        <w:ind w:firstLine="567"/>
        <w:jc w:val="both"/>
        <w:rPr>
          <w:rFonts w:ascii="Source Serif Pro" w:hAnsi="Source Serif Pro"/>
        </w:rPr>
      </w:pPr>
    </w:p>
    <w:p w14:paraId="334FC792" w14:textId="77777777" w:rsidR="00A108DD" w:rsidRPr="00A108DD" w:rsidRDefault="00A108DD" w:rsidP="00A108DD">
      <w:pPr>
        <w:spacing w:before="120" w:after="120" w:line="312" w:lineRule="auto"/>
        <w:ind w:firstLine="567"/>
        <w:jc w:val="both"/>
        <w:rPr>
          <w:rFonts w:ascii="Source Serif Pro" w:hAnsi="Source Serif Pro"/>
        </w:rPr>
      </w:pPr>
      <w:r w:rsidRPr="00A108DD">
        <w:rPr>
          <w:rFonts w:ascii="Source Serif Pro" w:hAnsi="Source Serif Pro"/>
        </w:rPr>
        <w:t xml:space="preserve">Diante do flagrante constrangimento ilegal demonstrado, requer o Impetrante, </w:t>
      </w:r>
      <w:r w:rsidRPr="00A108DD">
        <w:rPr>
          <w:rFonts w:ascii="Source Serif Pro" w:hAnsi="Source Serif Pro"/>
          <w:b/>
          <w:bCs/>
        </w:rPr>
        <w:t>em caráter liminar</w:t>
      </w:r>
      <w:r w:rsidRPr="00A108DD">
        <w:rPr>
          <w:rFonts w:ascii="Source Serif Pro" w:hAnsi="Source Serif Pro"/>
        </w:rPr>
        <w:t xml:space="preserve">, a Vossas Excelências, integrantes desta Egrégia Câmara Criminal, que seja </w:t>
      </w:r>
      <w:r w:rsidRPr="00A108DD">
        <w:rPr>
          <w:rFonts w:ascii="Source Serif Pro" w:hAnsi="Source Serif Pro"/>
          <w:b/>
          <w:bCs/>
        </w:rPr>
        <w:t>imediatamente suspensa a eficácia da prisão</w:t>
      </w:r>
      <w:r w:rsidRPr="00A108DD">
        <w:rPr>
          <w:rFonts w:ascii="Source Serif Pro" w:hAnsi="Source Serif Pro"/>
        </w:rPr>
        <w:t xml:space="preserve"> decorrente da busca pessoal/veicular realizada em desfavor do paciente, reconhecendo-se, em juízo de cognição sumária, a ilegalidade da abordagem por ausência de fundada suspeita (art. 244 do CPP). Requer, assim, a </w:t>
      </w:r>
      <w:r w:rsidRPr="00A108DD">
        <w:rPr>
          <w:rFonts w:ascii="Source Serif Pro" w:hAnsi="Source Serif Pro"/>
          <w:b/>
          <w:bCs/>
        </w:rPr>
        <w:t>imediata colocação do paciente em liberdade</w:t>
      </w:r>
      <w:r w:rsidRPr="00A108DD">
        <w:rPr>
          <w:rFonts w:ascii="Source Serif Pro" w:hAnsi="Source Serif Pro"/>
        </w:rPr>
        <w:t xml:space="preserve">, com expedição de </w:t>
      </w:r>
      <w:r w:rsidRPr="00A108DD">
        <w:rPr>
          <w:rFonts w:ascii="Source Serif Pro" w:hAnsi="Source Serif Pro"/>
          <w:b/>
          <w:bCs/>
        </w:rPr>
        <w:t>alvará de soltura</w:t>
      </w:r>
      <w:r w:rsidRPr="00A108DD">
        <w:rPr>
          <w:rFonts w:ascii="Source Serif Pro" w:hAnsi="Source Serif Pro"/>
        </w:rPr>
        <w:t xml:space="preserve">, se por outro motivo não estiver preso, até o julgamento final deste writ, em razão da presença concomitante do </w:t>
      </w:r>
      <w:r w:rsidRPr="00A108DD">
        <w:rPr>
          <w:rFonts w:ascii="Source Serif Pro" w:hAnsi="Source Serif Pro"/>
          <w:i/>
          <w:iCs/>
        </w:rPr>
        <w:t>fumus boni iuris</w:t>
      </w:r>
      <w:r w:rsidRPr="00A108DD">
        <w:rPr>
          <w:rFonts w:ascii="Source Serif Pro" w:hAnsi="Source Serif Pro"/>
        </w:rPr>
        <w:t xml:space="preserve"> (ilegalidade evidente da revista) e do </w:t>
      </w:r>
      <w:r w:rsidRPr="00A108DD">
        <w:rPr>
          <w:rFonts w:ascii="Source Serif Pro" w:hAnsi="Source Serif Pro"/>
          <w:i/>
          <w:iCs/>
        </w:rPr>
        <w:t>periculum in mora</w:t>
      </w:r>
      <w:r w:rsidRPr="00A108DD">
        <w:rPr>
          <w:rFonts w:ascii="Source Serif Pro" w:hAnsi="Source Serif Pro"/>
        </w:rPr>
        <w:t xml:space="preserve"> (continuidade da indevida restrição à liberdade).</w:t>
      </w:r>
    </w:p>
    <w:p w14:paraId="16A7F433" w14:textId="5F6B1B2F" w:rsidR="00A108DD" w:rsidRPr="00A108DD" w:rsidRDefault="00A108DD" w:rsidP="00A108DD">
      <w:pPr>
        <w:spacing w:before="120" w:after="120" w:line="312" w:lineRule="auto"/>
        <w:ind w:firstLine="567"/>
        <w:jc w:val="both"/>
        <w:rPr>
          <w:rFonts w:ascii="Source Serif Pro" w:hAnsi="Source Serif Pro"/>
        </w:rPr>
      </w:pPr>
      <w:r w:rsidRPr="00A108DD">
        <w:rPr>
          <w:rFonts w:ascii="Source Serif Pro" w:hAnsi="Source Serif Pro"/>
        </w:rPr>
        <w:t xml:space="preserve">No mérito, requer seja </w:t>
      </w:r>
      <w:r w:rsidRPr="00A108DD">
        <w:rPr>
          <w:rFonts w:ascii="Source Serif Pro" w:hAnsi="Source Serif Pro"/>
          <w:b/>
          <w:bCs/>
        </w:rPr>
        <w:t>concedida em definitivo a ordem de habeas corpus</w:t>
      </w:r>
      <w:r w:rsidRPr="00A108DD">
        <w:rPr>
          <w:rFonts w:ascii="Source Serif Pro" w:hAnsi="Source Serif Pro"/>
        </w:rPr>
        <w:t xml:space="preserve">, para que </w:t>
      </w:r>
      <w:proofErr w:type="gramStart"/>
      <w:r w:rsidRPr="00A108DD">
        <w:rPr>
          <w:rFonts w:ascii="Source Serif Pro" w:hAnsi="Source Serif Pro"/>
        </w:rPr>
        <w:t>esta</w:t>
      </w:r>
      <w:proofErr w:type="gramEnd"/>
      <w:r w:rsidRPr="00A108DD">
        <w:rPr>
          <w:rFonts w:ascii="Source Serif Pro" w:hAnsi="Source Serif Pro"/>
        </w:rPr>
        <w:t xml:space="preserve"> Egrégia Câmara Criminal </w:t>
      </w:r>
      <w:r w:rsidRPr="00A108DD">
        <w:rPr>
          <w:rFonts w:ascii="Source Serif Pro" w:hAnsi="Source Serif Pro"/>
          <w:b/>
          <w:bCs/>
        </w:rPr>
        <w:t>reconheça a nulidade da busca pessoal/veicular realizada</w:t>
      </w:r>
      <w:r w:rsidRPr="00A108DD">
        <w:rPr>
          <w:rFonts w:ascii="Source Serif Pro" w:hAnsi="Source Serif Pro"/>
        </w:rPr>
        <w:t xml:space="preserve">, por afronta ao art. 244 do Código de Processo Penal e à jurisprudência consolidada do Superior Tribunal de Justiça, declarando-se, em consequência, a </w:t>
      </w:r>
      <w:r w:rsidRPr="00A108DD">
        <w:rPr>
          <w:rFonts w:ascii="Source Serif Pro" w:hAnsi="Source Serif Pro"/>
          <w:b/>
          <w:bCs/>
        </w:rPr>
        <w:t>ilicitude de todas as provas obtidas</w:t>
      </w:r>
      <w:r w:rsidRPr="00A108DD">
        <w:rPr>
          <w:rFonts w:ascii="Source Serif Pro" w:hAnsi="Source Serif Pro"/>
        </w:rPr>
        <w:t xml:space="preserve"> a partir dessa diligência e das que delas derivam, nos termos do art. 157 do CPP (teoria dos frutos da árvore envenenada). Requer, ainda, que, expurgadas tais provas do caderno processual, seja reconhecida a </w:t>
      </w:r>
      <w:r w:rsidRPr="00A108DD">
        <w:rPr>
          <w:rFonts w:ascii="Source Serif Pro" w:hAnsi="Source Serif Pro"/>
          <w:b/>
          <w:bCs/>
        </w:rPr>
        <w:t>ausência de justa causa para a persecução penal</w:t>
      </w:r>
      <w:r w:rsidRPr="00A108DD">
        <w:rPr>
          <w:rFonts w:ascii="Source Serif Pro" w:hAnsi="Source Serif Pro"/>
        </w:rPr>
        <w:t xml:space="preserve"> e, se ainda em fase de flagrante, o </w:t>
      </w:r>
      <w:r w:rsidRPr="00A108DD">
        <w:rPr>
          <w:rFonts w:ascii="Source Serif Pro" w:hAnsi="Source Serif Pro"/>
          <w:b/>
          <w:bCs/>
        </w:rPr>
        <w:t>relaxamento da prisão ilegal</w:t>
      </w:r>
      <w:r w:rsidRPr="00A108DD">
        <w:rPr>
          <w:rFonts w:ascii="Source Serif Pro" w:hAnsi="Source Serif Pro"/>
        </w:rPr>
        <w:t xml:space="preserve"> (art. 5º, LXV, da CF e art. 310, I, do CPP); se já convertida em preventiva, a </w:t>
      </w:r>
      <w:r w:rsidRPr="00A108DD">
        <w:rPr>
          <w:rFonts w:ascii="Source Serif Pro" w:hAnsi="Source Serif Pro"/>
          <w:b/>
          <w:bCs/>
        </w:rPr>
        <w:t>revogação da custódia cautelar</w:t>
      </w:r>
      <w:r w:rsidRPr="00A108DD">
        <w:rPr>
          <w:rFonts w:ascii="Source Serif Pro" w:hAnsi="Source Serif Pro"/>
        </w:rPr>
        <w:t>, com vedação de nova decretação com base nas mesmas provas ilícitas.</w:t>
      </w:r>
    </w:p>
    <w:p w14:paraId="6F559E63" w14:textId="1FD46C69" w:rsidR="00D8503E" w:rsidRPr="00D8503E" w:rsidRDefault="00D8503E" w:rsidP="00D8503E">
      <w:pPr>
        <w:spacing w:before="120" w:after="120" w:line="312" w:lineRule="auto"/>
        <w:ind w:firstLine="567"/>
        <w:jc w:val="both"/>
        <w:rPr>
          <w:rFonts w:ascii="Source Serif Pro" w:hAnsi="Source Serif Pro"/>
        </w:rPr>
      </w:pPr>
    </w:p>
    <w:p w14:paraId="191844BF" w14:textId="394FF0A0" w:rsidR="0015581C" w:rsidRPr="0015581C" w:rsidRDefault="0015581C" w:rsidP="0015581C">
      <w:pPr>
        <w:spacing w:before="120" w:after="120" w:line="312" w:lineRule="auto"/>
        <w:ind w:firstLine="567"/>
        <w:jc w:val="both"/>
        <w:rPr>
          <w:rFonts w:ascii="Source Serif Pro" w:hAnsi="Source Serif Pro"/>
        </w:rPr>
      </w:pPr>
      <w:r w:rsidRPr="0015581C">
        <w:rPr>
          <w:rFonts w:ascii="Source Serif Pro" w:hAnsi="Source Serif Pro"/>
        </w:rPr>
        <w:t>Respeitosamente, requer o deferimento.</w:t>
      </w:r>
    </w:p>
    <w:p w14:paraId="788C5C33" w14:textId="29C32AC9" w:rsidR="0015581C" w:rsidRPr="0015581C" w:rsidRDefault="006A3AEB" w:rsidP="0015581C">
      <w:pPr>
        <w:spacing w:before="120" w:after="120" w:line="312" w:lineRule="auto"/>
        <w:ind w:firstLine="567"/>
        <w:jc w:val="both"/>
        <w:rPr>
          <w:rFonts w:ascii="Source Serif Pro" w:hAnsi="Source Serif Pro"/>
        </w:rPr>
      </w:pPr>
      <w:r>
        <w:rPr>
          <w:rFonts w:ascii="Source Serif Pro" w:hAnsi="Source Serif Pro"/>
        </w:rPr>
        <w:t>Cidade e estado</w:t>
      </w:r>
      <w:r w:rsidR="0015581C" w:rsidRPr="0015581C">
        <w:rPr>
          <w:rFonts w:ascii="Source Serif Pro" w:hAnsi="Source Serif Pro"/>
        </w:rPr>
        <w:t xml:space="preserve">, </w:t>
      </w:r>
      <w:r w:rsidR="0015581C">
        <w:rPr>
          <w:rFonts w:ascii="Source Serif Pro" w:hAnsi="Source Serif Pro"/>
        </w:rPr>
        <w:fldChar w:fldCharType="begin"/>
      </w:r>
      <w:r w:rsidR="0015581C">
        <w:rPr>
          <w:rFonts w:ascii="Source Serif Pro" w:hAnsi="Source Serif Pro"/>
        </w:rPr>
        <w:instrText xml:space="preserve"> TIME \@ "d' de 'MMMM' de 'yyyy" </w:instrText>
      </w:r>
      <w:r w:rsidR="0015581C">
        <w:rPr>
          <w:rFonts w:ascii="Source Serif Pro" w:hAnsi="Source Serif Pro"/>
        </w:rPr>
        <w:fldChar w:fldCharType="separate"/>
      </w:r>
      <w:r w:rsidR="0023351C">
        <w:rPr>
          <w:rFonts w:ascii="Source Serif Pro" w:hAnsi="Source Serif Pro"/>
          <w:noProof/>
        </w:rPr>
        <w:t>23 de novembro de 2025</w:t>
      </w:r>
      <w:r w:rsidR="0015581C">
        <w:rPr>
          <w:rFonts w:ascii="Source Serif Pro" w:hAnsi="Source Serif Pro"/>
        </w:rPr>
        <w:fldChar w:fldCharType="end"/>
      </w:r>
      <w:r w:rsidR="0015581C" w:rsidRPr="0015581C">
        <w:rPr>
          <w:rFonts w:ascii="Source Serif Pro" w:hAnsi="Source Serif Pro"/>
        </w:rPr>
        <w:t>.</w:t>
      </w:r>
    </w:p>
    <w:p w14:paraId="6504CE75" w14:textId="77777777" w:rsidR="007C59F9" w:rsidRDefault="007C59F9" w:rsidP="006A3AEB">
      <w:pPr>
        <w:spacing w:after="0" w:line="240" w:lineRule="auto"/>
        <w:jc w:val="center"/>
        <w:rPr>
          <w:rFonts w:ascii="Source Serif Pro" w:hAnsi="Source Serif Pro"/>
        </w:rPr>
      </w:pPr>
    </w:p>
    <w:p w14:paraId="2DA090D7" w14:textId="533CF80C" w:rsidR="0015581C" w:rsidRDefault="006A3AEB" w:rsidP="006A3AEB">
      <w:pPr>
        <w:spacing w:after="0" w:line="240" w:lineRule="auto"/>
        <w:jc w:val="center"/>
        <w:rPr>
          <w:rFonts w:ascii="Source Serif Pro" w:hAnsi="Source Serif Pro"/>
        </w:rPr>
      </w:pPr>
      <w:r>
        <w:rPr>
          <w:rFonts w:ascii="Source Serif Pro" w:hAnsi="Source Serif Pro"/>
        </w:rPr>
        <w:t>Nome do advogado</w:t>
      </w:r>
    </w:p>
    <w:p w14:paraId="3DC37275" w14:textId="799E4ABF" w:rsidR="0015581C" w:rsidRDefault="006A3AEB" w:rsidP="00983A54">
      <w:pPr>
        <w:spacing w:after="0" w:line="240" w:lineRule="auto"/>
        <w:jc w:val="center"/>
        <w:rPr>
          <w:rFonts w:ascii="Source Serif Pro" w:hAnsi="Source Serif Pro"/>
        </w:rPr>
      </w:pPr>
      <w:r>
        <w:rPr>
          <w:rFonts w:ascii="Source Serif Pro" w:hAnsi="Source Serif Pro"/>
        </w:rPr>
        <w:t>OAB/.... XXX.XXX</w:t>
      </w:r>
    </w:p>
    <w:sectPr w:rsidR="0015581C" w:rsidSect="00D9239D">
      <w:headerReference w:type="default" r:id="rId8"/>
      <w:footerReference w:type="default" r:id="rId9"/>
      <w:headerReference w:type="first" r:id="rId10"/>
      <w:footerReference w:type="first" r:id="rId11"/>
      <w:pgSz w:w="11906" w:h="16838"/>
      <w:pgMar w:top="1778" w:right="1531" w:bottom="1701" w:left="153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34363" w14:textId="77777777" w:rsidR="00497AA0" w:rsidRDefault="00497AA0" w:rsidP="00BA1F94">
      <w:pPr>
        <w:spacing w:after="0" w:line="240" w:lineRule="auto"/>
      </w:pPr>
      <w:r>
        <w:separator/>
      </w:r>
    </w:p>
  </w:endnote>
  <w:endnote w:type="continuationSeparator" w:id="0">
    <w:p w14:paraId="78B470B9" w14:textId="77777777" w:rsidR="00497AA0" w:rsidRDefault="00497AA0" w:rsidP="00BA1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ource Serif Pro">
    <w:charset w:val="00"/>
    <w:family w:val="roman"/>
    <w:pitch w:val="variable"/>
    <w:sig w:usb0="20000287" w:usb1="02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50358066"/>
      <w:docPartObj>
        <w:docPartGallery w:val="Page Numbers (Bottom of Page)"/>
        <w:docPartUnique/>
      </w:docPartObj>
    </w:sdtPr>
    <w:sdtContent>
      <w:sdt>
        <w:sdtPr>
          <w:rPr>
            <w:sz w:val="18"/>
            <w:szCs w:val="18"/>
          </w:rPr>
          <w:id w:val="-1769616900"/>
          <w:docPartObj>
            <w:docPartGallery w:val="Page Numbers (Top of Page)"/>
            <w:docPartUnique/>
          </w:docPartObj>
        </w:sdtPr>
        <w:sdtContent>
          <w:p w14:paraId="53A64ADC" w14:textId="232A23E0" w:rsidR="001E7DF5" w:rsidRPr="00D14593" w:rsidRDefault="00860199" w:rsidP="00A8787D">
            <w:pPr>
              <w:pStyle w:val="Rodap"/>
              <w:tabs>
                <w:tab w:val="clear" w:pos="8504"/>
              </w:tabs>
              <w:ind w:right="55"/>
              <w:jc w:val="right"/>
              <w:rPr>
                <w:rFonts w:ascii="Source Sans Pro" w:hAnsi="Source Sans Pro"/>
                <w:b/>
                <w:bCs/>
                <w:sz w:val="18"/>
                <w:szCs w:val="18"/>
              </w:rPr>
            </w:pPr>
            <w:r>
              <w:rPr>
                <w:sz w:val="18"/>
                <w:szCs w:val="18"/>
              </w:rPr>
              <w:t xml:space="preserve">           </w:t>
            </w:r>
            <w:r w:rsidR="001E7DF5" w:rsidRPr="00D14593">
              <w:rPr>
                <w:rFonts w:ascii="Source Sans Pro" w:hAnsi="Source Sans Pro"/>
                <w:sz w:val="18"/>
                <w:szCs w:val="18"/>
              </w:rPr>
              <w:t xml:space="preserve">Página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PAGE</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r w:rsidR="001E7DF5" w:rsidRPr="00D14593">
              <w:rPr>
                <w:rFonts w:ascii="Source Sans Pro" w:hAnsi="Source Sans Pro"/>
                <w:sz w:val="18"/>
                <w:szCs w:val="18"/>
              </w:rPr>
              <w:t xml:space="preserve"> de </w:t>
            </w:r>
            <w:r w:rsidR="001E7DF5" w:rsidRPr="00D14593">
              <w:rPr>
                <w:rFonts w:ascii="Source Sans Pro" w:hAnsi="Source Sans Pro"/>
                <w:b/>
                <w:bCs/>
                <w:sz w:val="18"/>
                <w:szCs w:val="18"/>
              </w:rPr>
              <w:fldChar w:fldCharType="begin"/>
            </w:r>
            <w:r w:rsidR="001E7DF5" w:rsidRPr="00D14593">
              <w:rPr>
                <w:rFonts w:ascii="Source Sans Pro" w:hAnsi="Source Sans Pro"/>
                <w:b/>
                <w:bCs/>
                <w:sz w:val="18"/>
                <w:szCs w:val="18"/>
              </w:rPr>
              <w:instrText>NUMPAGES</w:instrText>
            </w:r>
            <w:r w:rsidR="001E7DF5" w:rsidRPr="00D14593">
              <w:rPr>
                <w:rFonts w:ascii="Source Sans Pro" w:hAnsi="Source Sans Pro"/>
                <w:b/>
                <w:bCs/>
                <w:sz w:val="18"/>
                <w:szCs w:val="18"/>
              </w:rPr>
              <w:fldChar w:fldCharType="separate"/>
            </w:r>
            <w:r w:rsidR="001E7DF5" w:rsidRPr="00D14593">
              <w:rPr>
                <w:rFonts w:ascii="Source Sans Pro" w:hAnsi="Source Sans Pro"/>
                <w:b/>
                <w:bCs/>
                <w:sz w:val="18"/>
                <w:szCs w:val="18"/>
              </w:rPr>
              <w:t>2</w:t>
            </w:r>
            <w:r w:rsidR="001E7DF5" w:rsidRPr="00D14593">
              <w:rPr>
                <w:rFonts w:ascii="Source Sans Pro" w:hAnsi="Source Sans Pro"/>
                <w:b/>
                <w:bCs/>
                <w:sz w:val="18"/>
                <w:szCs w:val="18"/>
              </w:rPr>
              <w:fldChar w:fldCharType="end"/>
            </w:r>
          </w:p>
          <w:p w14:paraId="2A2DCB6D" w14:textId="5F65BC73" w:rsidR="001E7DF5" w:rsidRPr="00D14593" w:rsidRDefault="001E7DF5" w:rsidP="001E7DF5">
            <w:pPr>
              <w:pStyle w:val="Rodap"/>
              <w:ind w:right="57"/>
              <w:rPr>
                <w:rFonts w:ascii="Source Sans Pro" w:hAnsi="Source Sans Pro"/>
                <w:b/>
                <w:bCs/>
                <w:sz w:val="18"/>
                <w:szCs w:val="18"/>
              </w:rPr>
            </w:pPr>
          </w:p>
          <w:p w14:paraId="6D2C8BFF" w14:textId="1A99C2F8" w:rsidR="001E7DF5" w:rsidRPr="00D14593" w:rsidRDefault="00000000" w:rsidP="001E7DF5">
            <w:pPr>
              <w:pStyle w:val="Rodap"/>
              <w:jc w:val="center"/>
              <w:rPr>
                <w:rFonts w:ascii="Source Sans Pro" w:hAnsi="Source Sans Pro"/>
                <w:color w:val="0B0F23"/>
                <w:sz w:val="18"/>
                <w:szCs w:val="18"/>
              </w:rPr>
            </w:pPr>
          </w:p>
        </w:sdtContent>
      </w:sdt>
    </w:sdtContent>
  </w:sdt>
  <w:p w14:paraId="13513B7C" w14:textId="77777777" w:rsidR="00A97C42" w:rsidRDefault="00A97C42" w:rsidP="00A97C4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5E8" w14:textId="1A7DB326" w:rsidR="00585236" w:rsidRPr="00A97C42" w:rsidRDefault="00585236" w:rsidP="00585236">
    <w:pPr>
      <w:pStyle w:val="Rodap"/>
      <w:tabs>
        <w:tab w:val="center" w:pos="4422"/>
      </w:tabs>
      <w:rPr>
        <w:rFonts w:ascii="Source Sans Pro" w:hAnsi="Source Sans Pro"/>
        <w:color w:val="0B0F23"/>
        <w:sz w:val="20"/>
        <w:szCs w:val="20"/>
      </w:rPr>
    </w:pPr>
    <w:r>
      <w:rPr>
        <w:rFonts w:ascii="Source Sans Pro" w:hAnsi="Source Sans Pro"/>
        <w:noProof/>
        <w:color w:val="0B0F23"/>
        <w:sz w:val="20"/>
        <w:szCs w:val="20"/>
      </w:rPr>
      <w:drawing>
        <wp:anchor distT="0" distB="0" distL="114300" distR="114300" simplePos="0" relativeHeight="251665408" behindDoc="0" locked="0" layoutInCell="1" allowOverlap="1" wp14:anchorId="634E67A2" wp14:editId="24282225">
          <wp:simplePos x="0" y="0"/>
          <wp:positionH relativeFrom="margin">
            <wp:posOffset>-778933</wp:posOffset>
          </wp:positionH>
          <wp:positionV relativeFrom="paragraph">
            <wp:posOffset>-71332</wp:posOffset>
          </wp:positionV>
          <wp:extent cx="677333" cy="677333"/>
          <wp:effectExtent l="0" t="0" r="0" b="0"/>
          <wp:wrapNone/>
          <wp:docPr id="2114489095"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1004" name="Imagem 4" descr="Logotipo&#10;&#10;O conteúdo gerado por IA pode estar incorreto."/>
                  <pic:cNvPicPr/>
                </pic:nvPicPr>
                <pic:blipFill>
                  <a:blip r:embed="rId1"/>
                  <a:stretch>
                    <a:fillRect/>
                  </a:stretch>
                </pic:blipFill>
                <pic:spPr>
                  <a:xfrm>
                    <a:off x="0" y="0"/>
                    <a:ext cx="677333" cy="677333"/>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color w:val="0B0F23"/>
        <w:sz w:val="20"/>
        <w:szCs w:val="20"/>
      </w:rPr>
      <w:tab/>
    </w:r>
    <w:r w:rsidRPr="00A97C42">
      <w:rPr>
        <w:rFonts w:ascii="Source Sans Pro" w:hAnsi="Source Sans Pro"/>
        <w:color w:val="0B0F23"/>
        <w:sz w:val="20"/>
        <w:szCs w:val="20"/>
      </w:rPr>
      <w:t>Rua Goiás, 405, Sala 8, Jardim dos Estados, Campo Grande – MS, CEP 79020-100</w:t>
    </w:r>
  </w:p>
  <w:p w14:paraId="6B8D1470" w14:textId="32A6B654" w:rsidR="00585236" w:rsidRPr="00A97C42" w:rsidRDefault="00585236" w:rsidP="00585236">
    <w:pPr>
      <w:pStyle w:val="Rodap"/>
      <w:pBdr>
        <w:bar w:val="single" w:sz="12" w:color="auto"/>
      </w:pBdr>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3360" behindDoc="0" locked="0" layoutInCell="1" allowOverlap="1" wp14:anchorId="6467AD86" wp14:editId="7878DD78">
              <wp:simplePos x="0" y="0"/>
              <wp:positionH relativeFrom="column">
                <wp:posOffset>2703868</wp:posOffset>
              </wp:positionH>
              <wp:positionV relativeFrom="paragraph">
                <wp:posOffset>42171</wp:posOffset>
              </wp:positionV>
              <wp:extent cx="0" cy="102072"/>
              <wp:effectExtent l="0" t="0" r="38100" b="31750"/>
              <wp:wrapNone/>
              <wp:docPr id="1237922341" name="Conector reto 1237922341"/>
              <wp:cNvGraphicFramePr/>
              <a:graphic xmlns:a="http://schemas.openxmlformats.org/drawingml/2006/main">
                <a:graphicData uri="http://schemas.microsoft.com/office/word/2010/wordprocessingShape">
                  <wps:wsp>
                    <wps:cNvCnPr/>
                    <wps:spPr>
                      <a:xfrm>
                        <a:off x="0" y="0"/>
                        <a:ext cx="0" cy="102072"/>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57093E" id="Conector reto 123792234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12.9pt,3.3pt" to="212.9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" strokecolor="#0b0f23">
              <v:stroke joinstyle="miter"/>
            </v:line>
          </w:pict>
        </mc:Fallback>
      </mc:AlternateContent>
    </w:r>
    <w:proofErr w:type="gramStart"/>
    <w:r w:rsidRPr="00A97C42">
      <w:rPr>
        <w:rFonts w:ascii="Source Sans Pro" w:hAnsi="Source Sans Pro"/>
        <w:color w:val="0B0F23"/>
        <w:sz w:val="20"/>
        <w:szCs w:val="20"/>
      </w:rPr>
      <w:t>www.guarnierimartins.com.br</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 xml:space="preserve"> contato@guarnierimartins.com.br</w:t>
    </w:r>
    <w:proofErr w:type="gramEnd"/>
  </w:p>
  <w:p w14:paraId="1E5600C1" w14:textId="5A722ACD" w:rsidR="00585236" w:rsidRPr="00A97C42" w:rsidRDefault="00585236" w:rsidP="00585236">
    <w:pPr>
      <w:pStyle w:val="Rodap"/>
      <w:jc w:val="center"/>
      <w:rPr>
        <w:rFonts w:ascii="Source Sans Pro" w:hAnsi="Source Sans Pro"/>
        <w:color w:val="0B0F23"/>
        <w:sz w:val="20"/>
        <w:szCs w:val="20"/>
      </w:rPr>
    </w:pPr>
    <w:r w:rsidRPr="00A97C42">
      <w:rPr>
        <w:rFonts w:ascii="Source Sans Pro" w:hAnsi="Source Sans Pro"/>
        <w:noProof/>
        <w:color w:val="0B0F23"/>
        <w:sz w:val="20"/>
        <w:szCs w:val="20"/>
      </w:rPr>
      <mc:AlternateContent>
        <mc:Choice Requires="wps">
          <w:drawing>
            <wp:anchor distT="0" distB="0" distL="114300" distR="114300" simplePos="0" relativeHeight="251664384" behindDoc="0" locked="0" layoutInCell="1" allowOverlap="1" wp14:anchorId="4FD54518" wp14:editId="43C89757">
              <wp:simplePos x="0" y="0"/>
              <wp:positionH relativeFrom="column">
                <wp:posOffset>2808978</wp:posOffset>
              </wp:positionH>
              <wp:positionV relativeFrom="paragraph">
                <wp:posOffset>34178</wp:posOffset>
              </wp:positionV>
              <wp:extent cx="0" cy="101600"/>
              <wp:effectExtent l="0" t="0" r="38100" b="31750"/>
              <wp:wrapNone/>
              <wp:docPr id="49682251" name="Conector reto 49682251"/>
              <wp:cNvGraphicFramePr/>
              <a:graphic xmlns:a="http://schemas.openxmlformats.org/drawingml/2006/main">
                <a:graphicData uri="http://schemas.microsoft.com/office/word/2010/wordprocessingShape">
                  <wps:wsp>
                    <wps:cNvCnPr/>
                    <wps:spPr>
                      <a:xfrm>
                        <a:off x="0" y="0"/>
                        <a:ext cx="0" cy="101600"/>
                      </a:xfrm>
                      <a:prstGeom prst="line">
                        <a:avLst/>
                      </a:prstGeom>
                      <a:ln w="9525">
                        <a:solidFill>
                          <a:srgbClr val="0B0F2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C6B2B4" id="Conector reto 4968225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21.2pt,2.7pt" to="221.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" strokecolor="#0b0f23">
              <v:stroke joinstyle="miter"/>
            </v:line>
          </w:pict>
        </mc:Fallback>
      </mc:AlternateContent>
    </w:r>
    <w:r w:rsidRPr="00A97C42">
      <w:rPr>
        <w:rFonts w:ascii="Source Sans Pro" w:hAnsi="Source Sans Pro"/>
        <w:color w:val="0B0F23"/>
        <w:sz w:val="20"/>
        <w:szCs w:val="20"/>
      </w:rPr>
      <w:t>(67)9.9624-9366</w:t>
    </w:r>
    <w:r w:rsidR="00860199">
      <w:rPr>
        <w:rFonts w:ascii="Source Sans Pro" w:hAnsi="Source Sans Pro"/>
        <w:color w:val="0B0F23"/>
        <w:sz w:val="20"/>
        <w:szCs w:val="20"/>
      </w:rPr>
      <w:t xml:space="preserve"> </w:t>
    </w:r>
    <w:r w:rsidRPr="00A97C42">
      <w:rPr>
        <w:rFonts w:ascii="Source Sans Pro" w:hAnsi="Source Sans Pro"/>
        <w:color w:val="0B0F23"/>
        <w:sz w:val="20"/>
        <w:szCs w:val="20"/>
      </w:rPr>
      <w:t>(67)9.9644-5176</w:t>
    </w:r>
  </w:p>
  <w:p w14:paraId="3232E14D" w14:textId="77777777" w:rsidR="00585236" w:rsidRDefault="0058523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983AA" w14:textId="77777777" w:rsidR="00497AA0" w:rsidRDefault="00497AA0" w:rsidP="00BA1F94">
      <w:pPr>
        <w:spacing w:after="0" w:line="240" w:lineRule="auto"/>
      </w:pPr>
      <w:r>
        <w:separator/>
      </w:r>
    </w:p>
  </w:footnote>
  <w:footnote w:type="continuationSeparator" w:id="0">
    <w:p w14:paraId="31134C01" w14:textId="77777777" w:rsidR="00497AA0" w:rsidRDefault="00497AA0" w:rsidP="00BA1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4DA00" w14:textId="5B5F714E" w:rsidR="00585236" w:rsidRDefault="006A3AEB" w:rsidP="00585236">
    <w:pPr>
      <w:pStyle w:val="Cabealho"/>
      <w:jc w:val="center"/>
    </w:pPr>
    <w:r>
      <w:rPr>
        <w:noProof/>
      </w:rPr>
      <w:drawing>
        <wp:inline distT="0" distB="0" distL="0" distR="0" wp14:anchorId="778A9DD7" wp14:editId="6925C674">
          <wp:extent cx="1208598" cy="1208598"/>
          <wp:effectExtent l="0" t="0" r="0" b="0"/>
          <wp:docPr id="798409584"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6165" name="Imagem 1" descr="Logotipo, nome da empresa&#10;&#10;O conteúdo gerado por IA pode estar incorreto."/>
                  <pic:cNvPicPr/>
                </pic:nvPicPr>
                <pic:blipFill>
                  <a:blip r:embed="rId1"/>
                  <a:stretch>
                    <a:fillRect/>
                  </a:stretch>
                </pic:blipFill>
                <pic:spPr>
                  <a:xfrm>
                    <a:off x="0" y="0"/>
                    <a:ext cx="1219275" cy="12192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D8C4" w14:textId="203C6475" w:rsidR="00585236" w:rsidRDefault="00585236" w:rsidP="00585236">
    <w:pPr>
      <w:pStyle w:val="Cabealho"/>
      <w:jc w:val="center"/>
    </w:pPr>
    <w:r>
      <w:rPr>
        <w:noProof/>
      </w:rPr>
      <w:drawing>
        <wp:inline distT="0" distB="0" distL="0" distR="0" wp14:anchorId="47E6A63C" wp14:editId="7E0F0D1D">
          <wp:extent cx="2340429" cy="1015704"/>
          <wp:effectExtent l="0" t="0" r="3175" b="0"/>
          <wp:docPr id="1775358267" name="Imagem 2"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24789" name="Imagem 2" descr="Logotipo, nome da empresa&#10;&#10;O conteúdo gerado por IA pode estar incorreto."/>
                  <pic:cNvPicPr/>
                </pic:nvPicPr>
                <pic:blipFill rotWithShape="1">
                  <a:blip r:embed="rId1"/>
                  <a:srcRect l="3753" t="17935" r="9538" b="25544"/>
                  <a:stretch>
                    <a:fillRect/>
                  </a:stretch>
                </pic:blipFill>
                <pic:spPr bwMode="auto">
                  <a:xfrm>
                    <a:off x="0" y="0"/>
                    <a:ext cx="2387553" cy="103615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E4"/>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 w15:restartNumberingAfterBreak="0">
    <w:nsid w:val="11533FBA"/>
    <w:multiLevelType w:val="hybridMultilevel"/>
    <w:tmpl w:val="CFC07134"/>
    <w:lvl w:ilvl="0" w:tplc="1BC0FA02">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 w15:restartNumberingAfterBreak="0">
    <w:nsid w:val="13777119"/>
    <w:multiLevelType w:val="hybridMultilevel"/>
    <w:tmpl w:val="DE66975C"/>
    <w:lvl w:ilvl="0" w:tplc="496E87F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 w15:restartNumberingAfterBreak="0">
    <w:nsid w:val="146109A2"/>
    <w:multiLevelType w:val="multilevel"/>
    <w:tmpl w:val="5ADE8A90"/>
    <w:lvl w:ilvl="0">
      <w:start w:val="2"/>
      <w:numFmt w:val="decimal"/>
      <w:lvlText w:val="%1"/>
      <w:lvlJc w:val="left"/>
      <w:pPr>
        <w:ind w:left="360" w:hanging="36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4" w15:restartNumberingAfterBreak="0">
    <w:nsid w:val="14CC7B9E"/>
    <w:multiLevelType w:val="hybridMultilevel"/>
    <w:tmpl w:val="C3F0437C"/>
    <w:lvl w:ilvl="0" w:tplc="4EAC98C8">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5" w15:restartNumberingAfterBreak="0">
    <w:nsid w:val="162B22D5"/>
    <w:multiLevelType w:val="hybridMultilevel"/>
    <w:tmpl w:val="9A3A1EFE"/>
    <w:lvl w:ilvl="0" w:tplc="F146C3D4">
      <w:start w:val="1"/>
      <w:numFmt w:val="decimal"/>
      <w:pStyle w:val="Ttulo1"/>
      <w:lvlText w:val="%1."/>
      <w:lvlJc w:val="left"/>
      <w:pPr>
        <w:ind w:left="3479" w:hanging="360"/>
      </w:pPr>
      <w:rPr>
        <w:rFonts w:ascii="Georgia" w:eastAsiaTheme="minorHAnsi" w:hAnsi="Georgia" w:cs="Segoe UI"/>
        <w:sz w:val="32"/>
        <w:szCs w:val="32"/>
      </w:rPr>
    </w:lvl>
    <w:lvl w:ilvl="1" w:tplc="588C811A">
      <w:start w:val="1"/>
      <w:numFmt w:val="decimal"/>
      <w:lvlText w:val="2.%2"/>
      <w:lvlJc w:val="left"/>
      <w:pPr>
        <w:ind w:left="4613"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96028E1"/>
    <w:multiLevelType w:val="multilevel"/>
    <w:tmpl w:val="F2C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40309"/>
    <w:multiLevelType w:val="multilevel"/>
    <w:tmpl w:val="0610FBD4"/>
    <w:lvl w:ilvl="0">
      <w:start w:val="3"/>
      <w:numFmt w:val="decimal"/>
      <w:lvlText w:val="%1"/>
      <w:lvlJc w:val="left"/>
      <w:pPr>
        <w:ind w:left="360" w:hanging="360"/>
      </w:pPr>
      <w:rPr>
        <w:rFonts w:hint="default"/>
      </w:rPr>
    </w:lvl>
    <w:lvl w:ilvl="1">
      <w:start w:val="1"/>
      <w:numFmt w:val="decimal"/>
      <w:lvlText w:val="2.%2"/>
      <w:lvlJc w:val="left"/>
      <w:pPr>
        <w:ind w:left="709" w:hanging="36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8" w15:restartNumberingAfterBreak="0">
    <w:nsid w:val="19B56DA4"/>
    <w:multiLevelType w:val="hybridMultilevel"/>
    <w:tmpl w:val="9AEAB1E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BE5CD8"/>
    <w:multiLevelType w:val="multilevel"/>
    <w:tmpl w:val="355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4D2BFD"/>
    <w:multiLevelType w:val="multilevel"/>
    <w:tmpl w:val="5DE0C43A"/>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11" w15:restartNumberingAfterBreak="0">
    <w:nsid w:val="2E011E4C"/>
    <w:multiLevelType w:val="hybridMultilevel"/>
    <w:tmpl w:val="60589AD0"/>
    <w:lvl w:ilvl="0" w:tplc="0416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28561A3"/>
    <w:multiLevelType w:val="hybridMultilevel"/>
    <w:tmpl w:val="DAD224D6"/>
    <w:lvl w:ilvl="0" w:tplc="04160001">
      <w:start w:val="1"/>
      <w:numFmt w:val="bullet"/>
      <w:lvlText w:val=""/>
      <w:lvlJc w:val="left"/>
      <w:pPr>
        <w:ind w:left="1287" w:hanging="360"/>
      </w:pPr>
      <w:rPr>
        <w:rFonts w:ascii="Symbol" w:hAnsi="Symbol"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3" w15:restartNumberingAfterBreak="0">
    <w:nsid w:val="3B1E2C6B"/>
    <w:multiLevelType w:val="multilevel"/>
    <w:tmpl w:val="B8CC04E0"/>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16528"/>
    <w:multiLevelType w:val="hybridMultilevel"/>
    <w:tmpl w:val="05AABD4C"/>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5" w15:restartNumberingAfterBreak="0">
    <w:nsid w:val="416B60F8"/>
    <w:multiLevelType w:val="hybridMultilevel"/>
    <w:tmpl w:val="3E12C60C"/>
    <w:lvl w:ilvl="0" w:tplc="3F76E6A8">
      <w:start w:val="1"/>
      <w:numFmt w:val="decimal"/>
      <w:lvlText w:val="%1."/>
      <w:lvlJc w:val="left"/>
      <w:pPr>
        <w:ind w:left="5038" w:hanging="360"/>
      </w:pPr>
      <w:rPr>
        <w:rFonts w:hint="default"/>
        <w:color w:val="D1D1D1" w:themeColor="background2" w:themeShade="E6"/>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6" w15:restartNumberingAfterBreak="0">
    <w:nsid w:val="453D070B"/>
    <w:multiLevelType w:val="hybridMultilevel"/>
    <w:tmpl w:val="CD7A6030"/>
    <w:lvl w:ilvl="0" w:tplc="F00EF456">
      <w:start w:val="1"/>
      <w:numFmt w:val="upperRoman"/>
      <w:lvlText w:val="(%1)"/>
      <w:lvlJc w:val="left"/>
      <w:pPr>
        <w:ind w:left="927"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4D1AD0"/>
    <w:multiLevelType w:val="multilevel"/>
    <w:tmpl w:val="849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B6729"/>
    <w:multiLevelType w:val="hybridMultilevel"/>
    <w:tmpl w:val="330EF42C"/>
    <w:lvl w:ilvl="0" w:tplc="CF10140E">
      <w:start w:val="1"/>
      <w:numFmt w:val="lowerLetter"/>
      <w:lvlText w:val="%1."/>
      <w:lvlJc w:val="lef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0B87C38"/>
    <w:multiLevelType w:val="hybridMultilevel"/>
    <w:tmpl w:val="6116E5EC"/>
    <w:lvl w:ilvl="0" w:tplc="04160015">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0" w15:restartNumberingAfterBreak="0">
    <w:nsid w:val="50F630A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1" w15:restartNumberingAfterBreak="0">
    <w:nsid w:val="57342FE5"/>
    <w:multiLevelType w:val="multilevel"/>
    <w:tmpl w:val="3DCE8694"/>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2" w15:restartNumberingAfterBreak="0">
    <w:nsid w:val="58C250BA"/>
    <w:multiLevelType w:val="hybridMultilevel"/>
    <w:tmpl w:val="97565F8C"/>
    <w:lvl w:ilvl="0" w:tplc="FFFFFFFF">
      <w:start w:val="1"/>
      <w:numFmt w:val="upperRoman"/>
      <w:lvlText w:val="(%1)"/>
      <w:lvlJc w:val="left"/>
      <w:pPr>
        <w:ind w:left="2208" w:hanging="360"/>
      </w:pPr>
      <w:rPr>
        <w:rFonts w:hint="default"/>
      </w:rPr>
    </w:lvl>
    <w:lvl w:ilvl="1" w:tplc="FFFFFFFF" w:tentative="1">
      <w:start w:val="1"/>
      <w:numFmt w:val="lowerLetter"/>
      <w:lvlText w:val="%2."/>
      <w:lvlJc w:val="left"/>
      <w:pPr>
        <w:ind w:left="2721" w:hanging="360"/>
      </w:pPr>
    </w:lvl>
    <w:lvl w:ilvl="2" w:tplc="FFFFFFFF" w:tentative="1">
      <w:start w:val="1"/>
      <w:numFmt w:val="lowerRoman"/>
      <w:lvlText w:val="%3."/>
      <w:lvlJc w:val="right"/>
      <w:pPr>
        <w:ind w:left="3441" w:hanging="180"/>
      </w:pPr>
    </w:lvl>
    <w:lvl w:ilvl="3" w:tplc="FFFFFFFF" w:tentative="1">
      <w:start w:val="1"/>
      <w:numFmt w:val="decimal"/>
      <w:lvlText w:val="%4."/>
      <w:lvlJc w:val="left"/>
      <w:pPr>
        <w:ind w:left="4161" w:hanging="360"/>
      </w:pPr>
    </w:lvl>
    <w:lvl w:ilvl="4" w:tplc="FFFFFFFF" w:tentative="1">
      <w:start w:val="1"/>
      <w:numFmt w:val="lowerLetter"/>
      <w:lvlText w:val="%5."/>
      <w:lvlJc w:val="left"/>
      <w:pPr>
        <w:ind w:left="4881" w:hanging="360"/>
      </w:pPr>
    </w:lvl>
    <w:lvl w:ilvl="5" w:tplc="FFFFFFFF" w:tentative="1">
      <w:start w:val="1"/>
      <w:numFmt w:val="lowerRoman"/>
      <w:lvlText w:val="%6."/>
      <w:lvlJc w:val="right"/>
      <w:pPr>
        <w:ind w:left="5601" w:hanging="180"/>
      </w:pPr>
    </w:lvl>
    <w:lvl w:ilvl="6" w:tplc="FFFFFFFF" w:tentative="1">
      <w:start w:val="1"/>
      <w:numFmt w:val="decimal"/>
      <w:lvlText w:val="%7."/>
      <w:lvlJc w:val="left"/>
      <w:pPr>
        <w:ind w:left="6321" w:hanging="360"/>
      </w:pPr>
    </w:lvl>
    <w:lvl w:ilvl="7" w:tplc="FFFFFFFF" w:tentative="1">
      <w:start w:val="1"/>
      <w:numFmt w:val="lowerLetter"/>
      <w:lvlText w:val="%8."/>
      <w:lvlJc w:val="left"/>
      <w:pPr>
        <w:ind w:left="7041" w:hanging="360"/>
      </w:pPr>
    </w:lvl>
    <w:lvl w:ilvl="8" w:tplc="FFFFFFFF" w:tentative="1">
      <w:start w:val="1"/>
      <w:numFmt w:val="lowerRoman"/>
      <w:lvlText w:val="%9."/>
      <w:lvlJc w:val="right"/>
      <w:pPr>
        <w:ind w:left="7761" w:hanging="180"/>
      </w:pPr>
    </w:lvl>
  </w:abstractNum>
  <w:abstractNum w:abstractNumId="23" w15:restartNumberingAfterBreak="0">
    <w:nsid w:val="5AF11F06"/>
    <w:multiLevelType w:val="multilevel"/>
    <w:tmpl w:val="A7FC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D57AA"/>
    <w:multiLevelType w:val="hybridMultilevel"/>
    <w:tmpl w:val="9744B53C"/>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5" w15:restartNumberingAfterBreak="0">
    <w:nsid w:val="61524E9E"/>
    <w:multiLevelType w:val="hybridMultilevel"/>
    <w:tmpl w:val="A18AB8A6"/>
    <w:lvl w:ilvl="0" w:tplc="04160019">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0FB14A7"/>
    <w:multiLevelType w:val="multilevel"/>
    <w:tmpl w:val="F726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81B0C"/>
    <w:multiLevelType w:val="multilevel"/>
    <w:tmpl w:val="8C24E718"/>
    <w:lvl w:ilvl="0">
      <w:start w:val="3"/>
      <w:numFmt w:val="decimal"/>
      <w:lvlText w:val="%1"/>
      <w:lvlJc w:val="left"/>
      <w:pPr>
        <w:ind w:left="360" w:hanging="360"/>
      </w:pPr>
      <w:rPr>
        <w:rFonts w:hint="default"/>
      </w:rPr>
    </w:lvl>
    <w:lvl w:ilvl="1">
      <w:start w:val="1"/>
      <w:numFmt w:val="decimal"/>
      <w:lvlText w:val="%1.%2"/>
      <w:lvlJc w:val="left"/>
      <w:pPr>
        <w:ind w:left="1069" w:hanging="720"/>
      </w:pPr>
      <w:rPr>
        <w:rFonts w:hint="default"/>
      </w:rPr>
    </w:lvl>
    <w:lvl w:ilvl="2">
      <w:start w:val="1"/>
      <w:numFmt w:val="decimal"/>
      <w:lvlText w:val="%1.%2.%3"/>
      <w:lvlJc w:val="left"/>
      <w:pPr>
        <w:ind w:left="1418" w:hanging="720"/>
      </w:pPr>
      <w:rPr>
        <w:rFonts w:hint="default"/>
      </w:rPr>
    </w:lvl>
    <w:lvl w:ilvl="3">
      <w:start w:val="1"/>
      <w:numFmt w:val="decimal"/>
      <w:lvlText w:val="%1.%2.%3.%4"/>
      <w:lvlJc w:val="left"/>
      <w:pPr>
        <w:ind w:left="2127" w:hanging="1080"/>
      </w:pPr>
      <w:rPr>
        <w:rFonts w:hint="default"/>
      </w:rPr>
    </w:lvl>
    <w:lvl w:ilvl="4">
      <w:start w:val="1"/>
      <w:numFmt w:val="decimal"/>
      <w:lvlText w:val="%1.%2.%3.%4.%5"/>
      <w:lvlJc w:val="left"/>
      <w:pPr>
        <w:ind w:left="2836" w:hanging="1440"/>
      </w:pPr>
      <w:rPr>
        <w:rFonts w:hint="default"/>
      </w:rPr>
    </w:lvl>
    <w:lvl w:ilvl="5">
      <w:start w:val="1"/>
      <w:numFmt w:val="decimal"/>
      <w:lvlText w:val="%1.%2.%3.%4.%5.%6"/>
      <w:lvlJc w:val="left"/>
      <w:pPr>
        <w:ind w:left="3185" w:hanging="1440"/>
      </w:pPr>
      <w:rPr>
        <w:rFonts w:hint="default"/>
      </w:rPr>
    </w:lvl>
    <w:lvl w:ilvl="6">
      <w:start w:val="1"/>
      <w:numFmt w:val="decimal"/>
      <w:lvlText w:val="%1.%2.%3.%4.%5.%6.%7"/>
      <w:lvlJc w:val="left"/>
      <w:pPr>
        <w:ind w:left="3894" w:hanging="1800"/>
      </w:pPr>
      <w:rPr>
        <w:rFonts w:hint="default"/>
      </w:rPr>
    </w:lvl>
    <w:lvl w:ilvl="7">
      <w:start w:val="1"/>
      <w:numFmt w:val="decimal"/>
      <w:lvlText w:val="%1.%2.%3.%4.%5.%6.%7.%8"/>
      <w:lvlJc w:val="left"/>
      <w:pPr>
        <w:ind w:left="4603" w:hanging="2160"/>
      </w:pPr>
      <w:rPr>
        <w:rFonts w:hint="default"/>
      </w:rPr>
    </w:lvl>
    <w:lvl w:ilvl="8">
      <w:start w:val="1"/>
      <w:numFmt w:val="decimal"/>
      <w:lvlText w:val="%1.%2.%3.%4.%5.%6.%7.%8.%9"/>
      <w:lvlJc w:val="left"/>
      <w:pPr>
        <w:ind w:left="4952" w:hanging="2160"/>
      </w:pPr>
      <w:rPr>
        <w:rFonts w:hint="default"/>
      </w:rPr>
    </w:lvl>
  </w:abstractNum>
  <w:abstractNum w:abstractNumId="28" w15:restartNumberingAfterBreak="0">
    <w:nsid w:val="755509C7"/>
    <w:multiLevelType w:val="hybridMultilevel"/>
    <w:tmpl w:val="8D6621B4"/>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68648E4"/>
    <w:multiLevelType w:val="hybridMultilevel"/>
    <w:tmpl w:val="2110CD96"/>
    <w:lvl w:ilvl="0" w:tplc="8B7480CC">
      <w:start w:val="1"/>
      <w:numFmt w:val="decimal"/>
      <w:lvlText w:val="%1."/>
      <w:lvlJc w:val="left"/>
      <w:pPr>
        <w:ind w:left="1211" w:hanging="360"/>
      </w:pPr>
      <w:rPr>
        <w:rFonts w:hint="default"/>
        <w:b w:val="0"/>
        <w:bCs/>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0" w15:restartNumberingAfterBreak="0">
    <w:nsid w:val="7CA17A44"/>
    <w:multiLevelType w:val="hybridMultilevel"/>
    <w:tmpl w:val="97565F8C"/>
    <w:lvl w:ilvl="0" w:tplc="F00EF456">
      <w:start w:val="1"/>
      <w:numFmt w:val="upperRoman"/>
      <w:lvlText w:val="(%1)"/>
      <w:lvlJc w:val="left"/>
      <w:pPr>
        <w:ind w:left="2208" w:hanging="360"/>
      </w:pPr>
      <w:rPr>
        <w:rFonts w:hint="default"/>
      </w:rPr>
    </w:lvl>
    <w:lvl w:ilvl="1" w:tplc="04160019" w:tentative="1">
      <w:start w:val="1"/>
      <w:numFmt w:val="lowerLetter"/>
      <w:lvlText w:val="%2."/>
      <w:lvlJc w:val="left"/>
      <w:pPr>
        <w:ind w:left="2721" w:hanging="360"/>
      </w:pPr>
    </w:lvl>
    <w:lvl w:ilvl="2" w:tplc="0416001B" w:tentative="1">
      <w:start w:val="1"/>
      <w:numFmt w:val="lowerRoman"/>
      <w:lvlText w:val="%3."/>
      <w:lvlJc w:val="right"/>
      <w:pPr>
        <w:ind w:left="3441" w:hanging="180"/>
      </w:pPr>
    </w:lvl>
    <w:lvl w:ilvl="3" w:tplc="0416000F" w:tentative="1">
      <w:start w:val="1"/>
      <w:numFmt w:val="decimal"/>
      <w:lvlText w:val="%4."/>
      <w:lvlJc w:val="left"/>
      <w:pPr>
        <w:ind w:left="4161" w:hanging="360"/>
      </w:pPr>
    </w:lvl>
    <w:lvl w:ilvl="4" w:tplc="04160019" w:tentative="1">
      <w:start w:val="1"/>
      <w:numFmt w:val="lowerLetter"/>
      <w:lvlText w:val="%5."/>
      <w:lvlJc w:val="left"/>
      <w:pPr>
        <w:ind w:left="4881" w:hanging="360"/>
      </w:pPr>
    </w:lvl>
    <w:lvl w:ilvl="5" w:tplc="0416001B" w:tentative="1">
      <w:start w:val="1"/>
      <w:numFmt w:val="lowerRoman"/>
      <w:lvlText w:val="%6."/>
      <w:lvlJc w:val="right"/>
      <w:pPr>
        <w:ind w:left="5601" w:hanging="180"/>
      </w:pPr>
    </w:lvl>
    <w:lvl w:ilvl="6" w:tplc="0416000F" w:tentative="1">
      <w:start w:val="1"/>
      <w:numFmt w:val="decimal"/>
      <w:lvlText w:val="%7."/>
      <w:lvlJc w:val="left"/>
      <w:pPr>
        <w:ind w:left="6321" w:hanging="360"/>
      </w:pPr>
    </w:lvl>
    <w:lvl w:ilvl="7" w:tplc="04160019" w:tentative="1">
      <w:start w:val="1"/>
      <w:numFmt w:val="lowerLetter"/>
      <w:lvlText w:val="%8."/>
      <w:lvlJc w:val="left"/>
      <w:pPr>
        <w:ind w:left="7041" w:hanging="360"/>
      </w:pPr>
    </w:lvl>
    <w:lvl w:ilvl="8" w:tplc="0416001B" w:tentative="1">
      <w:start w:val="1"/>
      <w:numFmt w:val="lowerRoman"/>
      <w:lvlText w:val="%9."/>
      <w:lvlJc w:val="right"/>
      <w:pPr>
        <w:ind w:left="7761" w:hanging="180"/>
      </w:pPr>
    </w:lvl>
  </w:abstractNum>
  <w:num w:numId="1" w16cid:durableId="1326385">
    <w:abstractNumId w:val="5"/>
  </w:num>
  <w:num w:numId="2" w16cid:durableId="1455253303">
    <w:abstractNumId w:val="15"/>
  </w:num>
  <w:num w:numId="3" w16cid:durableId="555554971">
    <w:abstractNumId w:val="5"/>
  </w:num>
  <w:num w:numId="4" w16cid:durableId="1971129295">
    <w:abstractNumId w:val="5"/>
  </w:num>
  <w:num w:numId="5" w16cid:durableId="555433521">
    <w:abstractNumId w:val="5"/>
  </w:num>
  <w:num w:numId="6" w16cid:durableId="376053507">
    <w:abstractNumId w:val="5"/>
  </w:num>
  <w:num w:numId="7" w16cid:durableId="1819492703">
    <w:abstractNumId w:val="1"/>
  </w:num>
  <w:num w:numId="8" w16cid:durableId="214002896">
    <w:abstractNumId w:val="11"/>
  </w:num>
  <w:num w:numId="9" w16cid:durableId="1186557910">
    <w:abstractNumId w:val="19"/>
  </w:num>
  <w:num w:numId="10" w16cid:durableId="45959775">
    <w:abstractNumId w:val="5"/>
  </w:num>
  <w:num w:numId="11" w16cid:durableId="698555142">
    <w:abstractNumId w:val="5"/>
  </w:num>
  <w:num w:numId="12" w16cid:durableId="169760788">
    <w:abstractNumId w:val="16"/>
  </w:num>
  <w:num w:numId="13" w16cid:durableId="1542085398">
    <w:abstractNumId w:val="12"/>
  </w:num>
  <w:num w:numId="14" w16cid:durableId="1800220788">
    <w:abstractNumId w:val="30"/>
  </w:num>
  <w:num w:numId="15" w16cid:durableId="189689990">
    <w:abstractNumId w:val="23"/>
  </w:num>
  <w:num w:numId="16" w16cid:durableId="106320463">
    <w:abstractNumId w:val="27"/>
  </w:num>
  <w:num w:numId="17" w16cid:durableId="757795001">
    <w:abstractNumId w:val="7"/>
  </w:num>
  <w:num w:numId="18" w16cid:durableId="507915239">
    <w:abstractNumId w:val="26"/>
  </w:num>
  <w:num w:numId="19" w16cid:durableId="985084700">
    <w:abstractNumId w:val="22"/>
  </w:num>
  <w:num w:numId="20" w16cid:durableId="700283364">
    <w:abstractNumId w:val="20"/>
  </w:num>
  <w:num w:numId="21" w16cid:durableId="895627114">
    <w:abstractNumId w:val="10"/>
  </w:num>
  <w:num w:numId="22" w16cid:durableId="2089496448">
    <w:abstractNumId w:val="5"/>
  </w:num>
  <w:num w:numId="23" w16cid:durableId="561600074">
    <w:abstractNumId w:val="0"/>
  </w:num>
  <w:num w:numId="24" w16cid:durableId="278606713">
    <w:abstractNumId w:val="21"/>
  </w:num>
  <w:num w:numId="25" w16cid:durableId="556820897">
    <w:abstractNumId w:val="6"/>
  </w:num>
  <w:num w:numId="26" w16cid:durableId="648704854">
    <w:abstractNumId w:val="3"/>
  </w:num>
  <w:num w:numId="27" w16cid:durableId="1146168893">
    <w:abstractNumId w:val="17"/>
  </w:num>
  <w:num w:numId="28" w16cid:durableId="1280070271">
    <w:abstractNumId w:val="9"/>
  </w:num>
  <w:num w:numId="29" w16cid:durableId="1163280356">
    <w:abstractNumId w:val="13"/>
  </w:num>
  <w:num w:numId="30" w16cid:durableId="1479685322">
    <w:abstractNumId w:val="28"/>
  </w:num>
  <w:num w:numId="31" w16cid:durableId="939022436">
    <w:abstractNumId w:val="18"/>
  </w:num>
  <w:num w:numId="32" w16cid:durableId="1358387731">
    <w:abstractNumId w:val="29"/>
  </w:num>
  <w:num w:numId="33" w16cid:durableId="1918588421">
    <w:abstractNumId w:val="14"/>
  </w:num>
  <w:num w:numId="34" w16cid:durableId="508368672">
    <w:abstractNumId w:val="8"/>
  </w:num>
  <w:num w:numId="35" w16cid:durableId="997265681">
    <w:abstractNumId w:val="25"/>
  </w:num>
  <w:num w:numId="36" w16cid:durableId="1900631713">
    <w:abstractNumId w:val="4"/>
  </w:num>
  <w:num w:numId="37" w16cid:durableId="2024433701">
    <w:abstractNumId w:val="2"/>
  </w:num>
  <w:num w:numId="38" w16cid:durableId="18400012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72"/>
    <w:rsid w:val="00015D08"/>
    <w:rsid w:val="00021F5D"/>
    <w:rsid w:val="000447DD"/>
    <w:rsid w:val="00045565"/>
    <w:rsid w:val="000633B8"/>
    <w:rsid w:val="000765C6"/>
    <w:rsid w:val="000911F8"/>
    <w:rsid w:val="000A234B"/>
    <w:rsid w:val="000B1C85"/>
    <w:rsid w:val="000B2591"/>
    <w:rsid w:val="000B5216"/>
    <w:rsid w:val="0011164C"/>
    <w:rsid w:val="001153D8"/>
    <w:rsid w:val="00133E06"/>
    <w:rsid w:val="00144A4B"/>
    <w:rsid w:val="00151D12"/>
    <w:rsid w:val="0015581C"/>
    <w:rsid w:val="00163268"/>
    <w:rsid w:val="0018525B"/>
    <w:rsid w:val="001C6CE0"/>
    <w:rsid w:val="001D0EC8"/>
    <w:rsid w:val="001E64BE"/>
    <w:rsid w:val="001E7DF5"/>
    <w:rsid w:val="001F2F1D"/>
    <w:rsid w:val="001F3409"/>
    <w:rsid w:val="001F36B6"/>
    <w:rsid w:val="00202E8F"/>
    <w:rsid w:val="00205995"/>
    <w:rsid w:val="0021210F"/>
    <w:rsid w:val="0021462C"/>
    <w:rsid w:val="0023351C"/>
    <w:rsid w:val="00244EEE"/>
    <w:rsid w:val="00255925"/>
    <w:rsid w:val="00265B72"/>
    <w:rsid w:val="002731A1"/>
    <w:rsid w:val="002731A6"/>
    <w:rsid w:val="002A18AC"/>
    <w:rsid w:val="002A4C6E"/>
    <w:rsid w:val="002A79CB"/>
    <w:rsid w:val="002C012C"/>
    <w:rsid w:val="002C7BE1"/>
    <w:rsid w:val="002D3115"/>
    <w:rsid w:val="002D79D9"/>
    <w:rsid w:val="002E0484"/>
    <w:rsid w:val="002F00FD"/>
    <w:rsid w:val="002F4394"/>
    <w:rsid w:val="00307183"/>
    <w:rsid w:val="0032114D"/>
    <w:rsid w:val="00323708"/>
    <w:rsid w:val="00332135"/>
    <w:rsid w:val="00334B83"/>
    <w:rsid w:val="00335715"/>
    <w:rsid w:val="0035269F"/>
    <w:rsid w:val="003602F7"/>
    <w:rsid w:val="00377552"/>
    <w:rsid w:val="00383D06"/>
    <w:rsid w:val="00385345"/>
    <w:rsid w:val="003A171C"/>
    <w:rsid w:val="003A1DD2"/>
    <w:rsid w:val="003A4B72"/>
    <w:rsid w:val="003A76A4"/>
    <w:rsid w:val="003A7CB9"/>
    <w:rsid w:val="003B706F"/>
    <w:rsid w:val="0041600B"/>
    <w:rsid w:val="00421C44"/>
    <w:rsid w:val="00435014"/>
    <w:rsid w:val="0044781C"/>
    <w:rsid w:val="004526A3"/>
    <w:rsid w:val="00460C3B"/>
    <w:rsid w:val="00462A1D"/>
    <w:rsid w:val="00466093"/>
    <w:rsid w:val="00473494"/>
    <w:rsid w:val="00483C5B"/>
    <w:rsid w:val="00497AA0"/>
    <w:rsid w:val="004A1397"/>
    <w:rsid w:val="004B23AC"/>
    <w:rsid w:val="004C2B0E"/>
    <w:rsid w:val="004C78F2"/>
    <w:rsid w:val="004E1F61"/>
    <w:rsid w:val="004E32D6"/>
    <w:rsid w:val="004F6860"/>
    <w:rsid w:val="00502064"/>
    <w:rsid w:val="00510D1D"/>
    <w:rsid w:val="005271CA"/>
    <w:rsid w:val="00547988"/>
    <w:rsid w:val="00552F50"/>
    <w:rsid w:val="0056423A"/>
    <w:rsid w:val="005701F5"/>
    <w:rsid w:val="005702CF"/>
    <w:rsid w:val="00575469"/>
    <w:rsid w:val="00576D3A"/>
    <w:rsid w:val="005811CD"/>
    <w:rsid w:val="00585236"/>
    <w:rsid w:val="005926D6"/>
    <w:rsid w:val="00596D6C"/>
    <w:rsid w:val="005A01D2"/>
    <w:rsid w:val="005A6E55"/>
    <w:rsid w:val="005C54F8"/>
    <w:rsid w:val="005C7877"/>
    <w:rsid w:val="005E2F23"/>
    <w:rsid w:val="005F47A7"/>
    <w:rsid w:val="00617C7C"/>
    <w:rsid w:val="00636660"/>
    <w:rsid w:val="00636D00"/>
    <w:rsid w:val="006419C1"/>
    <w:rsid w:val="0064461A"/>
    <w:rsid w:val="0066103B"/>
    <w:rsid w:val="00672F34"/>
    <w:rsid w:val="00673A8C"/>
    <w:rsid w:val="006916BF"/>
    <w:rsid w:val="006A3AEB"/>
    <w:rsid w:val="006B1A62"/>
    <w:rsid w:val="006B1C85"/>
    <w:rsid w:val="006C5729"/>
    <w:rsid w:val="006D5BE0"/>
    <w:rsid w:val="006E26AE"/>
    <w:rsid w:val="006F33DE"/>
    <w:rsid w:val="007020CA"/>
    <w:rsid w:val="00703D38"/>
    <w:rsid w:val="00714F6F"/>
    <w:rsid w:val="00716747"/>
    <w:rsid w:val="00716815"/>
    <w:rsid w:val="00720D57"/>
    <w:rsid w:val="00724E8D"/>
    <w:rsid w:val="0075224F"/>
    <w:rsid w:val="00763304"/>
    <w:rsid w:val="007666DF"/>
    <w:rsid w:val="007952F5"/>
    <w:rsid w:val="007A0B17"/>
    <w:rsid w:val="007B7295"/>
    <w:rsid w:val="007C0711"/>
    <w:rsid w:val="007C53FC"/>
    <w:rsid w:val="007C59F9"/>
    <w:rsid w:val="007E3DC1"/>
    <w:rsid w:val="007F0F05"/>
    <w:rsid w:val="00802A06"/>
    <w:rsid w:val="0081592C"/>
    <w:rsid w:val="00821F7B"/>
    <w:rsid w:val="008235F0"/>
    <w:rsid w:val="0084651A"/>
    <w:rsid w:val="00860199"/>
    <w:rsid w:val="00870DC9"/>
    <w:rsid w:val="00880278"/>
    <w:rsid w:val="00884412"/>
    <w:rsid w:val="008A0FB6"/>
    <w:rsid w:val="008A42DE"/>
    <w:rsid w:val="008A5E1E"/>
    <w:rsid w:val="008B00B1"/>
    <w:rsid w:val="008B03CF"/>
    <w:rsid w:val="008B41F3"/>
    <w:rsid w:val="008F0F7D"/>
    <w:rsid w:val="00902436"/>
    <w:rsid w:val="00915234"/>
    <w:rsid w:val="00916E64"/>
    <w:rsid w:val="00923F88"/>
    <w:rsid w:val="00924899"/>
    <w:rsid w:val="00933297"/>
    <w:rsid w:val="00964DE7"/>
    <w:rsid w:val="009825A3"/>
    <w:rsid w:val="00983A54"/>
    <w:rsid w:val="0099073D"/>
    <w:rsid w:val="0099435F"/>
    <w:rsid w:val="00996DA0"/>
    <w:rsid w:val="009A601B"/>
    <w:rsid w:val="009D129F"/>
    <w:rsid w:val="009D178E"/>
    <w:rsid w:val="009D22A7"/>
    <w:rsid w:val="009E098F"/>
    <w:rsid w:val="009E6E78"/>
    <w:rsid w:val="009F161E"/>
    <w:rsid w:val="009F311E"/>
    <w:rsid w:val="00A01420"/>
    <w:rsid w:val="00A108DD"/>
    <w:rsid w:val="00A22EBA"/>
    <w:rsid w:val="00A432E2"/>
    <w:rsid w:val="00A43376"/>
    <w:rsid w:val="00A447FD"/>
    <w:rsid w:val="00A47F27"/>
    <w:rsid w:val="00A67F26"/>
    <w:rsid w:val="00A73B53"/>
    <w:rsid w:val="00A82AD8"/>
    <w:rsid w:val="00A8787D"/>
    <w:rsid w:val="00A87D34"/>
    <w:rsid w:val="00A97C42"/>
    <w:rsid w:val="00AA08C3"/>
    <w:rsid w:val="00AA226A"/>
    <w:rsid w:val="00AA31B3"/>
    <w:rsid w:val="00AB2011"/>
    <w:rsid w:val="00AB3E64"/>
    <w:rsid w:val="00AC0BB4"/>
    <w:rsid w:val="00B0317F"/>
    <w:rsid w:val="00B04357"/>
    <w:rsid w:val="00B24A33"/>
    <w:rsid w:val="00B36DE2"/>
    <w:rsid w:val="00B57D96"/>
    <w:rsid w:val="00B7307A"/>
    <w:rsid w:val="00B77BFB"/>
    <w:rsid w:val="00B77E49"/>
    <w:rsid w:val="00B85546"/>
    <w:rsid w:val="00B85981"/>
    <w:rsid w:val="00B87032"/>
    <w:rsid w:val="00B92FD1"/>
    <w:rsid w:val="00B968CC"/>
    <w:rsid w:val="00BA1F94"/>
    <w:rsid w:val="00BA5370"/>
    <w:rsid w:val="00BC28F2"/>
    <w:rsid w:val="00BC6F5E"/>
    <w:rsid w:val="00BC781A"/>
    <w:rsid w:val="00BD229E"/>
    <w:rsid w:val="00BE6274"/>
    <w:rsid w:val="00BF19AB"/>
    <w:rsid w:val="00BF64DD"/>
    <w:rsid w:val="00C05AC4"/>
    <w:rsid w:val="00C061A6"/>
    <w:rsid w:val="00C12FC6"/>
    <w:rsid w:val="00C1367E"/>
    <w:rsid w:val="00C30B7B"/>
    <w:rsid w:val="00C34436"/>
    <w:rsid w:val="00C42738"/>
    <w:rsid w:val="00C56908"/>
    <w:rsid w:val="00C86BDE"/>
    <w:rsid w:val="00C925C7"/>
    <w:rsid w:val="00C9595C"/>
    <w:rsid w:val="00CA2809"/>
    <w:rsid w:val="00CA3287"/>
    <w:rsid w:val="00CB50FF"/>
    <w:rsid w:val="00CE6C3F"/>
    <w:rsid w:val="00CF11A1"/>
    <w:rsid w:val="00D14593"/>
    <w:rsid w:val="00D343B2"/>
    <w:rsid w:val="00D37B62"/>
    <w:rsid w:val="00D45C54"/>
    <w:rsid w:val="00D75D54"/>
    <w:rsid w:val="00D7692D"/>
    <w:rsid w:val="00D8503E"/>
    <w:rsid w:val="00D9239D"/>
    <w:rsid w:val="00D934F0"/>
    <w:rsid w:val="00D94708"/>
    <w:rsid w:val="00DB0C17"/>
    <w:rsid w:val="00DB287D"/>
    <w:rsid w:val="00DB7797"/>
    <w:rsid w:val="00DD04F4"/>
    <w:rsid w:val="00DE193B"/>
    <w:rsid w:val="00DE43FF"/>
    <w:rsid w:val="00E15CB7"/>
    <w:rsid w:val="00E260D2"/>
    <w:rsid w:val="00E70A06"/>
    <w:rsid w:val="00E70C92"/>
    <w:rsid w:val="00E939CA"/>
    <w:rsid w:val="00E93C31"/>
    <w:rsid w:val="00EA061D"/>
    <w:rsid w:val="00EB0207"/>
    <w:rsid w:val="00ED0C3A"/>
    <w:rsid w:val="00EE0ABC"/>
    <w:rsid w:val="00F10092"/>
    <w:rsid w:val="00F248EB"/>
    <w:rsid w:val="00F3233A"/>
    <w:rsid w:val="00F37C97"/>
    <w:rsid w:val="00F46652"/>
    <w:rsid w:val="00F53D0B"/>
    <w:rsid w:val="00F57C02"/>
    <w:rsid w:val="00F81339"/>
    <w:rsid w:val="00F84566"/>
    <w:rsid w:val="00F85AD9"/>
    <w:rsid w:val="00F961EF"/>
    <w:rsid w:val="00FD13CA"/>
    <w:rsid w:val="00FF33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C648D"/>
  <w15:chartTrackingRefBased/>
  <w15:docId w15:val="{DF4780CB-8A08-4C33-9958-4D40C0AA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14"/>
  </w:style>
  <w:style w:type="paragraph" w:styleId="Ttulo1">
    <w:name w:val="heading 1"/>
    <w:basedOn w:val="PargrafodaLista"/>
    <w:next w:val="Normal"/>
    <w:link w:val="Ttulo1Char"/>
    <w:autoRedefine/>
    <w:uiPriority w:val="9"/>
    <w:qFormat/>
    <w:rsid w:val="007A0B17"/>
    <w:pPr>
      <w:numPr>
        <w:numId w:val="1"/>
      </w:numPr>
      <w:spacing w:before="360" w:after="360"/>
      <w:ind w:left="283" w:hanging="357"/>
      <w:contextualSpacing w:val="0"/>
      <w:outlineLvl w:val="0"/>
    </w:pPr>
    <w:rPr>
      <w:rFonts w:ascii="Georgia" w:hAnsi="Georgia" w:cs="Segoe UI"/>
      <w:b/>
      <w:bCs/>
      <w:sz w:val="28"/>
      <w:szCs w:val="28"/>
    </w:rPr>
  </w:style>
  <w:style w:type="paragraph" w:styleId="Ttulo2">
    <w:name w:val="heading 2"/>
    <w:aliases w:val="Subtítulo 1"/>
    <w:basedOn w:val="Ttulo1"/>
    <w:next w:val="Normal"/>
    <w:link w:val="Ttulo2Char"/>
    <w:autoRedefine/>
    <w:uiPriority w:val="9"/>
    <w:unhideWhenUsed/>
    <w:qFormat/>
    <w:rsid w:val="003A76A4"/>
    <w:pPr>
      <w:keepNext/>
      <w:numPr>
        <w:numId w:val="0"/>
      </w:numPr>
      <w:tabs>
        <w:tab w:val="left" w:pos="851"/>
      </w:tabs>
      <w:spacing w:before="240" w:after="0" w:line="240" w:lineRule="auto"/>
      <w:ind w:left="709" w:hanging="425"/>
      <w:outlineLvl w:val="1"/>
    </w:pPr>
    <w:rPr>
      <w:color w:val="1A0CA4"/>
      <w:sz w:val="24"/>
      <w:szCs w:val="24"/>
    </w:rPr>
  </w:style>
  <w:style w:type="paragraph" w:styleId="Ttulo3">
    <w:name w:val="heading 3"/>
    <w:basedOn w:val="Normal"/>
    <w:next w:val="Normal"/>
    <w:link w:val="Ttulo3Char"/>
    <w:uiPriority w:val="9"/>
    <w:semiHidden/>
    <w:unhideWhenUsed/>
    <w:qFormat/>
    <w:rsid w:val="00265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65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65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65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65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65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65B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A0B17"/>
    <w:rPr>
      <w:rFonts w:ascii="Georgia" w:hAnsi="Georgia" w:cs="Segoe UI"/>
      <w:b/>
      <w:bCs/>
      <w:sz w:val="28"/>
      <w:szCs w:val="28"/>
    </w:rPr>
  </w:style>
  <w:style w:type="character" w:customStyle="1" w:styleId="Ttulo2Char">
    <w:name w:val="Título 2 Char"/>
    <w:aliases w:val="Subtítulo 1 Char"/>
    <w:basedOn w:val="Fontepargpadro"/>
    <w:link w:val="Ttulo2"/>
    <w:uiPriority w:val="9"/>
    <w:rsid w:val="003A76A4"/>
    <w:rPr>
      <w:rFonts w:ascii="Georgia" w:hAnsi="Georgia" w:cs="Segoe UI"/>
      <w:b/>
      <w:bCs/>
      <w:color w:val="1A0CA4"/>
    </w:rPr>
  </w:style>
  <w:style w:type="character" w:customStyle="1" w:styleId="Ttulo3Char">
    <w:name w:val="Título 3 Char"/>
    <w:basedOn w:val="Fontepargpadro"/>
    <w:link w:val="Ttulo3"/>
    <w:uiPriority w:val="9"/>
    <w:semiHidden/>
    <w:rsid w:val="00265B7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65B7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65B7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65B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65B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65B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65B72"/>
    <w:rPr>
      <w:rFonts w:eastAsiaTheme="majorEastAsia" w:cstheme="majorBidi"/>
      <w:color w:val="272727" w:themeColor="text1" w:themeTint="D8"/>
    </w:rPr>
  </w:style>
  <w:style w:type="paragraph" w:styleId="Ttulo">
    <w:name w:val="Title"/>
    <w:basedOn w:val="Normal"/>
    <w:next w:val="Normal"/>
    <w:link w:val="TtuloChar"/>
    <w:uiPriority w:val="10"/>
    <w:qFormat/>
    <w:rsid w:val="00265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autoRedefine/>
    <w:uiPriority w:val="11"/>
    <w:qFormat/>
    <w:rsid w:val="007020CA"/>
    <w:pPr>
      <w:pBdr>
        <w:top w:val="single" w:sz="4" w:space="1" w:color="auto"/>
      </w:pBdr>
      <w:shd w:val="clear" w:color="auto" w:fill="FFFFFF" w:themeFill="background1"/>
      <w:spacing w:after="240"/>
      <w:ind w:left="709"/>
    </w:pPr>
    <w:rPr>
      <w:rFonts w:ascii="Source Serif Pro" w:hAnsi="Source Serif Pro"/>
      <w:i/>
      <w:iCs/>
      <w:shd w:val="clear" w:color="auto" w:fill="FFFFFF" w:themeFill="background1"/>
    </w:rPr>
  </w:style>
  <w:style w:type="character" w:customStyle="1" w:styleId="SubttuloChar">
    <w:name w:val="Subtítulo Char"/>
    <w:basedOn w:val="Fontepargpadro"/>
    <w:link w:val="Subttulo"/>
    <w:uiPriority w:val="11"/>
    <w:rsid w:val="007020CA"/>
    <w:rPr>
      <w:rFonts w:ascii="Source Serif Pro" w:hAnsi="Source Serif Pro"/>
      <w:i/>
      <w:iCs/>
      <w:shd w:val="clear" w:color="auto" w:fill="FFFFFF" w:themeFill="background1"/>
    </w:rPr>
  </w:style>
  <w:style w:type="paragraph" w:styleId="Citao">
    <w:name w:val="Quote"/>
    <w:basedOn w:val="Normal"/>
    <w:next w:val="Normal"/>
    <w:link w:val="CitaoChar"/>
    <w:uiPriority w:val="29"/>
    <w:qFormat/>
    <w:rsid w:val="00265B72"/>
    <w:pPr>
      <w:spacing w:before="160"/>
      <w:jc w:val="center"/>
    </w:pPr>
    <w:rPr>
      <w:i/>
      <w:iCs/>
      <w:color w:val="404040" w:themeColor="text1" w:themeTint="BF"/>
    </w:rPr>
  </w:style>
  <w:style w:type="character" w:customStyle="1" w:styleId="CitaoChar">
    <w:name w:val="Citação Char"/>
    <w:basedOn w:val="Fontepargpadro"/>
    <w:link w:val="Citao"/>
    <w:uiPriority w:val="29"/>
    <w:rsid w:val="00265B72"/>
    <w:rPr>
      <w:i/>
      <w:iCs/>
      <w:color w:val="404040" w:themeColor="text1" w:themeTint="BF"/>
    </w:rPr>
  </w:style>
  <w:style w:type="paragraph" w:styleId="PargrafodaLista">
    <w:name w:val="List Paragraph"/>
    <w:basedOn w:val="Normal"/>
    <w:uiPriority w:val="34"/>
    <w:qFormat/>
    <w:rsid w:val="00265B72"/>
    <w:pPr>
      <w:ind w:left="720"/>
      <w:contextualSpacing/>
    </w:pPr>
  </w:style>
  <w:style w:type="character" w:styleId="nfaseIntensa">
    <w:name w:val="Intense Emphasis"/>
    <w:basedOn w:val="Fontepargpadro"/>
    <w:uiPriority w:val="21"/>
    <w:qFormat/>
    <w:rsid w:val="00265B72"/>
    <w:rPr>
      <w:i/>
      <w:iCs/>
      <w:color w:val="0F4761" w:themeColor="accent1" w:themeShade="BF"/>
    </w:rPr>
  </w:style>
  <w:style w:type="paragraph" w:styleId="CitaoIntensa">
    <w:name w:val="Intense Quote"/>
    <w:basedOn w:val="Normal"/>
    <w:next w:val="Normal"/>
    <w:link w:val="CitaoIntensaChar"/>
    <w:uiPriority w:val="30"/>
    <w:qFormat/>
    <w:rsid w:val="00265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65B72"/>
    <w:rPr>
      <w:i/>
      <w:iCs/>
      <w:color w:val="0F4761" w:themeColor="accent1" w:themeShade="BF"/>
    </w:rPr>
  </w:style>
  <w:style w:type="character" w:styleId="RefernciaIntensa">
    <w:name w:val="Intense Reference"/>
    <w:basedOn w:val="Fontepargpadro"/>
    <w:uiPriority w:val="32"/>
    <w:qFormat/>
    <w:rsid w:val="00265B72"/>
    <w:rPr>
      <w:b/>
      <w:bCs/>
      <w:smallCaps/>
      <w:color w:val="0F4761" w:themeColor="accent1" w:themeShade="BF"/>
      <w:spacing w:val="5"/>
    </w:rPr>
  </w:style>
  <w:style w:type="paragraph" w:styleId="Cabealho">
    <w:name w:val="header"/>
    <w:basedOn w:val="Normal"/>
    <w:link w:val="CabealhoChar"/>
    <w:uiPriority w:val="99"/>
    <w:unhideWhenUsed/>
    <w:rsid w:val="00BA1F9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A1F94"/>
  </w:style>
  <w:style w:type="paragraph" w:styleId="Rodap">
    <w:name w:val="footer"/>
    <w:basedOn w:val="Normal"/>
    <w:link w:val="RodapChar"/>
    <w:uiPriority w:val="99"/>
    <w:unhideWhenUsed/>
    <w:rsid w:val="00BA1F94"/>
    <w:pPr>
      <w:tabs>
        <w:tab w:val="center" w:pos="4252"/>
        <w:tab w:val="right" w:pos="8504"/>
      </w:tabs>
      <w:spacing w:after="0" w:line="240" w:lineRule="auto"/>
    </w:pPr>
  </w:style>
  <w:style w:type="character" w:customStyle="1" w:styleId="RodapChar">
    <w:name w:val="Rodapé Char"/>
    <w:basedOn w:val="Fontepargpadro"/>
    <w:link w:val="Rodap"/>
    <w:uiPriority w:val="99"/>
    <w:rsid w:val="00BA1F94"/>
  </w:style>
  <w:style w:type="paragraph" w:styleId="SemEspaamento">
    <w:name w:val="No Spacing"/>
    <w:aliases w:val="Padrão 1"/>
    <w:basedOn w:val="PargrafodaLista"/>
    <w:autoRedefine/>
    <w:uiPriority w:val="1"/>
    <w:qFormat/>
    <w:rsid w:val="00163268"/>
    <w:pPr>
      <w:tabs>
        <w:tab w:val="left" w:pos="993"/>
      </w:tabs>
      <w:spacing w:before="220" w:after="220" w:line="312" w:lineRule="auto"/>
      <w:ind w:left="0" w:firstLine="567"/>
      <w:contextualSpacing w:val="0"/>
      <w:jc w:val="both"/>
    </w:pPr>
    <w:rPr>
      <w:rFonts w:ascii="Source Serif Pro" w:hAnsi="Source Serif Pro"/>
    </w:rPr>
  </w:style>
  <w:style w:type="character" w:styleId="Hyperlink">
    <w:name w:val="Hyperlink"/>
    <w:basedOn w:val="Fontepargpadro"/>
    <w:uiPriority w:val="99"/>
    <w:unhideWhenUsed/>
    <w:rsid w:val="00F37C97"/>
    <w:rPr>
      <w:color w:val="467886" w:themeColor="hyperlink"/>
      <w:u w:val="single"/>
    </w:rPr>
  </w:style>
  <w:style w:type="character" w:styleId="MenoPendente">
    <w:name w:val="Unresolved Mention"/>
    <w:basedOn w:val="Fontepargpadro"/>
    <w:uiPriority w:val="99"/>
    <w:semiHidden/>
    <w:unhideWhenUsed/>
    <w:rsid w:val="00F37C97"/>
    <w:rPr>
      <w:color w:val="605E5C"/>
      <w:shd w:val="clear" w:color="auto" w:fill="E1DFDD"/>
    </w:rPr>
  </w:style>
  <w:style w:type="paragraph" w:styleId="Textodenotaderodap">
    <w:name w:val="footnote text"/>
    <w:basedOn w:val="Normal"/>
    <w:link w:val="TextodenotaderodapChar"/>
    <w:uiPriority w:val="99"/>
    <w:semiHidden/>
    <w:unhideWhenUsed/>
    <w:rsid w:val="001C6CE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C6CE0"/>
    <w:rPr>
      <w:sz w:val="20"/>
      <w:szCs w:val="20"/>
    </w:rPr>
  </w:style>
  <w:style w:type="character" w:styleId="Refdenotaderodap">
    <w:name w:val="footnote reference"/>
    <w:basedOn w:val="Fontepargpadro"/>
    <w:uiPriority w:val="99"/>
    <w:semiHidden/>
    <w:unhideWhenUsed/>
    <w:rsid w:val="001C6CE0"/>
    <w:rPr>
      <w:vertAlign w:val="superscript"/>
    </w:rPr>
  </w:style>
  <w:style w:type="paragraph" w:styleId="NormalWeb">
    <w:name w:val="Normal (Web)"/>
    <w:basedOn w:val="Normal"/>
    <w:uiPriority w:val="99"/>
    <w:semiHidden/>
    <w:unhideWhenUsed/>
    <w:rsid w:val="002A79C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2A79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B2DD4-FB5F-4B26-A089-33F2354E4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2077</Words>
  <Characters>11321</Characters>
  <Application>Microsoft Office Word</Application>
  <DocSecurity>0</DocSecurity>
  <Lines>217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Angelo Guarnieri Martins</dc:creator>
  <cp:keywords/>
  <dc:description/>
  <cp:lastModifiedBy>Mário Angelo Guarnieri Martins</cp:lastModifiedBy>
  <cp:revision>6</cp:revision>
  <cp:lastPrinted>2025-10-14T13:26:00Z</cp:lastPrinted>
  <dcterms:created xsi:type="dcterms:W3CDTF">2025-11-23T20:57:00Z</dcterms:created>
  <dcterms:modified xsi:type="dcterms:W3CDTF">2025-11-23T21:06:00Z</dcterms:modified>
</cp:coreProperties>
</file>