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9469" w14:textId="7CEB48FD" w:rsidR="0015581C" w:rsidRDefault="0015581C" w:rsidP="00AB2011">
      <w:pPr>
        <w:spacing w:after="0" w:line="240" w:lineRule="auto"/>
        <w:rPr>
          <w:rFonts w:ascii="Source Serif Pro" w:hAnsi="Source Serif Pro"/>
          <w:b/>
          <w:bCs/>
          <w:sz w:val="26"/>
          <w:szCs w:val="28"/>
        </w:rPr>
      </w:pPr>
      <w:r w:rsidRPr="0015581C">
        <w:rPr>
          <w:rFonts w:ascii="Source Serif Pro" w:hAnsi="Source Serif Pro"/>
          <w:b/>
          <w:bCs/>
          <w:sz w:val="26"/>
          <w:szCs w:val="28"/>
        </w:rPr>
        <w:t xml:space="preserve">Ao </w:t>
      </w:r>
      <w:r w:rsidR="004B23AC">
        <w:rPr>
          <w:rFonts w:ascii="Source Serif Pro" w:hAnsi="Source Serif Pro"/>
          <w:b/>
          <w:bCs/>
          <w:sz w:val="26"/>
          <w:szCs w:val="28"/>
        </w:rPr>
        <w:t>Ex</w:t>
      </w:r>
      <w:r w:rsidR="00884412">
        <w:rPr>
          <w:rFonts w:ascii="Source Serif Pro" w:hAnsi="Source Serif Pro"/>
          <w:b/>
          <w:bCs/>
          <w:sz w:val="26"/>
          <w:szCs w:val="28"/>
        </w:rPr>
        <w:t>mo</w:t>
      </w:r>
      <w:r w:rsidR="004B23AC">
        <w:rPr>
          <w:rFonts w:ascii="Source Serif Pro" w:hAnsi="Source Serif Pro"/>
          <w:b/>
          <w:bCs/>
          <w:sz w:val="26"/>
          <w:szCs w:val="28"/>
        </w:rPr>
        <w:t xml:space="preserve">. </w:t>
      </w:r>
      <w:r w:rsidR="00C12FC6">
        <w:rPr>
          <w:rFonts w:ascii="Source Serif Pro" w:hAnsi="Source Serif Pro"/>
          <w:b/>
          <w:bCs/>
          <w:sz w:val="26"/>
          <w:szCs w:val="28"/>
        </w:rPr>
        <w:t>Desembargador Presidente</w:t>
      </w:r>
    </w:p>
    <w:p w14:paraId="0BE51421" w14:textId="03DD2288" w:rsidR="00B968CC" w:rsidRPr="00B24A33" w:rsidRDefault="00CF11A1" w:rsidP="00AB2011">
      <w:pPr>
        <w:spacing w:after="0" w:line="240" w:lineRule="auto"/>
        <w:rPr>
          <w:rFonts w:ascii="Source Serif Pro" w:hAnsi="Source Serif Pro"/>
          <w:i/>
          <w:iCs/>
          <w:sz w:val="22"/>
          <w:szCs w:val="22"/>
        </w:rPr>
      </w:pPr>
      <w:r>
        <w:rPr>
          <w:rFonts w:ascii="Source Serif Pro" w:hAnsi="Source Serif Pro"/>
          <w:i/>
          <w:iCs/>
          <w:sz w:val="22"/>
          <w:szCs w:val="22"/>
        </w:rPr>
        <w:t>Tribunal de Justiça do Estado de....</w:t>
      </w:r>
    </w:p>
    <w:p w14:paraId="39684049" w14:textId="77777777" w:rsidR="00F3233A" w:rsidRDefault="00F3233A" w:rsidP="00DB7797">
      <w:pPr>
        <w:spacing w:before="360" w:after="0"/>
        <w:rPr>
          <w:rFonts w:ascii="Source Serif Pro" w:hAnsi="Source Serif Pro" w:cs="Segoe UI Semibold"/>
          <w:noProof/>
          <w:spacing w:val="10"/>
          <w:sz w:val="21"/>
          <w:szCs w:val="21"/>
        </w:rPr>
      </w:pPr>
    </w:p>
    <w:p w14:paraId="41C34F6F" w14:textId="07A5689F" w:rsidR="00DB7797" w:rsidRPr="00B24A33" w:rsidRDefault="00DB7797" w:rsidP="00DB7797">
      <w:pPr>
        <w:spacing w:before="40" w:after="0"/>
        <w:rPr>
          <w:rFonts w:ascii="Source Serif Pro" w:hAnsi="Source Serif Pro" w:cs="Segoe UI"/>
          <w:sz w:val="18"/>
          <w:szCs w:val="18"/>
        </w:rPr>
      </w:pPr>
    </w:p>
    <w:p w14:paraId="5A87B2C6" w14:textId="17D198C5" w:rsidR="00EE0ABC" w:rsidRDefault="00EE0ABC">
      <w:pPr>
        <w:rPr>
          <w:rFonts w:ascii="Source Serif Pro" w:hAnsi="Source Serif Pro"/>
        </w:rPr>
      </w:pPr>
    </w:p>
    <w:p w14:paraId="45BE129E" w14:textId="77777777" w:rsidR="00F3233A" w:rsidRPr="00B24A33" w:rsidRDefault="00F3233A">
      <w:pPr>
        <w:rPr>
          <w:rFonts w:ascii="Source Serif Pro" w:hAnsi="Source Serif Pro"/>
        </w:rPr>
      </w:pPr>
    </w:p>
    <w:p w14:paraId="1D46FD50" w14:textId="77777777" w:rsidR="005C54F8" w:rsidRPr="00B24A33" w:rsidRDefault="005C54F8" w:rsidP="00EE0ABC">
      <w:pPr>
        <w:ind w:firstLine="567"/>
        <w:rPr>
          <w:rFonts w:ascii="Source Serif Pro" w:hAnsi="Source Serif Pro"/>
        </w:rPr>
      </w:pPr>
    </w:p>
    <w:p w14:paraId="1DE5A89B" w14:textId="05A07158" w:rsidR="00B57D96" w:rsidRPr="00B24A33" w:rsidRDefault="00CF11A1" w:rsidP="009D129F">
      <w:pPr>
        <w:spacing w:before="120" w:after="240" w:line="312" w:lineRule="auto"/>
        <w:ind w:firstLine="567"/>
        <w:jc w:val="both"/>
        <w:rPr>
          <w:rFonts w:ascii="Source Serif Pro" w:hAnsi="Source Serif Pro"/>
        </w:rPr>
      </w:pPr>
      <w:r>
        <w:rPr>
          <w:rFonts w:ascii="Source Serif Pro" w:hAnsi="Source Serif Pro"/>
          <w:smallCaps/>
        </w:rPr>
        <w:t>[</w:t>
      </w:r>
      <w:r w:rsidRPr="00CF11A1">
        <w:rPr>
          <w:rFonts w:ascii="Source Serif Pro" w:hAnsi="Source Serif Pro"/>
          <w:smallCaps/>
          <w:shd w:val="clear" w:color="auto" w:fill="FAFBBD"/>
        </w:rPr>
        <w:t>NOME DO ADVOGADO</w:t>
      </w:r>
      <w:r>
        <w:rPr>
          <w:rFonts w:ascii="Source Serif Pro" w:hAnsi="Source Serif Pro"/>
          <w:smallCaps/>
        </w:rPr>
        <w:t>]</w:t>
      </w:r>
      <w:r w:rsidRPr="00CF11A1">
        <w:rPr>
          <w:rFonts w:ascii="Source Serif Pro" w:hAnsi="Source Serif Pro"/>
          <w:smallCaps/>
        </w:rPr>
        <w:t xml:space="preserve">, </w:t>
      </w:r>
      <w:r w:rsidRPr="00CF11A1">
        <w:rPr>
          <w:rFonts w:ascii="Source Serif Pro" w:hAnsi="Source Serif Pro"/>
        </w:rPr>
        <w:t>brasileiro, advogado devidamente inscrito na Ordem dos Advogados do Brasil, seccional estado, sob o nº ......, vêm, respeitosamente, perante Vossa Excelência, impetrar a presente ordem de</w:t>
      </w:r>
    </w:p>
    <w:p w14:paraId="2CD2B9C5" w14:textId="47319D93" w:rsidR="00B57D96" w:rsidRPr="007A0B17" w:rsidRDefault="00CF11A1" w:rsidP="00B57D96">
      <w:pPr>
        <w:shd w:val="clear" w:color="auto" w:fill="F2F2F2" w:themeFill="background1" w:themeFillShade="F2"/>
        <w:spacing w:before="120" w:after="120" w:line="240" w:lineRule="auto"/>
        <w:jc w:val="center"/>
        <w:rPr>
          <w:rFonts w:ascii="Georgia" w:hAnsi="Georgia"/>
          <w:b/>
          <w:bCs/>
          <w:sz w:val="32"/>
          <w:szCs w:val="32"/>
        </w:rPr>
      </w:pPr>
      <w:r>
        <w:rPr>
          <w:rFonts w:ascii="Georgia" w:hAnsi="Georgia"/>
          <w:b/>
          <w:bCs/>
          <w:sz w:val="32"/>
          <w:szCs w:val="32"/>
        </w:rPr>
        <w:t xml:space="preserve">HABEAS CORPUS </w:t>
      </w:r>
      <w:r w:rsidR="003B706F">
        <w:rPr>
          <w:rFonts w:ascii="Georgia" w:hAnsi="Georgia"/>
          <w:b/>
          <w:bCs/>
          <w:sz w:val="32"/>
          <w:szCs w:val="32"/>
        </w:rPr>
        <w:t>COM PEDIDO LIMINAR</w:t>
      </w:r>
    </w:p>
    <w:p w14:paraId="46AE4AF2" w14:textId="47158105" w:rsidR="00EE0ABC" w:rsidRDefault="00CF11A1" w:rsidP="009D129F">
      <w:pPr>
        <w:spacing w:before="240" w:after="120" w:line="312" w:lineRule="auto"/>
        <w:ind w:firstLine="567"/>
        <w:jc w:val="both"/>
        <w:rPr>
          <w:rFonts w:ascii="Source Serif Pro" w:hAnsi="Source Serif Pro"/>
        </w:rPr>
      </w:pPr>
      <w:r w:rsidRPr="00CF11A1">
        <w:rPr>
          <w:rFonts w:ascii="Source Serif Pro" w:hAnsi="Source Serif Pro"/>
        </w:rPr>
        <w:t xml:space="preserve">nos termos do art. 5º, LXVIII, da Constituição Federal, e artigos 647 e 648, inciso I, do Código de Processo Penal, em favor de </w:t>
      </w:r>
      <w:r>
        <w:rPr>
          <w:rFonts w:ascii="Source Serif Pro" w:hAnsi="Source Serif Pro"/>
        </w:rPr>
        <w:t>[</w:t>
      </w:r>
      <w:r w:rsidRPr="00CF11A1">
        <w:rPr>
          <w:rFonts w:ascii="Source Serif Pro" w:hAnsi="Source Serif Pro"/>
          <w:b/>
          <w:bCs/>
          <w:shd w:val="clear" w:color="auto" w:fill="FAFBBD"/>
        </w:rPr>
        <w:t>NOME DO CLIENTE e qualificação completa</w:t>
      </w:r>
      <w:r>
        <w:rPr>
          <w:rFonts w:ascii="Source Serif Pro" w:hAnsi="Source Serif Pro"/>
        </w:rPr>
        <w:t>]</w:t>
      </w:r>
      <w:r w:rsidRPr="00CF11A1">
        <w:rPr>
          <w:rFonts w:ascii="Source Serif Pro" w:hAnsi="Source Serif Pro"/>
        </w:rPr>
        <w:t>, atualmente recolhido no presídio......, por ato ilegal praticado pelo juízo da ...... Vara Criminal, pelas razões de fato e de direito a seguir expostas</w:t>
      </w:r>
      <w:r w:rsidR="002D3115">
        <w:rPr>
          <w:rFonts w:ascii="Source Serif Pro" w:hAnsi="Source Serif Pro"/>
        </w:rPr>
        <w:t>:</w:t>
      </w:r>
    </w:p>
    <w:p w14:paraId="1E74CFFF" w14:textId="77777777" w:rsidR="002D3115" w:rsidRPr="007A0B17" w:rsidRDefault="002D3115" w:rsidP="002D3115">
      <w:pPr>
        <w:pStyle w:val="Ttulo1"/>
      </w:pPr>
      <w:r>
        <w:t>DOS FATOS</w:t>
      </w:r>
    </w:p>
    <w:p w14:paraId="284C85AE" w14:textId="77777777" w:rsidR="00C66B1D" w:rsidRDefault="00C66B1D" w:rsidP="00C66B1D">
      <w:pPr>
        <w:pStyle w:val="SemEspaamento"/>
      </w:pPr>
      <w:r>
        <w:t>paciente foi preso preventivamente por decisão do juízo de primeiro grau, em razão de imputação da prática de crime considerado grave pelo ordenamento jurídico. Consta dos autos que, ao receber o pedido de custódia cautelar (ou ao homologar o flagrante e convertê-lo em preventiva), o magistrado limitou-se a ressaltar a natureza gravosa do delito e a mencionar, em linhas gerais, a necessidade de garantia da ordem pública, sem, contudo, apontar fatos específicos que indicassem risco concreto decorrente da liberdade do paciente. Ainda assim, a prisão preventiva foi decretada e mantida, dando início à ação penal em curso.</w:t>
      </w:r>
    </w:p>
    <w:p w14:paraId="1B029D47" w14:textId="77777777" w:rsidR="00C66B1D" w:rsidRDefault="00C66B1D" w:rsidP="00C66B1D">
      <w:pPr>
        <w:pStyle w:val="SemEspaamento"/>
      </w:pPr>
      <w:r>
        <w:t xml:space="preserve">Da leitura da decisão que impôs e posteriormente manteve a custódia, verifica-se que não há qualquer referência a elementos fático-probatórios individualizados, tais como ameaça a testemunhas, tentativa de fuga, reiteração delitiva recente, vínculo com organização criminosa ou qualquer comportamento do paciente que </w:t>
      </w:r>
      <w:r>
        <w:lastRenderedPageBreak/>
        <w:t>coloque em risco a instrução criminal ou a aplicação da lei penal. O decreto prisional reproduz fórmulas genéricas como “gravidade do crime”, “abalo à ordem pública” e “repercussão social do fato”, sem estabelecer conexão objetiva entre tais expressões e a conduta concreta atribuída ao paciente.</w:t>
      </w:r>
    </w:p>
    <w:p w14:paraId="2DA54DAD" w14:textId="334EDC40" w:rsidR="004E1F61" w:rsidRDefault="00C66B1D" w:rsidP="00C66B1D">
      <w:pPr>
        <w:pStyle w:val="SemEspaamento"/>
      </w:pPr>
      <w:r>
        <w:t>Além disso, em momento algum o juízo de origem procedeu a uma análise efetiva sobre a suficiência de medidas cautelares diversas da prisão, previstas no art. 319 do CPP. Não há qualquer fundamentação específica demonstrando por que medidas menos gravosas – como comparecimento periódico em juízo, proibição de contato com determinadas pessoas, restrição de acesso a certos lugares, recolhimento domiciliar ou monitoramento eletrônico – seriam inadequadas ao caso. A prisão preventiva foi decretada e mantida como primeira e única resposta cautelar, mesmo o paciente ostentando condições pessoais favoráveis, quadro que evidencia a desproporcionalidade da medida e enseja a impetração do presente habeas corpus.</w:t>
      </w:r>
    </w:p>
    <w:p w14:paraId="1D445A7D" w14:textId="77777777" w:rsidR="00A22EBA" w:rsidRDefault="00A22EBA" w:rsidP="00A22EBA">
      <w:pPr>
        <w:pStyle w:val="SemEspaamento"/>
      </w:pPr>
    </w:p>
    <w:p w14:paraId="5087947A" w14:textId="18A2A0BD" w:rsidR="002D3115" w:rsidRDefault="00124E1C" w:rsidP="002D3115">
      <w:pPr>
        <w:pStyle w:val="Ttulo1"/>
        <w:spacing w:before="0" w:after="0" w:line="240" w:lineRule="auto"/>
      </w:pPr>
      <w:r>
        <w:t>AUSÊNCIA DE REQUISITOS AUTORIZADORES</w:t>
      </w:r>
    </w:p>
    <w:p w14:paraId="7C57FDD5" w14:textId="47B451F6" w:rsidR="002D3115" w:rsidRPr="00547988" w:rsidRDefault="00124E1C" w:rsidP="0044781C">
      <w:pPr>
        <w:pBdr>
          <w:top w:val="single" w:sz="4" w:space="1" w:color="auto"/>
        </w:pBdr>
        <w:shd w:val="clear" w:color="auto" w:fill="FFFFFF" w:themeFill="background1"/>
        <w:spacing w:after="240"/>
        <w:ind w:firstLine="283"/>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Gravidade em abstrato – requerente primário - </w:t>
      </w:r>
      <w:r w:rsidRPr="00AA08C3">
        <w:rPr>
          <w:rFonts w:ascii="Source Sans Pro" w:hAnsi="Source Sans Pro"/>
          <w:i/>
          <w:iCs/>
          <w:shd w:val="clear" w:color="auto" w:fill="FFFFFF" w:themeFill="background1"/>
        </w:rPr>
        <w:t xml:space="preserve">STJ – </w:t>
      </w:r>
      <w:proofErr w:type="spellStart"/>
      <w:r w:rsidRPr="00AA08C3">
        <w:rPr>
          <w:rFonts w:ascii="Source Sans Pro" w:hAnsi="Source Sans Pro"/>
          <w:i/>
          <w:iCs/>
          <w:shd w:val="clear" w:color="auto" w:fill="FFFFFF" w:themeFill="background1"/>
        </w:rPr>
        <w:t>AgRg</w:t>
      </w:r>
      <w:proofErr w:type="spellEnd"/>
      <w:r w:rsidRPr="00AA08C3">
        <w:rPr>
          <w:rFonts w:ascii="Source Sans Pro" w:hAnsi="Source Sans Pro"/>
          <w:i/>
          <w:iCs/>
          <w:shd w:val="clear" w:color="auto" w:fill="FFFFFF" w:themeFill="background1"/>
        </w:rPr>
        <w:t xml:space="preserve"> no HC n. 971.185/SP</w:t>
      </w:r>
    </w:p>
    <w:p w14:paraId="698D2858" w14:textId="77777777" w:rsidR="00124E1C" w:rsidRPr="00124E1C" w:rsidRDefault="00124E1C" w:rsidP="00124E1C">
      <w:pPr>
        <w:pStyle w:val="SemEspaamento"/>
      </w:pPr>
      <w:r w:rsidRPr="00124E1C">
        <w:t xml:space="preserve">A prisão preventiva, por sua natureza cautelar e excepcional, somente se legitima quando demonstrados, de forma </w:t>
      </w:r>
      <w:r w:rsidRPr="00124E1C">
        <w:rPr>
          <w:b/>
          <w:bCs/>
        </w:rPr>
        <w:t>concreta e individualizada</w:t>
      </w:r>
      <w:r w:rsidRPr="00124E1C">
        <w:t xml:space="preserve">, os requisitos do art. 312 do Código de Processo Penal, notadamente a presença do </w:t>
      </w:r>
      <w:r w:rsidRPr="00124E1C">
        <w:rPr>
          <w:i/>
          <w:iCs/>
        </w:rPr>
        <w:t xml:space="preserve">periculum </w:t>
      </w:r>
      <w:proofErr w:type="spellStart"/>
      <w:r w:rsidRPr="00124E1C">
        <w:rPr>
          <w:i/>
          <w:iCs/>
        </w:rPr>
        <w:t>libertatis</w:t>
      </w:r>
      <w:proofErr w:type="spellEnd"/>
      <w:r w:rsidRPr="00124E1C">
        <w:t>. A mera gravidade abstrata do delito imputado ao paciente não constitui fundamento jurídico idôneo para justificar a restrição antecipada de sua liberdade, conforme reiteradamente assentado pelo Supremo Tribunal Federal e pelo Superior Tribunal de Justiça.</w:t>
      </w:r>
    </w:p>
    <w:p w14:paraId="6751B3D3" w14:textId="77777777" w:rsidR="00124E1C" w:rsidRPr="00124E1C" w:rsidRDefault="00124E1C" w:rsidP="00124E1C">
      <w:pPr>
        <w:pStyle w:val="SemEspaamento"/>
      </w:pPr>
      <w:r w:rsidRPr="00124E1C">
        <w:t xml:space="preserve">No caso em exame, verifica-se que a decisão que manteve a custódia do paciente </w:t>
      </w:r>
      <w:r w:rsidRPr="00124E1C">
        <w:rPr>
          <w:b/>
          <w:bCs/>
        </w:rPr>
        <w:t>não apontou qualquer elemento fático específico</w:t>
      </w:r>
      <w:r w:rsidRPr="00124E1C">
        <w:t xml:space="preserve"> indicativo de risco real à ordem pública, à instrução criminal ou à aplicação da lei penal. O ato judicial limitou-se a ressaltar que se trata de crime grave, concluindo, a partir desse único dado, pela necessidade da prisão preventiva. Trata-se, pois, de fundamentação ancorada </w:t>
      </w:r>
      <w:r w:rsidRPr="00124E1C">
        <w:lastRenderedPageBreak/>
        <w:t>exclusivamente na gravidade em abstrato do tipo penal, dissociada das circunstâncias concretas do caso e da realidade pessoal do paciente.</w:t>
      </w:r>
    </w:p>
    <w:p w14:paraId="446C8928" w14:textId="77777777" w:rsidR="00124E1C" w:rsidRPr="00124E1C" w:rsidRDefault="00124E1C" w:rsidP="00124E1C">
      <w:pPr>
        <w:pStyle w:val="SemEspaamento"/>
      </w:pPr>
      <w:r w:rsidRPr="00124E1C">
        <w:t xml:space="preserve">É entendimento pacífico no Superior Tribunal de Justiça que a </w:t>
      </w:r>
      <w:r w:rsidRPr="00124E1C">
        <w:rPr>
          <w:b/>
          <w:bCs/>
        </w:rPr>
        <w:t>mera referência à natureza grave do delito</w:t>
      </w:r>
      <w:r w:rsidRPr="00124E1C">
        <w:t xml:space="preserve"> não satisfaz os requisitos legais para decretação ou manutenção da prisão preventiva. A excepcionalidade da medida exige motivação concreta, atual e individualizada, voltada às particularidades do fato e à conduta atribuída ao paciente, sob pena de converter a prisão cautelar em indevida antecipação de pena. Na hipótese, todavia, a decisão se limita a reproduzir fórmulas genéricas, sem indicar dados objetivos extraídos dos autos.</w:t>
      </w:r>
    </w:p>
    <w:p w14:paraId="3D12F9E2" w14:textId="77777777" w:rsidR="00124E1C" w:rsidRDefault="00124E1C" w:rsidP="00124E1C">
      <w:pPr>
        <w:pStyle w:val="SemEspaamento"/>
        <w:pBdr>
          <w:bottom w:val="single" w:sz="4" w:space="1" w:color="auto"/>
        </w:pBdr>
        <w:spacing w:before="60" w:after="60" w:line="240" w:lineRule="auto"/>
        <w:ind w:left="2268" w:firstLine="0"/>
      </w:pPr>
      <w:bookmarkStart w:id="0" w:name="_Hlk214458189"/>
      <w:r w:rsidRPr="00ED0C3A">
        <w:rPr>
          <w:b/>
          <w:bCs/>
          <w:sz w:val="36"/>
          <w:szCs w:val="36"/>
        </w:rPr>
        <w:t>STJ</w:t>
      </w:r>
      <w:r>
        <w:t xml:space="preserve"> </w:t>
      </w:r>
      <w:r w:rsidRPr="00ED0C3A">
        <w:rPr>
          <w:color w:val="808080" w:themeColor="background1" w:themeShade="80"/>
        </w:rPr>
        <w:t xml:space="preserve">– </w:t>
      </w:r>
      <w:bookmarkEnd w:id="0"/>
      <w:proofErr w:type="spellStart"/>
      <w:r w:rsidRPr="00D343B2">
        <w:rPr>
          <w:color w:val="808080" w:themeColor="background1" w:themeShade="80"/>
        </w:rPr>
        <w:t>AgRg</w:t>
      </w:r>
      <w:proofErr w:type="spellEnd"/>
      <w:r w:rsidRPr="00D343B2">
        <w:rPr>
          <w:color w:val="808080" w:themeColor="background1" w:themeShade="80"/>
        </w:rPr>
        <w:t xml:space="preserve"> no HC n. 971.185/SP, rel. Min. Rogerio </w:t>
      </w:r>
      <w:proofErr w:type="spellStart"/>
      <w:r w:rsidRPr="00D343B2">
        <w:rPr>
          <w:color w:val="808080" w:themeColor="background1" w:themeShade="80"/>
        </w:rPr>
        <w:t>Schietti</w:t>
      </w:r>
      <w:proofErr w:type="spellEnd"/>
      <w:r w:rsidRPr="00D343B2">
        <w:rPr>
          <w:color w:val="808080" w:themeColor="background1" w:themeShade="80"/>
        </w:rPr>
        <w:t xml:space="preserve"> Cruz, 6ª Turma, julgado em 30/4/2025</w:t>
      </w:r>
      <w:r w:rsidRPr="00580B73">
        <w:rPr>
          <w:color w:val="808080" w:themeColor="background1" w:themeShade="80"/>
        </w:rPr>
        <w:t>.</w:t>
      </w:r>
    </w:p>
    <w:p w14:paraId="37E86677" w14:textId="1C091677" w:rsidR="00A108DD" w:rsidRDefault="00124E1C" w:rsidP="00124E1C">
      <w:pPr>
        <w:pStyle w:val="SemEspaamento"/>
        <w:spacing w:before="60" w:after="60" w:line="276" w:lineRule="auto"/>
        <w:ind w:left="2268" w:firstLine="0"/>
        <w:rPr>
          <w:i/>
          <w:iCs/>
        </w:rPr>
      </w:pPr>
      <w:r w:rsidRPr="0064461A">
        <w:rPr>
          <w:i/>
          <w:iCs/>
        </w:rPr>
        <w:t xml:space="preserve">3. No caso em tela, constata-se que o ingresso forçado na residência </w:t>
      </w:r>
      <w:r w:rsidRPr="00D343B2">
        <w:rPr>
          <w:i/>
          <w:iCs/>
        </w:rPr>
        <w:t xml:space="preserve">A gravidade em abstrato do delito não é </w:t>
      </w:r>
      <w:proofErr w:type="gramStart"/>
      <w:r w:rsidRPr="00D343B2">
        <w:rPr>
          <w:i/>
          <w:iCs/>
        </w:rPr>
        <w:t>justificativa</w:t>
      </w:r>
      <w:proofErr w:type="gramEnd"/>
      <w:r w:rsidRPr="00D343B2">
        <w:rPr>
          <w:i/>
          <w:iCs/>
        </w:rPr>
        <w:t xml:space="preserve"> idônea para a manutenção da prisão cautelar e, no caso dos autos, o acórdão que manteve a medida extrema não logrou demonstrar com elementos concretos o periculum </w:t>
      </w:r>
      <w:proofErr w:type="spellStart"/>
      <w:r w:rsidRPr="00D343B2">
        <w:rPr>
          <w:i/>
          <w:iCs/>
        </w:rPr>
        <w:t>libertatis</w:t>
      </w:r>
      <w:proofErr w:type="spellEnd"/>
      <w:r w:rsidRPr="00D343B2">
        <w:rPr>
          <w:i/>
          <w:iCs/>
        </w:rPr>
        <w:t>, de modo que apenas expôs argumentos genéricos acerca da gravidade abstrata do crime.</w:t>
      </w:r>
    </w:p>
    <w:p w14:paraId="7483A74D" w14:textId="7533BD75" w:rsidR="009E6E78" w:rsidRPr="00A67F26" w:rsidRDefault="009E6E78" w:rsidP="00916E64">
      <w:pPr>
        <w:pStyle w:val="SemEspaamento"/>
        <w:spacing w:before="60" w:after="60" w:line="276" w:lineRule="auto"/>
        <w:ind w:left="2268" w:firstLine="0"/>
        <w:rPr>
          <w:i/>
          <w:iCs/>
        </w:rPr>
      </w:pPr>
    </w:p>
    <w:p w14:paraId="3D505AA9" w14:textId="77777777" w:rsidR="00124E1C" w:rsidRPr="00124E1C" w:rsidRDefault="00124E1C" w:rsidP="00124E1C">
      <w:pPr>
        <w:pStyle w:val="SemEspaamento"/>
      </w:pPr>
      <w:r w:rsidRPr="00124E1C">
        <w:t xml:space="preserve">Com efeito, o decisum que mantém a custódia utiliza expressões como “crime de grande repercussão social”, “periculosidade do agente” e “necessidade de garantia da ordem pública”, </w:t>
      </w:r>
      <w:r w:rsidRPr="00124E1C">
        <w:rPr>
          <w:b/>
          <w:bCs/>
        </w:rPr>
        <w:t>sem qualquer lastro empírico</w:t>
      </w:r>
      <w:r w:rsidRPr="00124E1C">
        <w:t xml:space="preserve"> que lhes dê suporte. Não há descrição de condutas concretas do paciente que demonstrem atuação voltada à intimidação de testemunhas, destruição de provas, reiteração delitiva organizada ou qualquer outro fator que, efetivamente, evidencie perigo atual decorrente de sua liberdade. São expressões retoricamente fortes, porém juridicamente vazias.</w:t>
      </w:r>
    </w:p>
    <w:p w14:paraId="4EB2EC0C" w14:textId="77777777" w:rsidR="00124E1C" w:rsidRPr="00124E1C" w:rsidRDefault="00124E1C" w:rsidP="00124E1C">
      <w:pPr>
        <w:pStyle w:val="SemEspaamento"/>
      </w:pPr>
      <w:r w:rsidRPr="00124E1C">
        <w:t xml:space="preserve">Tal fundamentação colide com o dever constitucional de motivação das decisões judiciais, previsto no art. 93, IX, da Constituição Federal, que exige motivação clara, coerente e vinculada às provas dos autos, sobretudo quando se trata de medida de tamanha gravidade como a prisão preventiva. A decisão que restringe a liberdade do paciente deve demonstrar, de forma objetiva, </w:t>
      </w:r>
      <w:proofErr w:type="gramStart"/>
      <w:r w:rsidRPr="00124E1C">
        <w:rPr>
          <w:b/>
          <w:bCs/>
        </w:rPr>
        <w:t>por que</w:t>
      </w:r>
      <w:proofErr w:type="gramEnd"/>
      <w:r w:rsidRPr="00124E1C">
        <w:rPr>
          <w:b/>
          <w:bCs/>
        </w:rPr>
        <w:t xml:space="preserve"> sua liberdade, no </w:t>
      </w:r>
      <w:r w:rsidRPr="00124E1C">
        <w:rPr>
          <w:b/>
          <w:bCs/>
        </w:rPr>
        <w:lastRenderedPageBreak/>
        <w:t>caso concreto, representaria risco real e atual</w:t>
      </w:r>
      <w:r w:rsidRPr="00124E1C">
        <w:t>, o que manifestamente não ocorre na hipótese.</w:t>
      </w:r>
    </w:p>
    <w:p w14:paraId="41165C5B" w14:textId="77777777" w:rsidR="00124E1C" w:rsidRPr="00124E1C" w:rsidRDefault="00124E1C" w:rsidP="00124E1C">
      <w:pPr>
        <w:pStyle w:val="SemEspaamento"/>
      </w:pPr>
      <w:r w:rsidRPr="00124E1C">
        <w:t xml:space="preserve">Registre-se que não há nos autos qualquer indício de que o paciente tenha ameaçado testemunhas, tentado dificultar a instrução criminal, </w:t>
      </w:r>
      <w:proofErr w:type="gramStart"/>
      <w:r w:rsidRPr="00124E1C">
        <w:t>destruído provas</w:t>
      </w:r>
      <w:proofErr w:type="gramEnd"/>
      <w:r w:rsidRPr="00124E1C">
        <w:t xml:space="preserve"> ou se envolvido em condutas de intimidação ou obstrução da Justiça. Tampouco há elementos concretos sobre eventual reincidência específica, vínculo com organização criminosa ou circunstâncias extraordinárias que pudessem justificar a alegada “periculosidade”. O que existe, em verdade, é apenas a imputação formal de um delito tido como grave, tomada como sinônimo automático de periculosidade.</w:t>
      </w:r>
    </w:p>
    <w:p w14:paraId="11E1DA4A" w14:textId="77777777" w:rsidR="00124E1C" w:rsidRPr="00124E1C" w:rsidRDefault="00124E1C" w:rsidP="00124E1C">
      <w:pPr>
        <w:pStyle w:val="SemEspaamento"/>
      </w:pPr>
      <w:r w:rsidRPr="00124E1C">
        <w:t xml:space="preserve">Trata-se, portanto, de decisão </w:t>
      </w:r>
      <w:r w:rsidRPr="00124E1C">
        <w:rPr>
          <w:b/>
          <w:bCs/>
        </w:rPr>
        <w:t>fundada em presunções abstratas</w:t>
      </w:r>
      <w:r w:rsidRPr="00124E1C">
        <w:t>, o que é vedado pelo ordenamento jurídico. A prisão preventiva não pode ser utilizada como instrumento de punição antecipada, nem se sustentar em estigmas derivados do tipo penal atribuído ao paciente. A gravidade em abstrato do crime, desacompanhada de elementos fáticos concretos, não autoriza a manutenção da prisão, sob pena de violação aos princípios da presunção de inocência e do devido processo legal.</w:t>
      </w:r>
    </w:p>
    <w:p w14:paraId="20800A73" w14:textId="77777777" w:rsidR="00124E1C" w:rsidRDefault="00124E1C" w:rsidP="00124E1C">
      <w:pPr>
        <w:pStyle w:val="SemEspaamento"/>
      </w:pPr>
      <w:r w:rsidRPr="00124E1C">
        <w:t xml:space="preserve">Ademais, tanto o STF quanto o STJ têm decidido, de forma reiterada, que prisões preventivas baseadas apenas na gravidade genérica do delito são ilegais e devem ser revogadas de plano, por ausência de fundamentação concreta. Assim, diante da inexistência de dados objetivos na decisão que manteve a custódia cautelar do paciente, impõe-se reconhecer a </w:t>
      </w:r>
      <w:r w:rsidRPr="00124E1C">
        <w:rPr>
          <w:b/>
          <w:bCs/>
        </w:rPr>
        <w:t>ilegalidade da prisão preventiva</w:t>
      </w:r>
      <w:r w:rsidRPr="00124E1C">
        <w:t xml:space="preserve"> e, por consequência, pleitear, nesta via heroica, a sua revogação, com expedição de alvará de soltura, facultando-se ao juízo de origem, se entender necessário, a aplicação de medidas cautelares diversas da prisão, nos termos do art. 319 do CPP.</w:t>
      </w:r>
    </w:p>
    <w:p w14:paraId="37D079E2" w14:textId="77777777" w:rsidR="00124E1C" w:rsidRDefault="00124E1C" w:rsidP="00124E1C">
      <w:pPr>
        <w:pStyle w:val="SemEspaamento"/>
      </w:pPr>
    </w:p>
    <w:p w14:paraId="6C87CAB2" w14:textId="77777777" w:rsidR="00C66B1D" w:rsidRDefault="00C66B1D" w:rsidP="00124E1C">
      <w:pPr>
        <w:pStyle w:val="SemEspaamento"/>
      </w:pPr>
    </w:p>
    <w:p w14:paraId="092FA8C7" w14:textId="77777777" w:rsidR="00C66B1D" w:rsidRDefault="00C66B1D" w:rsidP="00124E1C">
      <w:pPr>
        <w:pStyle w:val="SemEspaamento"/>
      </w:pPr>
    </w:p>
    <w:p w14:paraId="07BC2582" w14:textId="77777777" w:rsidR="00C66B1D" w:rsidRPr="00124E1C" w:rsidRDefault="00C66B1D" w:rsidP="00124E1C">
      <w:pPr>
        <w:pStyle w:val="SemEspaamento"/>
      </w:pPr>
    </w:p>
    <w:p w14:paraId="48F16EFD" w14:textId="77777777" w:rsidR="00124E1C" w:rsidRDefault="00124E1C" w:rsidP="00124E1C">
      <w:pPr>
        <w:pStyle w:val="Ttulo1"/>
        <w:spacing w:before="0" w:after="0" w:line="240" w:lineRule="auto"/>
      </w:pPr>
      <w:r>
        <w:lastRenderedPageBreak/>
        <w:t xml:space="preserve">SUFICIÊNCIA DE MEDIDAS CAUTELARES DIVERSAS </w:t>
      </w:r>
    </w:p>
    <w:p w14:paraId="713BAC2F" w14:textId="77777777" w:rsidR="00124E1C" w:rsidRPr="00547988" w:rsidRDefault="00124E1C" w:rsidP="00124E1C">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Possibilidade de aplicação diante das condições pessoais favoráveis</w:t>
      </w:r>
    </w:p>
    <w:p w14:paraId="12DED65D" w14:textId="77777777" w:rsidR="00124E1C" w:rsidRPr="00124E1C" w:rsidRDefault="00124E1C" w:rsidP="00124E1C">
      <w:pPr>
        <w:pStyle w:val="SemEspaamento"/>
      </w:pPr>
      <w:r w:rsidRPr="00124E1C">
        <w:t xml:space="preserve">A prisão preventiva, por sua natureza cautelar e excepcional, somente deve ser mantida quando as </w:t>
      </w:r>
      <w:r w:rsidRPr="00124E1C">
        <w:rPr>
          <w:b/>
          <w:bCs/>
        </w:rPr>
        <w:t>medidas cautelares diversas da prisão</w:t>
      </w:r>
      <w:r w:rsidRPr="00124E1C">
        <w:t xml:space="preserve">, previstas no art. 319 do Código de Processo Penal, se revelarem concretamente insuficientes para resguardar os fins do processo penal. Trata-se de providência extrema, que se aproxima, em seus efeitos práticos, de verdadeira antecipação de pena e impõe severa restrição ao direito fundamental de liberdade do paciente, razão pela qual sua imposição e manutenção exigem fundamentação específica, baseada em elementos concretos que demonstrem sua </w:t>
      </w:r>
      <w:r w:rsidRPr="00124E1C">
        <w:rPr>
          <w:b/>
          <w:bCs/>
        </w:rPr>
        <w:t>real imprescindibilidade</w:t>
      </w:r>
      <w:r w:rsidRPr="00124E1C">
        <w:t>.</w:t>
      </w:r>
    </w:p>
    <w:p w14:paraId="09D27AF7" w14:textId="77777777" w:rsidR="00124E1C" w:rsidRPr="00124E1C" w:rsidRDefault="00124E1C" w:rsidP="00124E1C">
      <w:pPr>
        <w:pStyle w:val="SemEspaamento"/>
      </w:pPr>
      <w:r w:rsidRPr="00124E1C">
        <w:t xml:space="preserve">Nos termos do art. 282, I e II, do CPP, as medidas cautelares devem observar os critérios de </w:t>
      </w:r>
      <w:r w:rsidRPr="00124E1C">
        <w:rPr>
          <w:b/>
          <w:bCs/>
        </w:rPr>
        <w:t>necessidade e adequação</w:t>
      </w:r>
      <w:r w:rsidRPr="00124E1C">
        <w:t xml:space="preserve">, impondo-se ao julgador o dever de optar, sempre que possível, por providência menos gravosa, desde que suficiente para assegurar a ordem pública, a instrução criminal e a aplicação da lei penal. Nesse contexto, a prisão preventiva deve ser compreendida como </w:t>
      </w:r>
      <w:proofErr w:type="gramStart"/>
      <w:r w:rsidRPr="00124E1C">
        <w:rPr>
          <w:b/>
          <w:bCs/>
        </w:rPr>
        <w:t>ultima</w:t>
      </w:r>
      <w:proofErr w:type="gramEnd"/>
      <w:r w:rsidRPr="00124E1C">
        <w:rPr>
          <w:b/>
          <w:bCs/>
        </w:rPr>
        <w:t xml:space="preserve"> </w:t>
      </w:r>
      <w:proofErr w:type="spellStart"/>
      <w:r w:rsidRPr="00124E1C">
        <w:rPr>
          <w:b/>
          <w:bCs/>
        </w:rPr>
        <w:t>ratio</w:t>
      </w:r>
      <w:proofErr w:type="spellEnd"/>
      <w:r w:rsidRPr="00124E1C">
        <w:t>, somente admissível quando todas as alternativas previstas no art. 319 se mostrarem, de forma motivada, inadequadas ou ineficazes ao caso concreto.</w:t>
      </w:r>
    </w:p>
    <w:p w14:paraId="6AC40CA7" w14:textId="77777777" w:rsidR="00124E1C" w:rsidRPr="00124E1C" w:rsidRDefault="00124E1C" w:rsidP="00124E1C">
      <w:pPr>
        <w:pStyle w:val="SemEspaamento"/>
      </w:pPr>
      <w:r w:rsidRPr="00124E1C">
        <w:t xml:space="preserve">No entanto, no caso sob apreciação desta Egrégia Câmara Criminal, a decisão que manteve a custódia do paciente </w:t>
      </w:r>
      <w:r w:rsidRPr="00124E1C">
        <w:rPr>
          <w:b/>
          <w:bCs/>
        </w:rPr>
        <w:t>não demonstrou, de forma concreta, a insuficiência das medidas cautelares alternativas</w:t>
      </w:r>
      <w:r w:rsidRPr="00124E1C">
        <w:t>. Limitou-se a reafirmar a gravidade do delito e a necessidade abstrata da prisão, sem indicar por que medidas como o comparecimento periódico em juízo, a proibição de manter contato com determinadas pessoas, a proibição de frequentar certos lugares, o recolhimento domiciliar noturno, o monitoramento eletrônico ou outras cautelares do art. 319 não seriam aptas a atingir os objetivos cautelares desejados.</w:t>
      </w:r>
    </w:p>
    <w:p w14:paraId="7E2641F9" w14:textId="77777777" w:rsidR="00124E1C" w:rsidRPr="00124E1C" w:rsidRDefault="00124E1C" w:rsidP="00124E1C">
      <w:pPr>
        <w:pStyle w:val="SemEspaamento"/>
      </w:pPr>
      <w:r w:rsidRPr="00124E1C">
        <w:t xml:space="preserve">Ademais, o paciente ostenta </w:t>
      </w:r>
      <w:r w:rsidRPr="00124E1C">
        <w:rPr>
          <w:b/>
          <w:bCs/>
        </w:rPr>
        <w:t>condições pessoais favoráveis</w:t>
      </w:r>
      <w:r w:rsidRPr="00124E1C">
        <w:t xml:space="preserve"> que reforçam a desnecessidade da prisão preventiva: é primário, possui bons antecedentes, residência fixa e exerce atividade lícita, não havendo notícia de descumprimento de ordens judiciais anteriores, tampouco de qualquer tentativa sua de frustrar a persecução penal. Nada nos autos indica que, em liberdade, represente risco concreto à </w:t>
      </w:r>
      <w:r w:rsidRPr="00124E1C">
        <w:lastRenderedPageBreak/>
        <w:t>ordem pública, à instrução criminal ou à aplicação da lei penal, o que torna ainda mais desproporcional a manutenção da medida extrema.</w:t>
      </w:r>
    </w:p>
    <w:p w14:paraId="1CBDEF76" w14:textId="77777777" w:rsidR="00124E1C" w:rsidRPr="00124E1C" w:rsidRDefault="00124E1C" w:rsidP="00124E1C">
      <w:pPr>
        <w:pStyle w:val="SemEspaamento"/>
      </w:pPr>
      <w:r w:rsidRPr="00124E1C">
        <w:t xml:space="preserve">A jurisprudência do Superior Tribunal de Justiça é firme ao exigir que, para a imposição da prisão preventiva, o magistrado </w:t>
      </w:r>
      <w:r w:rsidRPr="00124E1C">
        <w:rPr>
          <w:b/>
          <w:bCs/>
        </w:rPr>
        <w:t>demonstre, de maneira expressa e motivada</w:t>
      </w:r>
      <w:r w:rsidRPr="00124E1C">
        <w:t>, a inadequação ou insuficiência das cautelares alternativas, sob pena de ilegalidade da constrição. Em diversos precedentes, a Corte tem assentado que não basta invocar a gravidade abstrata do crime ou fórmulas genéricas: é imprescindível justificar por que, no caso concreto, medidas menos gravosas não seriam capazes de tutelar os bens jurídicos protegidos.</w:t>
      </w:r>
    </w:p>
    <w:p w14:paraId="792C17E1" w14:textId="77777777" w:rsidR="00124E1C" w:rsidRDefault="00124E1C" w:rsidP="00124E1C">
      <w:pPr>
        <w:pStyle w:val="SemEspaamento"/>
        <w:pBdr>
          <w:bottom w:val="single" w:sz="4" w:space="1" w:color="auto"/>
        </w:pBdr>
        <w:spacing w:before="60" w:after="60" w:line="240" w:lineRule="auto"/>
        <w:ind w:left="2268" w:firstLine="0"/>
      </w:pPr>
      <w:r w:rsidRPr="00ED0C3A">
        <w:rPr>
          <w:b/>
          <w:bCs/>
          <w:sz w:val="36"/>
          <w:szCs w:val="36"/>
        </w:rPr>
        <w:t>STJ</w:t>
      </w:r>
      <w:r>
        <w:t xml:space="preserve"> </w:t>
      </w:r>
      <w:r w:rsidRPr="00ED0C3A">
        <w:rPr>
          <w:color w:val="808080" w:themeColor="background1" w:themeShade="80"/>
        </w:rPr>
        <w:t xml:space="preserve">– </w:t>
      </w:r>
      <w:proofErr w:type="spellStart"/>
      <w:r w:rsidRPr="00860199">
        <w:rPr>
          <w:color w:val="808080" w:themeColor="background1" w:themeShade="80"/>
        </w:rPr>
        <w:t>AgRg</w:t>
      </w:r>
      <w:proofErr w:type="spellEnd"/>
      <w:r w:rsidRPr="00860199">
        <w:rPr>
          <w:color w:val="808080" w:themeColor="background1" w:themeShade="80"/>
        </w:rPr>
        <w:t xml:space="preserve"> no RHC 194061 SC 2024/0059176-5, Relator.: Min</w:t>
      </w:r>
      <w:r>
        <w:rPr>
          <w:color w:val="808080" w:themeColor="background1" w:themeShade="80"/>
        </w:rPr>
        <w:t>.</w:t>
      </w:r>
      <w:r w:rsidRPr="00860199">
        <w:rPr>
          <w:color w:val="808080" w:themeColor="background1" w:themeShade="80"/>
        </w:rPr>
        <w:t xml:space="preserve"> Ribeiro Dantas, </w:t>
      </w:r>
      <w:proofErr w:type="spellStart"/>
      <w:r w:rsidRPr="00860199">
        <w:rPr>
          <w:color w:val="808080" w:themeColor="background1" w:themeShade="80"/>
        </w:rPr>
        <w:t>DJ</w:t>
      </w:r>
      <w:r>
        <w:rPr>
          <w:color w:val="808080" w:themeColor="background1" w:themeShade="80"/>
        </w:rPr>
        <w:t>e</w:t>
      </w:r>
      <w:proofErr w:type="spellEnd"/>
      <w:r w:rsidRPr="00860199">
        <w:rPr>
          <w:color w:val="808080" w:themeColor="background1" w:themeShade="80"/>
        </w:rPr>
        <w:t xml:space="preserve"> 27/05/2024</w:t>
      </w:r>
      <w:r w:rsidRPr="00580B73">
        <w:rPr>
          <w:color w:val="808080" w:themeColor="background1" w:themeShade="80"/>
        </w:rPr>
        <w:t>.</w:t>
      </w:r>
    </w:p>
    <w:p w14:paraId="396CF093" w14:textId="2B9D1E2E" w:rsidR="00124E1C" w:rsidRPr="00124E1C" w:rsidRDefault="00124E1C" w:rsidP="00124E1C">
      <w:pPr>
        <w:pStyle w:val="SemEspaamento"/>
        <w:spacing w:before="60" w:after="60" w:line="276" w:lineRule="auto"/>
        <w:ind w:left="2268" w:firstLine="0"/>
        <w:rPr>
          <w:i/>
          <w:iCs/>
        </w:rPr>
      </w:pPr>
      <w:r w:rsidRPr="00860199">
        <w:rPr>
          <w:i/>
          <w:iCs/>
        </w:rPr>
        <w:t>Por ser medida excepcional, que relativiza, em caráter de urgência, direito individual à liberdade de locomoção, a prisão preventiva somente poderá ser decretada quando não se mostrar viável, dadas as circunstâncias do caso concreto, o deferimento das medidas cautelares alternativas disciplinadas no art. 319 da norma processual penal. 3. No caso, a despeito da gravidade e elevada reprovabilidade das condutas atribuídas ao agravado, não houve por parte das instâncias ordinárias demonstração concreta da insuficiência das medidas cautelares alternativas para a consecução dos objetivos traçados pelo art. 282, inciso I, do CPP, pelo que não evidenciada a imprescindibilidade da medida extrema da prisão.</w:t>
      </w:r>
    </w:p>
    <w:p w14:paraId="3D983B0A" w14:textId="4E8FBE42" w:rsidR="00124E1C" w:rsidRPr="00124E1C" w:rsidRDefault="00124E1C" w:rsidP="00124E1C">
      <w:pPr>
        <w:pStyle w:val="SemEspaamento"/>
      </w:pPr>
      <w:r w:rsidRPr="00124E1C">
        <w:t xml:space="preserve">Dessa forma, à vista da ausência de qualquer fundamentação idônea sobre a ineficácia das medidas cautelares diversas e considerando as condições subjetivas favoráveis do paciente, revela-se manifesta a </w:t>
      </w:r>
      <w:r w:rsidRPr="00124E1C">
        <w:rPr>
          <w:b/>
          <w:bCs/>
        </w:rPr>
        <w:t>desproporcionalidade</w:t>
      </w:r>
      <w:r w:rsidRPr="00124E1C">
        <w:t xml:space="preserve"> da manutenção da prisão preventiva. Em respeito aos princípios da excepcionalidade, da proporcionalidade e da subsidiariedade da prisão cautelar, impõe-se a revogação da custódia, com a substituição por medidas cautelares suficientes e adequadas aos fins do processo penal, nos termos do art. 319 do CPP, solução que concilia a tutela do processo com a preservação da liberdade do paciente.</w:t>
      </w:r>
    </w:p>
    <w:p w14:paraId="4FAE3162" w14:textId="77777777" w:rsidR="00A108DD" w:rsidRPr="002C7BE1" w:rsidRDefault="00A108DD" w:rsidP="002A79CB">
      <w:pPr>
        <w:pStyle w:val="SemEspaamento"/>
      </w:pPr>
    </w:p>
    <w:p w14:paraId="37FB3C55" w14:textId="3C9F6237" w:rsidR="00435014" w:rsidRDefault="00435014" w:rsidP="00435014">
      <w:pPr>
        <w:pStyle w:val="Ttulo1"/>
        <w:spacing w:before="0" w:after="0" w:line="240" w:lineRule="auto"/>
      </w:pPr>
      <w:bookmarkStart w:id="1" w:name="_Hlk214783665"/>
      <w:r>
        <w:lastRenderedPageBreak/>
        <w:t>NECESSIDADE DE CONCESSÃO DA LIMINAR</w:t>
      </w:r>
      <w:r>
        <w:t xml:space="preserve"> </w:t>
      </w:r>
    </w:p>
    <w:p w14:paraId="3C464D24" w14:textId="22336EA6" w:rsidR="00435014" w:rsidRPr="00547988" w:rsidRDefault="00435014" w:rsidP="0043501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Presença dos requisitos autorizadores </w:t>
      </w:r>
    </w:p>
    <w:p w14:paraId="1316FA5C" w14:textId="77777777" w:rsidR="00124E1C" w:rsidRPr="00124E1C" w:rsidRDefault="00124E1C" w:rsidP="00124E1C">
      <w:pPr>
        <w:pStyle w:val="SemEspaamento"/>
        <w:rPr>
          <w:rFonts w:cstheme="minorHAnsi"/>
          <w:bCs/>
        </w:rPr>
      </w:pPr>
      <w:r w:rsidRPr="00124E1C">
        <w:rPr>
          <w:rFonts w:cstheme="minorHAnsi"/>
          <w:bCs/>
        </w:rPr>
        <w:t xml:space="preserve">No presente writ, o </w:t>
      </w:r>
      <w:r w:rsidRPr="00124E1C">
        <w:rPr>
          <w:rFonts w:cstheme="minorHAnsi"/>
          <w:b/>
          <w:bCs/>
        </w:rPr>
        <w:t>fumus boni iuris</w:t>
      </w:r>
      <w:r w:rsidRPr="00124E1C">
        <w:rPr>
          <w:rFonts w:cstheme="minorHAnsi"/>
          <w:bCs/>
        </w:rPr>
        <w:t xml:space="preserve"> se evidencia de forma contundente. A decisão que manteve a prisão preventiva do paciente fundamentou-se, essencialmente, na gravidade em abstrato do delito imputado, sem indicar elementos concretos que demonstrem risco real à ordem pública, à instrução criminal ou à aplicação da lei penal. Além disso, não houve qualquer análise efetiva acerca da suficiência das medidas cautelares diversas da prisão previstas no art. 319 do CPP, em flagrante afronta aos </w:t>
      </w:r>
      <w:proofErr w:type="spellStart"/>
      <w:r w:rsidRPr="00124E1C">
        <w:rPr>
          <w:rFonts w:cstheme="minorHAnsi"/>
          <w:bCs/>
        </w:rPr>
        <w:t>arts</w:t>
      </w:r>
      <w:proofErr w:type="spellEnd"/>
      <w:r w:rsidRPr="00124E1C">
        <w:rPr>
          <w:rFonts w:cstheme="minorHAnsi"/>
          <w:bCs/>
        </w:rPr>
        <w:t>. 282 e 312 do Código de Processo Penal e à jurisprudência consolidada do STF e STJ, que exige fundamentação concreta e individualizada para justificar a medida extrema.</w:t>
      </w:r>
    </w:p>
    <w:p w14:paraId="738F4468" w14:textId="77777777" w:rsidR="00124E1C" w:rsidRPr="00124E1C" w:rsidRDefault="00124E1C" w:rsidP="00124E1C">
      <w:pPr>
        <w:pStyle w:val="SemEspaamento"/>
        <w:rPr>
          <w:rFonts w:cstheme="minorHAnsi"/>
          <w:bCs/>
        </w:rPr>
      </w:pPr>
      <w:r w:rsidRPr="00124E1C">
        <w:rPr>
          <w:rFonts w:cstheme="minorHAnsi"/>
          <w:bCs/>
        </w:rPr>
        <w:t xml:space="preserve">O constrangimento ilegal torna-se ainda mais nítido quando se observa que o paciente ostenta </w:t>
      </w:r>
      <w:r w:rsidRPr="00124E1C">
        <w:rPr>
          <w:rFonts w:cstheme="minorHAnsi"/>
          <w:b/>
          <w:bCs/>
        </w:rPr>
        <w:t>condições pessoais favoráveis</w:t>
      </w:r>
      <w:r w:rsidRPr="00124E1C">
        <w:rPr>
          <w:rFonts w:cstheme="minorHAnsi"/>
          <w:bCs/>
        </w:rPr>
        <w:t xml:space="preserve"> – primariedade, bons antecedentes, residência fixa e atividade lícita –, sem qualquer notícia de que tenha, em liberdade, ameaçado testemunhas, perturbado a instrução ou se furtado à aplicação da lei penal. Nada nos autos indica que medidas menos gravosas, como comparecimento periódico em juízo, proibição de contato com determinadas pessoas, proibição de frequentar certos locais, monitoramento eletrônico, entre outras, seriam insuficientes. A ausência de qualquer justificativa concreta para afastar essas cautelares demonstra, em cognição sumária, a plausibilidade do direito invocado.</w:t>
      </w:r>
    </w:p>
    <w:p w14:paraId="5A403155" w14:textId="77777777" w:rsidR="00124E1C" w:rsidRPr="00124E1C" w:rsidRDefault="00124E1C" w:rsidP="00124E1C">
      <w:pPr>
        <w:pStyle w:val="SemEspaamento"/>
        <w:rPr>
          <w:rFonts w:cstheme="minorHAnsi"/>
          <w:bCs/>
        </w:rPr>
      </w:pPr>
      <w:r w:rsidRPr="00124E1C">
        <w:rPr>
          <w:rFonts w:cstheme="minorHAnsi"/>
          <w:bCs/>
        </w:rPr>
        <w:t xml:space="preserve">Quanto ao </w:t>
      </w:r>
      <w:r w:rsidRPr="00124E1C">
        <w:rPr>
          <w:rFonts w:cstheme="minorHAnsi"/>
          <w:b/>
          <w:bCs/>
        </w:rPr>
        <w:t>periculum in mora</w:t>
      </w:r>
      <w:r w:rsidRPr="00124E1C">
        <w:rPr>
          <w:rFonts w:cstheme="minorHAnsi"/>
          <w:bCs/>
        </w:rPr>
        <w:t>, este se mostra igualmente presente, pois o paciente permanece submetido à mais gravosa das medidas cautelares — a prisão preventiva — sem que tenha havido a devida ponderação sobre alternativas menos restritivas. Cada dia de encarceramento com base em decisão genérica e desprovida de fundamentação adequada constitui violação renovada ao direito fundamental à liberdade e aos princípios da presunção de inocência, da proporcionalidade e da excepcionalidade da prisão cautelar. A demora natural no julgamento definitivo do habeas corpus, sem a concessão da liminar, pode tornar ineficaz a própria tutela buscada, convertendo o remédio constitucional em providência tardia.</w:t>
      </w:r>
    </w:p>
    <w:p w14:paraId="6BB164EA" w14:textId="77777777" w:rsidR="00124E1C" w:rsidRPr="00124E1C" w:rsidRDefault="00124E1C" w:rsidP="00124E1C">
      <w:pPr>
        <w:pStyle w:val="SemEspaamento"/>
        <w:rPr>
          <w:rFonts w:cstheme="minorHAnsi"/>
          <w:bCs/>
        </w:rPr>
      </w:pPr>
      <w:r w:rsidRPr="00124E1C">
        <w:rPr>
          <w:rFonts w:cstheme="minorHAnsi"/>
          <w:bCs/>
        </w:rPr>
        <w:t xml:space="preserve">Diante disso, a conjugação do </w:t>
      </w:r>
      <w:r w:rsidRPr="00124E1C">
        <w:rPr>
          <w:rFonts w:cstheme="minorHAnsi"/>
          <w:b/>
          <w:bCs/>
        </w:rPr>
        <w:t>fumus boni iuris</w:t>
      </w:r>
      <w:r w:rsidRPr="00124E1C">
        <w:rPr>
          <w:rFonts w:cstheme="minorHAnsi"/>
          <w:bCs/>
        </w:rPr>
        <w:t xml:space="preserve"> — consubstanciado na ilegalidade da prisão preventiva fundada em gravidade abstrata do delito e na ausência de </w:t>
      </w:r>
      <w:r w:rsidRPr="00124E1C">
        <w:rPr>
          <w:rFonts w:cstheme="minorHAnsi"/>
          <w:bCs/>
        </w:rPr>
        <w:lastRenderedPageBreak/>
        <w:t xml:space="preserve">demonstração da insuficiência das cautelares diversas — com o </w:t>
      </w:r>
      <w:r w:rsidRPr="00124E1C">
        <w:rPr>
          <w:rFonts w:cstheme="minorHAnsi"/>
          <w:b/>
          <w:bCs/>
        </w:rPr>
        <w:t>periculum in mora</w:t>
      </w:r>
      <w:r w:rsidRPr="00124E1C">
        <w:rPr>
          <w:rFonts w:cstheme="minorHAnsi"/>
          <w:bCs/>
        </w:rPr>
        <w:t xml:space="preserve"> — representado pela continuidade da indevida restrição à liberdade do paciente — impõe a atuação imediata desta Egrégia Câmara Criminal. Mostra-se, portanto, plenamente justificado o </w:t>
      </w:r>
      <w:r w:rsidRPr="00124E1C">
        <w:rPr>
          <w:rFonts w:cstheme="minorHAnsi"/>
          <w:b/>
          <w:bCs/>
        </w:rPr>
        <w:t>deferimento da liminar</w:t>
      </w:r>
      <w:r w:rsidRPr="00124E1C">
        <w:rPr>
          <w:rFonts w:cstheme="minorHAnsi"/>
          <w:bCs/>
        </w:rPr>
        <w:t xml:space="preserve"> para colocar o paciente em liberdade, sob imposição de medidas cautelares alternativas, até o julgamento final deste habeas corpus.</w:t>
      </w:r>
    </w:p>
    <w:p w14:paraId="5EE1F79C" w14:textId="77777777" w:rsidR="00124E1C" w:rsidRPr="002A4C6E" w:rsidRDefault="00124E1C" w:rsidP="002A4C6E">
      <w:pPr>
        <w:pStyle w:val="SemEspaamento"/>
        <w:rPr>
          <w:rFonts w:cstheme="minorHAnsi"/>
          <w:bCs/>
        </w:rPr>
      </w:pPr>
    </w:p>
    <w:bookmarkEnd w:id="1"/>
    <w:p w14:paraId="0D9CD480" w14:textId="77777777" w:rsidR="00435014" w:rsidRDefault="00435014" w:rsidP="00435014">
      <w:pPr>
        <w:pStyle w:val="Ttulo1"/>
        <w:spacing w:before="0" w:after="0" w:line="240" w:lineRule="auto"/>
      </w:pPr>
      <w:r w:rsidRPr="00E71747">
        <w:t>NECESSIDADE DE DISTINGUISHING</w:t>
      </w:r>
    </w:p>
    <w:p w14:paraId="5490F4BC" w14:textId="77777777" w:rsidR="00435014" w:rsidRPr="00547988" w:rsidRDefault="00435014" w:rsidP="0043501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Teses apresentadas que se adequam ao entendimento do STJ</w:t>
      </w:r>
    </w:p>
    <w:p w14:paraId="5809C004" w14:textId="77777777" w:rsidR="00435014" w:rsidRPr="00150C5B" w:rsidRDefault="00435014" w:rsidP="00435014">
      <w:pPr>
        <w:pStyle w:val="SemEspaamento"/>
      </w:pPr>
      <w:r w:rsidRPr="00150C5B">
        <w:t>O patrono do requerente apresent</w:t>
      </w:r>
      <w:r>
        <w:t>ou</w:t>
      </w:r>
      <w:r w:rsidRPr="00150C5B">
        <w:t xml:space="preserve"> julgados e decisões dos tribunais superiores para corroborar as teses defensivas lançadas na presente peça.</w:t>
      </w:r>
    </w:p>
    <w:p w14:paraId="09182CA1" w14:textId="77777777" w:rsidR="00435014" w:rsidRPr="00150C5B" w:rsidRDefault="00435014" w:rsidP="00435014">
      <w:pPr>
        <w:pStyle w:val="SemEspaamento"/>
      </w:pPr>
      <w:r w:rsidRPr="00150C5B">
        <w:t xml:space="preserve">Em todas há similitude fática e jurídica com o caso em apreço. Contudo, caso o juízo entenda de maneira diversa, </w:t>
      </w:r>
      <w:r>
        <w:t>requer que elucide na decisão a ser proferida</w:t>
      </w:r>
      <w:r w:rsidRPr="00150C5B">
        <w:t xml:space="preserve"> a diferença entre o presente caso e o</w:t>
      </w:r>
      <w:r>
        <w:t>s</w:t>
      </w:r>
      <w:r w:rsidRPr="00150C5B">
        <w:t xml:space="preserve"> precedente</w:t>
      </w:r>
      <w:r>
        <w:t>s</w:t>
      </w:r>
      <w:r w:rsidRPr="00150C5B">
        <w:t xml:space="preserve"> </w:t>
      </w:r>
      <w:r>
        <w:t>apontados na peça</w:t>
      </w:r>
      <w:r w:rsidRPr="00150C5B">
        <w:t xml:space="preserve">, bem como </w:t>
      </w:r>
      <w:r>
        <w:t xml:space="preserve">que </w:t>
      </w:r>
      <w:r w:rsidRPr="00150C5B">
        <w:t xml:space="preserve">demonstre o motivo pela qual aquele entendimento não se aplica ao presente caso. </w:t>
      </w:r>
    </w:p>
    <w:p w14:paraId="7F74C16D" w14:textId="77777777" w:rsidR="00435014" w:rsidRDefault="00435014" w:rsidP="00435014">
      <w:pPr>
        <w:pStyle w:val="SemEspaamento"/>
      </w:pPr>
      <w:r w:rsidRPr="00150C5B">
        <w:t>Deve ser ressaltado que eventual decisão que não faça essa distinção não poderá ser considerada como suficientemente fundamentada nos termos do art. 315, §2º, VI, gerando vício insuperável.</w:t>
      </w:r>
    </w:p>
    <w:p w14:paraId="3D2D617E" w14:textId="77777777" w:rsidR="00435014" w:rsidRDefault="00435014" w:rsidP="00435014">
      <w:pPr>
        <w:pStyle w:val="SemEspaamento"/>
        <w:pBdr>
          <w:bottom w:val="single" w:sz="4" w:space="1" w:color="auto"/>
        </w:pBdr>
        <w:spacing w:before="60" w:after="60" w:line="240" w:lineRule="auto"/>
        <w:ind w:left="2268" w:firstLine="0"/>
      </w:pPr>
      <w:r>
        <w:rPr>
          <w:b/>
          <w:bCs/>
          <w:sz w:val="36"/>
          <w:szCs w:val="36"/>
        </w:rPr>
        <w:t>CPP</w:t>
      </w:r>
      <w:r>
        <w:t xml:space="preserve"> </w:t>
      </w:r>
      <w:r w:rsidRPr="00ED0C3A">
        <w:rPr>
          <w:color w:val="808080" w:themeColor="background1" w:themeShade="80"/>
        </w:rPr>
        <w:t xml:space="preserve">– </w:t>
      </w:r>
      <w:r>
        <w:rPr>
          <w:color w:val="808080" w:themeColor="background1" w:themeShade="80"/>
        </w:rPr>
        <w:t>art. 315, §2º, VI</w:t>
      </w:r>
      <w:r w:rsidRPr="00580B73">
        <w:rPr>
          <w:color w:val="808080" w:themeColor="background1" w:themeShade="80"/>
        </w:rPr>
        <w:t>.</w:t>
      </w:r>
    </w:p>
    <w:p w14:paraId="1101F206" w14:textId="77777777" w:rsidR="00435014" w:rsidRPr="00E71747" w:rsidRDefault="00435014" w:rsidP="00435014">
      <w:pPr>
        <w:pStyle w:val="SemEspaamento"/>
        <w:spacing w:before="0" w:after="0" w:line="240" w:lineRule="auto"/>
        <w:ind w:left="2268" w:firstLine="0"/>
        <w:rPr>
          <w:i/>
          <w:iCs/>
        </w:rPr>
      </w:pPr>
      <w:r w:rsidRPr="00E71747">
        <w:rPr>
          <w:i/>
          <w:iCs/>
        </w:rPr>
        <w:t>Art. 315. A decisão que decretar, substituir ou denegar a prisão preventiva será sempre motivada e fundamentada.</w:t>
      </w:r>
    </w:p>
    <w:p w14:paraId="12AE7C17" w14:textId="77777777" w:rsidR="00435014" w:rsidRPr="00E71747" w:rsidRDefault="00435014" w:rsidP="00435014">
      <w:pPr>
        <w:pStyle w:val="SemEspaamento"/>
        <w:spacing w:before="0" w:after="0" w:line="240" w:lineRule="auto"/>
        <w:ind w:left="2268" w:firstLine="0"/>
        <w:rPr>
          <w:i/>
          <w:iCs/>
        </w:rPr>
      </w:pPr>
      <w:r w:rsidRPr="00E71747">
        <w:rPr>
          <w:i/>
          <w:iCs/>
        </w:rPr>
        <w:t>§ 2º Não se considera fundamentada qualquer decisão judicial, seja ela interlocutória, sentença ou acórdão, que:</w:t>
      </w:r>
    </w:p>
    <w:p w14:paraId="4ADB42C4" w14:textId="77777777" w:rsidR="00435014" w:rsidRDefault="00435014" w:rsidP="00435014">
      <w:pPr>
        <w:pStyle w:val="SemEspaamento"/>
        <w:spacing w:before="0" w:after="0" w:line="240" w:lineRule="auto"/>
        <w:ind w:left="2268" w:firstLine="0"/>
        <w:rPr>
          <w:i/>
          <w:iCs/>
        </w:rPr>
      </w:pPr>
      <w:r w:rsidRPr="00E71747">
        <w:rPr>
          <w:i/>
          <w:iCs/>
        </w:rPr>
        <w:t xml:space="preserve">VI - </w:t>
      </w:r>
      <w:proofErr w:type="gramStart"/>
      <w:r w:rsidRPr="00E71747">
        <w:rPr>
          <w:i/>
          <w:iCs/>
        </w:rPr>
        <w:t>deixar</w:t>
      </w:r>
      <w:proofErr w:type="gramEnd"/>
      <w:r w:rsidRPr="00E71747">
        <w:rPr>
          <w:i/>
          <w:iCs/>
        </w:rPr>
        <w:t xml:space="preserve"> de seguir enunciado de súmula, jurisprudência ou precedente invocado pela parte, sem demonstrar a existência de distinção no caso em julgamento ou a superação do entendimento.</w:t>
      </w:r>
    </w:p>
    <w:p w14:paraId="26539F40" w14:textId="77777777" w:rsidR="002A4C6E" w:rsidRDefault="002A4C6E" w:rsidP="00435014">
      <w:pPr>
        <w:pStyle w:val="SemEspaamento"/>
        <w:spacing w:before="0" w:after="0" w:line="240" w:lineRule="auto"/>
        <w:ind w:left="2268" w:firstLine="0"/>
        <w:rPr>
          <w:i/>
          <w:iCs/>
        </w:rPr>
      </w:pPr>
    </w:p>
    <w:p w14:paraId="53A0CDED" w14:textId="77777777" w:rsidR="00A108DD" w:rsidRDefault="00A108DD" w:rsidP="00435014">
      <w:pPr>
        <w:pStyle w:val="SemEspaamento"/>
        <w:spacing w:before="0" w:after="0" w:line="240" w:lineRule="auto"/>
        <w:ind w:left="2268" w:firstLine="0"/>
        <w:rPr>
          <w:i/>
          <w:iCs/>
        </w:rPr>
      </w:pPr>
    </w:p>
    <w:p w14:paraId="580A9D54" w14:textId="77777777" w:rsidR="00A108DD" w:rsidRDefault="00A108DD" w:rsidP="00435014">
      <w:pPr>
        <w:pStyle w:val="SemEspaamento"/>
        <w:spacing w:before="0" w:after="0" w:line="240" w:lineRule="auto"/>
        <w:ind w:left="2268" w:firstLine="0"/>
        <w:rPr>
          <w:i/>
          <w:iCs/>
        </w:rPr>
      </w:pPr>
    </w:p>
    <w:p w14:paraId="563BA6F1" w14:textId="77777777" w:rsidR="00A108DD" w:rsidRDefault="00A108DD" w:rsidP="00435014">
      <w:pPr>
        <w:pStyle w:val="SemEspaamento"/>
        <w:spacing w:before="0" w:after="0" w:line="240" w:lineRule="auto"/>
        <w:ind w:left="2268" w:firstLine="0"/>
        <w:rPr>
          <w:i/>
          <w:iCs/>
        </w:rPr>
      </w:pPr>
    </w:p>
    <w:p w14:paraId="72AE91AF" w14:textId="77777777" w:rsidR="00C66B1D" w:rsidRDefault="00C66B1D" w:rsidP="00435014">
      <w:pPr>
        <w:pStyle w:val="SemEspaamento"/>
        <w:spacing w:before="0" w:after="0" w:line="240" w:lineRule="auto"/>
        <w:ind w:left="2268" w:firstLine="0"/>
        <w:rPr>
          <w:i/>
          <w:iCs/>
        </w:rPr>
      </w:pPr>
    </w:p>
    <w:p w14:paraId="65CC5450" w14:textId="77777777" w:rsidR="00C66B1D" w:rsidRDefault="00C66B1D" w:rsidP="00435014">
      <w:pPr>
        <w:pStyle w:val="SemEspaamento"/>
        <w:spacing w:before="0" w:after="0" w:line="240" w:lineRule="auto"/>
        <w:ind w:left="2268" w:firstLine="0"/>
        <w:rPr>
          <w:i/>
          <w:iCs/>
        </w:rPr>
      </w:pPr>
    </w:p>
    <w:p w14:paraId="73E39172" w14:textId="0BA79212" w:rsidR="00B85546" w:rsidRPr="008A42DE" w:rsidRDefault="002D3115" w:rsidP="008A42DE">
      <w:pPr>
        <w:pStyle w:val="Ttulo1"/>
        <w:spacing w:before="0" w:after="0" w:line="240" w:lineRule="auto"/>
      </w:pPr>
      <w:r>
        <w:lastRenderedPageBreak/>
        <w:t>DO PEDIDO</w:t>
      </w:r>
    </w:p>
    <w:p w14:paraId="262ABB1F" w14:textId="77777777" w:rsidR="00015D08" w:rsidRDefault="00015D08" w:rsidP="00015D08">
      <w:pPr>
        <w:spacing w:before="120" w:after="120" w:line="312" w:lineRule="auto"/>
        <w:ind w:firstLine="567"/>
        <w:jc w:val="both"/>
        <w:rPr>
          <w:rFonts w:ascii="Source Serif Pro" w:hAnsi="Source Serif Pro"/>
        </w:rPr>
      </w:pPr>
    </w:p>
    <w:p w14:paraId="6E940963" w14:textId="6CC2BE08" w:rsidR="00C66B1D" w:rsidRPr="00C66B1D" w:rsidRDefault="00C66B1D" w:rsidP="00C66B1D">
      <w:pPr>
        <w:spacing w:before="120" w:after="120" w:line="312" w:lineRule="auto"/>
        <w:ind w:firstLine="567"/>
        <w:jc w:val="both"/>
        <w:rPr>
          <w:rFonts w:ascii="Source Serif Pro" w:hAnsi="Source Serif Pro"/>
        </w:rPr>
      </w:pPr>
      <w:r w:rsidRPr="00C66B1D">
        <w:rPr>
          <w:rFonts w:ascii="Source Serif Pro" w:hAnsi="Source Serif Pro"/>
        </w:rPr>
        <w:t xml:space="preserve">Diante do flagrante constrangimento ilegal demonstrado – prisão preventiva lastreada na gravidade em abstrato do delito, sem fundamentação concreta e sem análise da suficiência das medidas cautelares diversas –, requer o Impetrante, </w:t>
      </w:r>
      <w:r w:rsidRPr="00C66B1D">
        <w:rPr>
          <w:rFonts w:ascii="Source Serif Pro" w:hAnsi="Source Serif Pro"/>
          <w:b/>
          <w:bCs/>
        </w:rPr>
        <w:t>em caráter liminar</w:t>
      </w:r>
      <w:r w:rsidRPr="00C66B1D">
        <w:rPr>
          <w:rFonts w:ascii="Source Serif Pro" w:hAnsi="Source Serif Pro"/>
        </w:rPr>
        <w:t xml:space="preserve">, a Vossas Excelências, integrantes desta Egrégia Câmara Criminal, que seja </w:t>
      </w:r>
      <w:r w:rsidRPr="00C66B1D">
        <w:rPr>
          <w:rFonts w:ascii="Source Serif Pro" w:hAnsi="Source Serif Pro"/>
          <w:b/>
          <w:bCs/>
        </w:rPr>
        <w:t>suspensa de imediato a eficácia da decisão que decretou/manteve a prisão preventiva do paciente</w:t>
      </w:r>
      <w:r w:rsidRPr="00C66B1D">
        <w:rPr>
          <w:rFonts w:ascii="Source Serif Pro" w:hAnsi="Source Serif Pro"/>
        </w:rPr>
        <w:t xml:space="preserve">, determinando-se sua </w:t>
      </w:r>
      <w:r w:rsidRPr="00C66B1D">
        <w:rPr>
          <w:rFonts w:ascii="Source Serif Pro" w:hAnsi="Source Serif Pro"/>
          <w:b/>
          <w:bCs/>
        </w:rPr>
        <w:t>imediata colocação em liberdade</w:t>
      </w:r>
      <w:r w:rsidRPr="00C66B1D">
        <w:rPr>
          <w:rFonts w:ascii="Source Serif Pro" w:hAnsi="Source Serif Pro"/>
        </w:rPr>
        <w:t xml:space="preserve">, </w:t>
      </w:r>
      <w:r>
        <w:rPr>
          <w:rFonts w:ascii="Source Serif Pro" w:hAnsi="Source Serif Pro"/>
        </w:rPr>
        <w:t>com</w:t>
      </w:r>
      <w:r w:rsidRPr="00C66B1D">
        <w:rPr>
          <w:rFonts w:ascii="Source Serif Pro" w:hAnsi="Source Serif Pro"/>
        </w:rPr>
        <w:t xml:space="preserve"> à aplicação de </w:t>
      </w:r>
      <w:r w:rsidRPr="00C66B1D">
        <w:rPr>
          <w:rFonts w:ascii="Source Serif Pro" w:hAnsi="Source Serif Pro"/>
          <w:b/>
          <w:bCs/>
        </w:rPr>
        <w:t>medidas cautelares diversas da prisão</w:t>
      </w:r>
      <w:r w:rsidRPr="00C66B1D">
        <w:rPr>
          <w:rFonts w:ascii="Source Serif Pro" w:hAnsi="Source Serif Pro"/>
        </w:rPr>
        <w:t>, nos termos do art. 319 do CPP, a critério deste Tribunal.</w:t>
      </w:r>
    </w:p>
    <w:p w14:paraId="16A7F433" w14:textId="7246480C" w:rsidR="00A108DD" w:rsidRPr="00A108DD" w:rsidRDefault="00C66B1D" w:rsidP="00C66B1D">
      <w:pPr>
        <w:spacing w:before="120" w:after="120" w:line="312" w:lineRule="auto"/>
        <w:ind w:firstLine="567"/>
        <w:jc w:val="both"/>
        <w:rPr>
          <w:rFonts w:ascii="Source Serif Pro" w:hAnsi="Source Serif Pro"/>
        </w:rPr>
      </w:pPr>
      <w:r w:rsidRPr="00C66B1D">
        <w:rPr>
          <w:rFonts w:ascii="Source Serif Pro" w:hAnsi="Source Serif Pro"/>
        </w:rPr>
        <w:t xml:space="preserve">No mérito, requer seja </w:t>
      </w:r>
      <w:r w:rsidRPr="00C66B1D">
        <w:rPr>
          <w:rFonts w:ascii="Source Serif Pro" w:hAnsi="Source Serif Pro"/>
          <w:b/>
          <w:bCs/>
        </w:rPr>
        <w:t>concedida em definitivo a ordem de habeas corpus</w:t>
      </w:r>
      <w:r w:rsidRPr="00C66B1D">
        <w:rPr>
          <w:rFonts w:ascii="Source Serif Pro" w:hAnsi="Source Serif Pro"/>
        </w:rPr>
        <w:t xml:space="preserve">, para que </w:t>
      </w:r>
      <w:proofErr w:type="gramStart"/>
      <w:r w:rsidRPr="00C66B1D">
        <w:rPr>
          <w:rFonts w:ascii="Source Serif Pro" w:hAnsi="Source Serif Pro"/>
        </w:rPr>
        <w:t>esta</w:t>
      </w:r>
      <w:proofErr w:type="gramEnd"/>
      <w:r w:rsidRPr="00C66B1D">
        <w:rPr>
          <w:rFonts w:ascii="Source Serif Pro" w:hAnsi="Source Serif Pro"/>
        </w:rPr>
        <w:t xml:space="preserve"> Egrégia Câmara Criminal reconheça a </w:t>
      </w:r>
      <w:r w:rsidRPr="00C66B1D">
        <w:rPr>
          <w:rFonts w:ascii="Source Serif Pro" w:hAnsi="Source Serif Pro"/>
          <w:b/>
          <w:bCs/>
        </w:rPr>
        <w:t>ilegalidade da prisão preventiva</w:t>
      </w:r>
      <w:r w:rsidRPr="00C66B1D">
        <w:rPr>
          <w:rFonts w:ascii="Source Serif Pro" w:hAnsi="Source Serif Pro"/>
        </w:rPr>
        <w:t xml:space="preserve"> imposta ao paciente, por estar fundada apenas na gravidade genérica do delito e por não demonstrar, de forma concreta, a insuficiência das cautelares alternativas. Requer, assim, a </w:t>
      </w:r>
      <w:r w:rsidRPr="00C66B1D">
        <w:rPr>
          <w:rFonts w:ascii="Source Serif Pro" w:hAnsi="Source Serif Pro"/>
          <w:b/>
          <w:bCs/>
        </w:rPr>
        <w:t>revogação da prisão preventiva</w:t>
      </w:r>
      <w:r w:rsidRPr="00C66B1D">
        <w:rPr>
          <w:rFonts w:ascii="Source Serif Pro" w:hAnsi="Source Serif Pro"/>
        </w:rPr>
        <w:t>, com a manutenção do paciente em liberdade, mediante aplicação de medidas cautelares diversas que Vossas Excelências entenderem adequadas e suficientes (art. 282 e 319 do CPP), vedando-se nova decretação de prisão com base nos mesmos fundamentos genéricos.</w:t>
      </w:r>
    </w:p>
    <w:p w14:paraId="6F559E63" w14:textId="1FD46C69" w:rsidR="00D8503E" w:rsidRPr="00D8503E" w:rsidRDefault="00D8503E" w:rsidP="00D8503E">
      <w:pPr>
        <w:spacing w:before="120" w:after="120" w:line="312" w:lineRule="auto"/>
        <w:ind w:firstLine="567"/>
        <w:jc w:val="both"/>
        <w:rPr>
          <w:rFonts w:ascii="Source Serif Pro" w:hAnsi="Source Serif Pro"/>
        </w:rPr>
      </w:pPr>
    </w:p>
    <w:p w14:paraId="191844BF" w14:textId="394FF0A0" w:rsidR="0015581C" w:rsidRPr="0015581C" w:rsidRDefault="0015581C" w:rsidP="0015581C">
      <w:pPr>
        <w:spacing w:before="120" w:after="120" w:line="312" w:lineRule="auto"/>
        <w:ind w:firstLine="567"/>
        <w:jc w:val="both"/>
        <w:rPr>
          <w:rFonts w:ascii="Source Serif Pro" w:hAnsi="Source Serif Pro"/>
        </w:rPr>
      </w:pPr>
      <w:r w:rsidRPr="0015581C">
        <w:rPr>
          <w:rFonts w:ascii="Source Serif Pro" w:hAnsi="Source Serif Pro"/>
        </w:rPr>
        <w:t>Respeitosamente, requer o deferimento.</w:t>
      </w:r>
    </w:p>
    <w:p w14:paraId="788C5C33" w14:textId="29C32AC9" w:rsidR="0015581C" w:rsidRPr="0015581C" w:rsidRDefault="006A3AEB" w:rsidP="0015581C">
      <w:pPr>
        <w:spacing w:before="120" w:after="120" w:line="312" w:lineRule="auto"/>
        <w:ind w:firstLine="567"/>
        <w:jc w:val="both"/>
        <w:rPr>
          <w:rFonts w:ascii="Source Serif Pro" w:hAnsi="Source Serif Pro"/>
        </w:rPr>
      </w:pPr>
      <w:r>
        <w:rPr>
          <w:rFonts w:ascii="Source Serif Pro" w:hAnsi="Source Serif Pro"/>
        </w:rPr>
        <w:t>Cidade e estado</w:t>
      </w:r>
      <w:r w:rsidR="0015581C" w:rsidRPr="0015581C">
        <w:rPr>
          <w:rFonts w:ascii="Source Serif Pro" w:hAnsi="Source Serif Pro"/>
        </w:rPr>
        <w:t xml:space="preserve">, </w:t>
      </w:r>
      <w:r w:rsidR="0015581C">
        <w:rPr>
          <w:rFonts w:ascii="Source Serif Pro" w:hAnsi="Source Serif Pro"/>
        </w:rPr>
        <w:fldChar w:fldCharType="begin"/>
      </w:r>
      <w:r w:rsidR="0015581C">
        <w:rPr>
          <w:rFonts w:ascii="Source Serif Pro" w:hAnsi="Source Serif Pro"/>
        </w:rPr>
        <w:instrText xml:space="preserve"> TIME \@ "d' de 'MMMM' de 'yyyy" </w:instrText>
      </w:r>
      <w:r w:rsidR="0015581C">
        <w:rPr>
          <w:rFonts w:ascii="Source Serif Pro" w:hAnsi="Source Serif Pro"/>
        </w:rPr>
        <w:fldChar w:fldCharType="separate"/>
      </w:r>
      <w:r w:rsidR="0023351C">
        <w:rPr>
          <w:rFonts w:ascii="Source Serif Pro" w:hAnsi="Source Serif Pro"/>
          <w:noProof/>
        </w:rPr>
        <w:t>23 de novembro de 2025</w:t>
      </w:r>
      <w:r w:rsidR="0015581C">
        <w:rPr>
          <w:rFonts w:ascii="Source Serif Pro" w:hAnsi="Source Serif Pro"/>
        </w:rPr>
        <w:fldChar w:fldCharType="end"/>
      </w:r>
      <w:r w:rsidR="0015581C" w:rsidRPr="0015581C">
        <w:rPr>
          <w:rFonts w:ascii="Source Serif Pro" w:hAnsi="Source Serif Pro"/>
        </w:rPr>
        <w:t>.</w:t>
      </w:r>
    </w:p>
    <w:p w14:paraId="6504CE75" w14:textId="77777777" w:rsidR="007C59F9" w:rsidRDefault="007C59F9" w:rsidP="006A3AEB">
      <w:pPr>
        <w:spacing w:after="0" w:line="240" w:lineRule="auto"/>
        <w:jc w:val="center"/>
        <w:rPr>
          <w:rFonts w:ascii="Source Serif Pro" w:hAnsi="Source Serif Pro"/>
        </w:rPr>
      </w:pPr>
    </w:p>
    <w:p w14:paraId="2DA090D7" w14:textId="533CF80C" w:rsidR="0015581C" w:rsidRDefault="006A3AEB" w:rsidP="006A3AEB">
      <w:pPr>
        <w:spacing w:after="0" w:line="240" w:lineRule="auto"/>
        <w:jc w:val="center"/>
        <w:rPr>
          <w:rFonts w:ascii="Source Serif Pro" w:hAnsi="Source Serif Pro"/>
        </w:rPr>
      </w:pPr>
      <w:r>
        <w:rPr>
          <w:rFonts w:ascii="Source Serif Pro" w:hAnsi="Source Serif Pro"/>
        </w:rPr>
        <w:t>Nome do advogado</w:t>
      </w:r>
    </w:p>
    <w:p w14:paraId="3DC37275" w14:textId="799E4ABF" w:rsidR="0015581C" w:rsidRDefault="006A3AEB" w:rsidP="00983A54">
      <w:pPr>
        <w:spacing w:after="0" w:line="240" w:lineRule="auto"/>
        <w:jc w:val="center"/>
        <w:rPr>
          <w:rFonts w:ascii="Source Serif Pro" w:hAnsi="Source Serif Pro"/>
        </w:rPr>
      </w:pPr>
      <w:r>
        <w:rPr>
          <w:rFonts w:ascii="Source Serif Pro" w:hAnsi="Source Serif Pro"/>
        </w:rPr>
        <w:t>OAB/.... XXX.XXX</w:t>
      </w:r>
    </w:p>
    <w:sectPr w:rsidR="0015581C" w:rsidSect="00D9239D">
      <w:headerReference w:type="default" r:id="rId8"/>
      <w:footerReference w:type="default" r:id="rId9"/>
      <w:headerReference w:type="first" r:id="rId10"/>
      <w:footerReference w:type="first" r:id="rId11"/>
      <w:pgSz w:w="11906" w:h="16838"/>
      <w:pgMar w:top="1778" w:right="1531" w:bottom="1701" w:left="153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98B27" w14:textId="77777777" w:rsidR="00017030" w:rsidRDefault="00017030" w:rsidP="00BA1F94">
      <w:pPr>
        <w:spacing w:after="0" w:line="240" w:lineRule="auto"/>
      </w:pPr>
      <w:r>
        <w:separator/>
      </w:r>
    </w:p>
  </w:endnote>
  <w:endnote w:type="continuationSeparator" w:id="0">
    <w:p w14:paraId="60A36598" w14:textId="77777777" w:rsidR="00017030" w:rsidRDefault="00017030" w:rsidP="00BA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5035806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53A64ADC" w14:textId="232A23E0" w:rsidR="001E7DF5" w:rsidRPr="00D14593" w:rsidRDefault="00860199" w:rsidP="00A8787D">
            <w:pPr>
              <w:pStyle w:val="Rodap"/>
              <w:tabs>
                <w:tab w:val="clear" w:pos="8504"/>
              </w:tabs>
              <w:ind w:right="55"/>
              <w:jc w:val="right"/>
              <w:rPr>
                <w:rFonts w:ascii="Source Sans Pro" w:hAnsi="Source Sans Pro"/>
                <w:b/>
                <w:bCs/>
                <w:sz w:val="18"/>
                <w:szCs w:val="18"/>
              </w:rPr>
            </w:pPr>
            <w:r>
              <w:rPr>
                <w:sz w:val="18"/>
                <w:szCs w:val="18"/>
              </w:rPr>
              <w:t xml:space="preserve">           </w:t>
            </w:r>
            <w:r w:rsidR="001E7DF5" w:rsidRPr="00D14593">
              <w:rPr>
                <w:rFonts w:ascii="Source Sans Pro" w:hAnsi="Source Sans Pro"/>
                <w:sz w:val="18"/>
                <w:szCs w:val="18"/>
              </w:rPr>
              <w:t xml:space="preserve">Página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PAGE</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r w:rsidR="001E7DF5" w:rsidRPr="00D14593">
              <w:rPr>
                <w:rFonts w:ascii="Source Sans Pro" w:hAnsi="Source Sans Pro"/>
                <w:sz w:val="18"/>
                <w:szCs w:val="18"/>
              </w:rPr>
              <w:t xml:space="preserve"> de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NUMPAGES</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p>
          <w:p w14:paraId="2A2DCB6D" w14:textId="5F65BC73" w:rsidR="001E7DF5" w:rsidRPr="00D14593" w:rsidRDefault="001E7DF5" w:rsidP="001E7DF5">
            <w:pPr>
              <w:pStyle w:val="Rodap"/>
              <w:ind w:right="57"/>
              <w:rPr>
                <w:rFonts w:ascii="Source Sans Pro" w:hAnsi="Source Sans Pro"/>
                <w:b/>
                <w:bCs/>
                <w:sz w:val="18"/>
                <w:szCs w:val="18"/>
              </w:rPr>
            </w:pPr>
          </w:p>
          <w:p w14:paraId="6D2C8BFF" w14:textId="1A99C2F8" w:rsidR="001E7DF5" w:rsidRPr="00D14593" w:rsidRDefault="00000000" w:rsidP="001E7DF5">
            <w:pPr>
              <w:pStyle w:val="Rodap"/>
              <w:jc w:val="center"/>
              <w:rPr>
                <w:rFonts w:ascii="Source Sans Pro" w:hAnsi="Source Sans Pro"/>
                <w:color w:val="0B0F23"/>
                <w:sz w:val="18"/>
                <w:szCs w:val="18"/>
              </w:rPr>
            </w:pPr>
          </w:p>
        </w:sdtContent>
      </w:sdt>
    </w:sdtContent>
  </w:sdt>
  <w:p w14:paraId="13513B7C" w14:textId="77777777" w:rsidR="00A97C42" w:rsidRDefault="00A97C42" w:rsidP="00A97C4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5E8" w14:textId="1A7DB326" w:rsidR="00585236" w:rsidRPr="00A97C42" w:rsidRDefault="00585236" w:rsidP="00585236">
    <w:pPr>
      <w:pStyle w:val="Rodap"/>
      <w:tabs>
        <w:tab w:val="center" w:pos="4422"/>
      </w:tabs>
      <w:rPr>
        <w:rFonts w:ascii="Source Sans Pro" w:hAnsi="Source Sans Pro"/>
        <w:color w:val="0B0F23"/>
        <w:sz w:val="20"/>
        <w:szCs w:val="20"/>
      </w:rPr>
    </w:pPr>
    <w:r>
      <w:rPr>
        <w:rFonts w:ascii="Source Sans Pro" w:hAnsi="Source Sans Pro"/>
        <w:noProof/>
        <w:color w:val="0B0F23"/>
        <w:sz w:val="20"/>
        <w:szCs w:val="20"/>
      </w:rPr>
      <w:drawing>
        <wp:anchor distT="0" distB="0" distL="114300" distR="114300" simplePos="0" relativeHeight="251665408" behindDoc="0" locked="0" layoutInCell="1" allowOverlap="1" wp14:anchorId="634E67A2" wp14:editId="24282225">
          <wp:simplePos x="0" y="0"/>
          <wp:positionH relativeFrom="margin">
            <wp:posOffset>-778933</wp:posOffset>
          </wp:positionH>
          <wp:positionV relativeFrom="paragraph">
            <wp:posOffset>-71332</wp:posOffset>
          </wp:positionV>
          <wp:extent cx="677333" cy="677333"/>
          <wp:effectExtent l="0" t="0" r="0" b="0"/>
          <wp:wrapNone/>
          <wp:docPr id="2114489095"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4" name="Imagem 4" descr="Logotipo&#10;&#10;O conteúdo gerado por IA pode estar incorreto."/>
                  <pic:cNvPicPr/>
                </pic:nvPicPr>
                <pic:blipFill>
                  <a:blip r:embed="rId1"/>
                  <a:stretch>
                    <a:fillRect/>
                  </a:stretch>
                </pic:blipFill>
                <pic:spPr>
                  <a:xfrm>
                    <a:off x="0" y="0"/>
                    <a:ext cx="677333" cy="677333"/>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color w:val="0B0F23"/>
        <w:sz w:val="20"/>
        <w:szCs w:val="20"/>
      </w:rPr>
      <w:tab/>
    </w:r>
    <w:r w:rsidRPr="00A97C42">
      <w:rPr>
        <w:rFonts w:ascii="Source Sans Pro" w:hAnsi="Source Sans Pro"/>
        <w:color w:val="0B0F23"/>
        <w:sz w:val="20"/>
        <w:szCs w:val="20"/>
      </w:rPr>
      <w:t>Rua Goiás, 405, Sala 8, Jardim dos Estados, Campo Grande – MS, CEP 79020-100</w:t>
    </w:r>
  </w:p>
  <w:p w14:paraId="6B8D1470" w14:textId="32A6B654" w:rsidR="00585236" w:rsidRPr="00A97C42" w:rsidRDefault="00585236" w:rsidP="00585236">
    <w:pPr>
      <w:pStyle w:val="Rodap"/>
      <w:pBdr>
        <w:bar w:val="single" w:sz="12" w:color="auto"/>
      </w:pBdr>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3360" behindDoc="0" locked="0" layoutInCell="1" allowOverlap="1" wp14:anchorId="6467AD86" wp14:editId="7878DD78">
              <wp:simplePos x="0" y="0"/>
              <wp:positionH relativeFrom="column">
                <wp:posOffset>2703868</wp:posOffset>
              </wp:positionH>
              <wp:positionV relativeFrom="paragraph">
                <wp:posOffset>42171</wp:posOffset>
              </wp:positionV>
              <wp:extent cx="0" cy="102072"/>
              <wp:effectExtent l="0" t="0" r="38100" b="31750"/>
              <wp:wrapNone/>
              <wp:docPr id="1237922341" name="Conector reto 1237922341"/>
              <wp:cNvGraphicFramePr/>
              <a:graphic xmlns:a="http://schemas.openxmlformats.org/drawingml/2006/main">
                <a:graphicData uri="http://schemas.microsoft.com/office/word/2010/wordprocessingShape">
                  <wps:wsp>
                    <wps:cNvCnPr/>
                    <wps:spPr>
                      <a:xfrm>
                        <a:off x="0" y="0"/>
                        <a:ext cx="0" cy="102072"/>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7093E" id="Conector reto 123792234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2.9pt,3.3pt" to="212.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" strokecolor="#0b0f23">
              <v:stroke joinstyle="miter"/>
            </v:line>
          </w:pict>
        </mc:Fallback>
      </mc:AlternateContent>
    </w:r>
    <w:proofErr w:type="gramStart"/>
    <w:r w:rsidRPr="00A97C42">
      <w:rPr>
        <w:rFonts w:ascii="Source Sans Pro" w:hAnsi="Source Sans Pro"/>
        <w:color w:val="0B0F23"/>
        <w:sz w:val="20"/>
        <w:szCs w:val="20"/>
      </w:rPr>
      <w:t>www.guarnierimartins.com.br</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 xml:space="preserve"> contato@guarnierimartins.com.br</w:t>
    </w:r>
    <w:proofErr w:type="gramEnd"/>
  </w:p>
  <w:p w14:paraId="1E5600C1" w14:textId="5A722ACD" w:rsidR="00585236" w:rsidRPr="00A97C42" w:rsidRDefault="00585236" w:rsidP="00585236">
    <w:pPr>
      <w:pStyle w:val="Rodap"/>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4384" behindDoc="0" locked="0" layoutInCell="1" allowOverlap="1" wp14:anchorId="4FD54518" wp14:editId="43C89757">
              <wp:simplePos x="0" y="0"/>
              <wp:positionH relativeFrom="column">
                <wp:posOffset>2808978</wp:posOffset>
              </wp:positionH>
              <wp:positionV relativeFrom="paragraph">
                <wp:posOffset>34178</wp:posOffset>
              </wp:positionV>
              <wp:extent cx="0" cy="101600"/>
              <wp:effectExtent l="0" t="0" r="38100" b="31750"/>
              <wp:wrapNone/>
              <wp:docPr id="49682251" name="Conector reto 49682251"/>
              <wp:cNvGraphicFramePr/>
              <a:graphic xmlns:a="http://schemas.openxmlformats.org/drawingml/2006/main">
                <a:graphicData uri="http://schemas.microsoft.com/office/word/2010/wordprocessingShape">
                  <wps:wsp>
                    <wps:cNvCnPr/>
                    <wps:spPr>
                      <a:xfrm>
                        <a:off x="0" y="0"/>
                        <a:ext cx="0" cy="101600"/>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6B2B4" id="Conector reto 4968225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2pt,2.7pt" to="221.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" strokecolor="#0b0f23">
              <v:stroke joinstyle="miter"/>
            </v:line>
          </w:pict>
        </mc:Fallback>
      </mc:AlternateContent>
    </w:r>
    <w:r w:rsidRPr="00A97C42">
      <w:rPr>
        <w:rFonts w:ascii="Source Sans Pro" w:hAnsi="Source Sans Pro"/>
        <w:color w:val="0B0F23"/>
        <w:sz w:val="20"/>
        <w:szCs w:val="20"/>
      </w:rPr>
      <w:t>(67)9.9624-9366</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(67)9.9644-5176</w:t>
    </w:r>
  </w:p>
  <w:p w14:paraId="3232E14D" w14:textId="77777777" w:rsidR="00585236" w:rsidRDefault="00585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70EAE" w14:textId="77777777" w:rsidR="00017030" w:rsidRDefault="00017030" w:rsidP="00BA1F94">
      <w:pPr>
        <w:spacing w:after="0" w:line="240" w:lineRule="auto"/>
      </w:pPr>
      <w:r>
        <w:separator/>
      </w:r>
    </w:p>
  </w:footnote>
  <w:footnote w:type="continuationSeparator" w:id="0">
    <w:p w14:paraId="1C43A050" w14:textId="77777777" w:rsidR="00017030" w:rsidRDefault="00017030" w:rsidP="00BA1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DA00" w14:textId="5B5F714E" w:rsidR="00585236" w:rsidRDefault="006A3AEB" w:rsidP="00585236">
    <w:pPr>
      <w:pStyle w:val="Cabealho"/>
      <w:jc w:val="center"/>
    </w:pPr>
    <w:r>
      <w:rPr>
        <w:noProof/>
      </w:rPr>
      <w:drawing>
        <wp:inline distT="0" distB="0" distL="0" distR="0" wp14:anchorId="778A9DD7" wp14:editId="6925C674">
          <wp:extent cx="1208598" cy="1208598"/>
          <wp:effectExtent l="0" t="0" r="0" b="0"/>
          <wp:docPr id="798409584"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56165" name="Imagem 1" descr="Logotipo, nome da empresa&#10;&#10;O conteúdo gerado por IA pode estar incorreto."/>
                  <pic:cNvPicPr/>
                </pic:nvPicPr>
                <pic:blipFill>
                  <a:blip r:embed="rId1"/>
                  <a:stretch>
                    <a:fillRect/>
                  </a:stretch>
                </pic:blipFill>
                <pic:spPr>
                  <a:xfrm>
                    <a:off x="0" y="0"/>
                    <a:ext cx="1219275" cy="1219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8C4" w14:textId="203C6475" w:rsidR="00585236" w:rsidRDefault="00585236" w:rsidP="00585236">
    <w:pPr>
      <w:pStyle w:val="Cabealho"/>
      <w:jc w:val="center"/>
    </w:pPr>
    <w:r>
      <w:rPr>
        <w:noProof/>
      </w:rPr>
      <w:drawing>
        <wp:inline distT="0" distB="0" distL="0" distR="0" wp14:anchorId="47E6A63C" wp14:editId="7E0F0D1D">
          <wp:extent cx="2340429" cy="1015704"/>
          <wp:effectExtent l="0" t="0" r="3175" b="0"/>
          <wp:docPr id="1775358267"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4789" name="Imagem 2" descr="Logotipo, nome da empresa&#10;&#10;O conteúdo gerado por IA pode estar incorreto."/>
                  <pic:cNvPicPr/>
                </pic:nvPicPr>
                <pic:blipFill rotWithShape="1">
                  <a:blip r:embed="rId1"/>
                  <a:srcRect l="3753" t="17935" r="9538" b="25544"/>
                  <a:stretch>
                    <a:fillRect/>
                  </a:stretch>
                </pic:blipFill>
                <pic:spPr bwMode="auto">
                  <a:xfrm>
                    <a:off x="0" y="0"/>
                    <a:ext cx="2387553" cy="103615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E4"/>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 w15:restartNumberingAfterBreak="0">
    <w:nsid w:val="11533FBA"/>
    <w:multiLevelType w:val="hybridMultilevel"/>
    <w:tmpl w:val="CFC07134"/>
    <w:lvl w:ilvl="0" w:tplc="1BC0FA0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3777119"/>
    <w:multiLevelType w:val="hybridMultilevel"/>
    <w:tmpl w:val="DE66975C"/>
    <w:lvl w:ilvl="0" w:tplc="496E87F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 w15:restartNumberingAfterBreak="0">
    <w:nsid w:val="146109A2"/>
    <w:multiLevelType w:val="multilevel"/>
    <w:tmpl w:val="5ADE8A90"/>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4" w15:restartNumberingAfterBreak="0">
    <w:nsid w:val="14CC7B9E"/>
    <w:multiLevelType w:val="hybridMultilevel"/>
    <w:tmpl w:val="C3F0437C"/>
    <w:lvl w:ilvl="0" w:tplc="4EAC98C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5" w15:restartNumberingAfterBreak="0">
    <w:nsid w:val="162B22D5"/>
    <w:multiLevelType w:val="hybridMultilevel"/>
    <w:tmpl w:val="9A3A1EFE"/>
    <w:lvl w:ilvl="0" w:tplc="F146C3D4">
      <w:start w:val="1"/>
      <w:numFmt w:val="decimal"/>
      <w:pStyle w:val="Ttulo1"/>
      <w:lvlText w:val="%1."/>
      <w:lvlJc w:val="left"/>
      <w:pPr>
        <w:ind w:left="3479" w:hanging="360"/>
      </w:pPr>
      <w:rPr>
        <w:rFonts w:ascii="Georgia" w:eastAsiaTheme="minorHAnsi" w:hAnsi="Georgia" w:cs="Segoe UI"/>
        <w:sz w:val="32"/>
        <w:szCs w:val="32"/>
      </w:rPr>
    </w:lvl>
    <w:lvl w:ilvl="1" w:tplc="588C811A">
      <w:start w:val="1"/>
      <w:numFmt w:val="decimal"/>
      <w:lvlText w:val="2.%2"/>
      <w:lvlJc w:val="left"/>
      <w:pPr>
        <w:ind w:left="4613"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96028E1"/>
    <w:multiLevelType w:val="multilevel"/>
    <w:tmpl w:val="F2C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40309"/>
    <w:multiLevelType w:val="multilevel"/>
    <w:tmpl w:val="0610FBD4"/>
    <w:lvl w:ilvl="0">
      <w:start w:val="3"/>
      <w:numFmt w:val="decimal"/>
      <w:lvlText w:val="%1"/>
      <w:lvlJc w:val="left"/>
      <w:pPr>
        <w:ind w:left="360" w:hanging="360"/>
      </w:pPr>
      <w:rPr>
        <w:rFonts w:hint="default"/>
      </w:rPr>
    </w:lvl>
    <w:lvl w:ilvl="1">
      <w:start w:val="1"/>
      <w:numFmt w:val="decimal"/>
      <w:lvlText w:val="2.%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8" w15:restartNumberingAfterBreak="0">
    <w:nsid w:val="19B56DA4"/>
    <w:multiLevelType w:val="hybridMultilevel"/>
    <w:tmpl w:val="9AEAB1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CBE5CD8"/>
    <w:multiLevelType w:val="multilevel"/>
    <w:tmpl w:val="35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D2BFD"/>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1" w15:restartNumberingAfterBreak="0">
    <w:nsid w:val="2E011E4C"/>
    <w:multiLevelType w:val="hybridMultilevel"/>
    <w:tmpl w:val="60589AD0"/>
    <w:lvl w:ilvl="0" w:tplc="0416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328561A3"/>
    <w:multiLevelType w:val="hybridMultilevel"/>
    <w:tmpl w:val="DAD224D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3" w15:restartNumberingAfterBreak="0">
    <w:nsid w:val="3B1E2C6B"/>
    <w:multiLevelType w:val="multilevel"/>
    <w:tmpl w:val="B8CC04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16528"/>
    <w:multiLevelType w:val="hybridMultilevel"/>
    <w:tmpl w:val="05AABD4C"/>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5" w15:restartNumberingAfterBreak="0">
    <w:nsid w:val="416B60F8"/>
    <w:multiLevelType w:val="hybridMultilevel"/>
    <w:tmpl w:val="3E12C60C"/>
    <w:lvl w:ilvl="0" w:tplc="3F76E6A8">
      <w:start w:val="1"/>
      <w:numFmt w:val="decimal"/>
      <w:lvlText w:val="%1."/>
      <w:lvlJc w:val="left"/>
      <w:pPr>
        <w:ind w:left="5038" w:hanging="360"/>
      </w:pPr>
      <w:rPr>
        <w:rFonts w:hint="default"/>
        <w:color w:val="D1D1D1" w:themeColor="background2" w:themeShade="E6"/>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453D070B"/>
    <w:multiLevelType w:val="hybridMultilevel"/>
    <w:tmpl w:val="CD7A6030"/>
    <w:lvl w:ilvl="0" w:tplc="F00EF456">
      <w:start w:val="1"/>
      <w:numFmt w:val="upperRoman"/>
      <w:lvlText w:val="(%1)"/>
      <w:lvlJc w:val="left"/>
      <w:pPr>
        <w:ind w:left="92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74D1AD0"/>
    <w:multiLevelType w:val="multilevel"/>
    <w:tmpl w:val="849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B6729"/>
    <w:multiLevelType w:val="hybridMultilevel"/>
    <w:tmpl w:val="330EF42C"/>
    <w:lvl w:ilvl="0" w:tplc="CF10140E">
      <w:start w:val="1"/>
      <w:numFmt w:val="lowerLetter"/>
      <w:lvlText w:val="%1."/>
      <w:lvlJc w:val="lef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9" w15:restartNumberingAfterBreak="0">
    <w:nsid w:val="50B87C38"/>
    <w:multiLevelType w:val="hybridMultilevel"/>
    <w:tmpl w:val="6116E5EC"/>
    <w:lvl w:ilvl="0" w:tplc="04160015">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0" w15:restartNumberingAfterBreak="0">
    <w:nsid w:val="50F630A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1" w15:restartNumberingAfterBreak="0">
    <w:nsid w:val="57342FE5"/>
    <w:multiLevelType w:val="multilevel"/>
    <w:tmpl w:val="3DCE8694"/>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2" w15:restartNumberingAfterBreak="0">
    <w:nsid w:val="58C250B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3" w15:restartNumberingAfterBreak="0">
    <w:nsid w:val="5AF11F06"/>
    <w:multiLevelType w:val="multilevel"/>
    <w:tmpl w:val="A7F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D57AA"/>
    <w:multiLevelType w:val="hybridMultilevel"/>
    <w:tmpl w:val="9744B53C"/>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5" w15:restartNumberingAfterBreak="0">
    <w:nsid w:val="61524E9E"/>
    <w:multiLevelType w:val="hybridMultilevel"/>
    <w:tmpl w:val="A18AB8A6"/>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6" w15:restartNumberingAfterBreak="0">
    <w:nsid w:val="70FB14A7"/>
    <w:multiLevelType w:val="multilevel"/>
    <w:tmpl w:val="F72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81B0C"/>
    <w:multiLevelType w:val="multilevel"/>
    <w:tmpl w:val="8C24E718"/>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8" w15:restartNumberingAfterBreak="0">
    <w:nsid w:val="755509C7"/>
    <w:multiLevelType w:val="hybridMultilevel"/>
    <w:tmpl w:val="8D6621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68648E4"/>
    <w:multiLevelType w:val="hybridMultilevel"/>
    <w:tmpl w:val="2110CD96"/>
    <w:lvl w:ilvl="0" w:tplc="8B7480CC">
      <w:start w:val="1"/>
      <w:numFmt w:val="decimal"/>
      <w:lvlText w:val="%1."/>
      <w:lvlJc w:val="left"/>
      <w:pPr>
        <w:ind w:left="1211" w:hanging="360"/>
      </w:pPr>
      <w:rPr>
        <w:rFonts w:hint="default"/>
        <w:b w:val="0"/>
        <w:bCs/>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0" w15:restartNumberingAfterBreak="0">
    <w:nsid w:val="7CA17A44"/>
    <w:multiLevelType w:val="hybridMultilevel"/>
    <w:tmpl w:val="97565F8C"/>
    <w:lvl w:ilvl="0" w:tplc="F00EF456">
      <w:start w:val="1"/>
      <w:numFmt w:val="upperRoman"/>
      <w:lvlText w:val="(%1)"/>
      <w:lvlJc w:val="left"/>
      <w:pPr>
        <w:ind w:left="2208" w:hanging="360"/>
      </w:pPr>
      <w:rPr>
        <w:rFonts w:hint="default"/>
      </w:rPr>
    </w:lvl>
    <w:lvl w:ilvl="1" w:tplc="04160019" w:tentative="1">
      <w:start w:val="1"/>
      <w:numFmt w:val="lowerLetter"/>
      <w:lvlText w:val="%2."/>
      <w:lvlJc w:val="left"/>
      <w:pPr>
        <w:ind w:left="2721" w:hanging="360"/>
      </w:pPr>
    </w:lvl>
    <w:lvl w:ilvl="2" w:tplc="0416001B" w:tentative="1">
      <w:start w:val="1"/>
      <w:numFmt w:val="lowerRoman"/>
      <w:lvlText w:val="%3."/>
      <w:lvlJc w:val="right"/>
      <w:pPr>
        <w:ind w:left="3441" w:hanging="180"/>
      </w:pPr>
    </w:lvl>
    <w:lvl w:ilvl="3" w:tplc="0416000F" w:tentative="1">
      <w:start w:val="1"/>
      <w:numFmt w:val="decimal"/>
      <w:lvlText w:val="%4."/>
      <w:lvlJc w:val="left"/>
      <w:pPr>
        <w:ind w:left="4161" w:hanging="360"/>
      </w:pPr>
    </w:lvl>
    <w:lvl w:ilvl="4" w:tplc="04160019" w:tentative="1">
      <w:start w:val="1"/>
      <w:numFmt w:val="lowerLetter"/>
      <w:lvlText w:val="%5."/>
      <w:lvlJc w:val="left"/>
      <w:pPr>
        <w:ind w:left="4881" w:hanging="360"/>
      </w:pPr>
    </w:lvl>
    <w:lvl w:ilvl="5" w:tplc="0416001B" w:tentative="1">
      <w:start w:val="1"/>
      <w:numFmt w:val="lowerRoman"/>
      <w:lvlText w:val="%6."/>
      <w:lvlJc w:val="right"/>
      <w:pPr>
        <w:ind w:left="5601" w:hanging="180"/>
      </w:pPr>
    </w:lvl>
    <w:lvl w:ilvl="6" w:tplc="0416000F" w:tentative="1">
      <w:start w:val="1"/>
      <w:numFmt w:val="decimal"/>
      <w:lvlText w:val="%7."/>
      <w:lvlJc w:val="left"/>
      <w:pPr>
        <w:ind w:left="6321" w:hanging="360"/>
      </w:pPr>
    </w:lvl>
    <w:lvl w:ilvl="7" w:tplc="04160019" w:tentative="1">
      <w:start w:val="1"/>
      <w:numFmt w:val="lowerLetter"/>
      <w:lvlText w:val="%8."/>
      <w:lvlJc w:val="left"/>
      <w:pPr>
        <w:ind w:left="7041" w:hanging="360"/>
      </w:pPr>
    </w:lvl>
    <w:lvl w:ilvl="8" w:tplc="0416001B" w:tentative="1">
      <w:start w:val="1"/>
      <w:numFmt w:val="lowerRoman"/>
      <w:lvlText w:val="%9."/>
      <w:lvlJc w:val="right"/>
      <w:pPr>
        <w:ind w:left="7761" w:hanging="180"/>
      </w:pPr>
    </w:lvl>
  </w:abstractNum>
  <w:num w:numId="1" w16cid:durableId="1326385">
    <w:abstractNumId w:val="5"/>
  </w:num>
  <w:num w:numId="2" w16cid:durableId="1455253303">
    <w:abstractNumId w:val="15"/>
  </w:num>
  <w:num w:numId="3" w16cid:durableId="555554971">
    <w:abstractNumId w:val="5"/>
  </w:num>
  <w:num w:numId="4" w16cid:durableId="1971129295">
    <w:abstractNumId w:val="5"/>
  </w:num>
  <w:num w:numId="5" w16cid:durableId="555433521">
    <w:abstractNumId w:val="5"/>
  </w:num>
  <w:num w:numId="6" w16cid:durableId="376053507">
    <w:abstractNumId w:val="5"/>
  </w:num>
  <w:num w:numId="7" w16cid:durableId="1819492703">
    <w:abstractNumId w:val="1"/>
  </w:num>
  <w:num w:numId="8" w16cid:durableId="214002896">
    <w:abstractNumId w:val="11"/>
  </w:num>
  <w:num w:numId="9" w16cid:durableId="1186557910">
    <w:abstractNumId w:val="19"/>
  </w:num>
  <w:num w:numId="10" w16cid:durableId="45959775">
    <w:abstractNumId w:val="5"/>
  </w:num>
  <w:num w:numId="11" w16cid:durableId="698555142">
    <w:abstractNumId w:val="5"/>
  </w:num>
  <w:num w:numId="12" w16cid:durableId="169760788">
    <w:abstractNumId w:val="16"/>
  </w:num>
  <w:num w:numId="13" w16cid:durableId="1542085398">
    <w:abstractNumId w:val="12"/>
  </w:num>
  <w:num w:numId="14" w16cid:durableId="1800220788">
    <w:abstractNumId w:val="30"/>
  </w:num>
  <w:num w:numId="15" w16cid:durableId="189689990">
    <w:abstractNumId w:val="23"/>
  </w:num>
  <w:num w:numId="16" w16cid:durableId="106320463">
    <w:abstractNumId w:val="27"/>
  </w:num>
  <w:num w:numId="17" w16cid:durableId="757795001">
    <w:abstractNumId w:val="7"/>
  </w:num>
  <w:num w:numId="18" w16cid:durableId="507915239">
    <w:abstractNumId w:val="26"/>
  </w:num>
  <w:num w:numId="19" w16cid:durableId="985084700">
    <w:abstractNumId w:val="22"/>
  </w:num>
  <w:num w:numId="20" w16cid:durableId="700283364">
    <w:abstractNumId w:val="20"/>
  </w:num>
  <w:num w:numId="21" w16cid:durableId="895627114">
    <w:abstractNumId w:val="10"/>
  </w:num>
  <w:num w:numId="22" w16cid:durableId="2089496448">
    <w:abstractNumId w:val="5"/>
  </w:num>
  <w:num w:numId="23" w16cid:durableId="561600074">
    <w:abstractNumId w:val="0"/>
  </w:num>
  <w:num w:numId="24" w16cid:durableId="278606713">
    <w:abstractNumId w:val="21"/>
  </w:num>
  <w:num w:numId="25" w16cid:durableId="556820897">
    <w:abstractNumId w:val="6"/>
  </w:num>
  <w:num w:numId="26" w16cid:durableId="648704854">
    <w:abstractNumId w:val="3"/>
  </w:num>
  <w:num w:numId="27" w16cid:durableId="1146168893">
    <w:abstractNumId w:val="17"/>
  </w:num>
  <w:num w:numId="28" w16cid:durableId="1280070271">
    <w:abstractNumId w:val="9"/>
  </w:num>
  <w:num w:numId="29" w16cid:durableId="1163280356">
    <w:abstractNumId w:val="13"/>
  </w:num>
  <w:num w:numId="30" w16cid:durableId="1479685322">
    <w:abstractNumId w:val="28"/>
  </w:num>
  <w:num w:numId="31" w16cid:durableId="939022436">
    <w:abstractNumId w:val="18"/>
  </w:num>
  <w:num w:numId="32" w16cid:durableId="1358387731">
    <w:abstractNumId w:val="29"/>
  </w:num>
  <w:num w:numId="33" w16cid:durableId="1918588421">
    <w:abstractNumId w:val="14"/>
  </w:num>
  <w:num w:numId="34" w16cid:durableId="508368672">
    <w:abstractNumId w:val="8"/>
  </w:num>
  <w:num w:numId="35" w16cid:durableId="997265681">
    <w:abstractNumId w:val="25"/>
  </w:num>
  <w:num w:numId="36" w16cid:durableId="1900631713">
    <w:abstractNumId w:val="4"/>
  </w:num>
  <w:num w:numId="37" w16cid:durableId="2024433701">
    <w:abstractNumId w:val="2"/>
  </w:num>
  <w:num w:numId="38" w16cid:durableId="18400012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72"/>
    <w:rsid w:val="00015D08"/>
    <w:rsid w:val="00017030"/>
    <w:rsid w:val="00021F5D"/>
    <w:rsid w:val="000447DD"/>
    <w:rsid w:val="00045565"/>
    <w:rsid w:val="000633B8"/>
    <w:rsid w:val="000765C6"/>
    <w:rsid w:val="000911F8"/>
    <w:rsid w:val="000A234B"/>
    <w:rsid w:val="000B1C85"/>
    <w:rsid w:val="000B2591"/>
    <w:rsid w:val="000B5216"/>
    <w:rsid w:val="0011164C"/>
    <w:rsid w:val="001153D8"/>
    <w:rsid w:val="00124E1C"/>
    <w:rsid w:val="00133E06"/>
    <w:rsid w:val="00144A4B"/>
    <w:rsid w:val="00151D12"/>
    <w:rsid w:val="0015581C"/>
    <w:rsid w:val="00163268"/>
    <w:rsid w:val="0018525B"/>
    <w:rsid w:val="001C6CE0"/>
    <w:rsid w:val="001D0EC8"/>
    <w:rsid w:val="001E64BE"/>
    <w:rsid w:val="001E7DF5"/>
    <w:rsid w:val="001F2F1D"/>
    <w:rsid w:val="001F3409"/>
    <w:rsid w:val="001F36B6"/>
    <w:rsid w:val="00202E8F"/>
    <w:rsid w:val="00205995"/>
    <w:rsid w:val="0021210F"/>
    <w:rsid w:val="0021462C"/>
    <w:rsid w:val="0023351C"/>
    <w:rsid w:val="00244EEE"/>
    <w:rsid w:val="00255925"/>
    <w:rsid w:val="00265B72"/>
    <w:rsid w:val="002731A1"/>
    <w:rsid w:val="002731A6"/>
    <w:rsid w:val="002A18AC"/>
    <w:rsid w:val="002A4C6E"/>
    <w:rsid w:val="002A79CB"/>
    <w:rsid w:val="002C012C"/>
    <w:rsid w:val="002C7BE1"/>
    <w:rsid w:val="002D3115"/>
    <w:rsid w:val="002D79D9"/>
    <w:rsid w:val="002E0484"/>
    <w:rsid w:val="002F00FD"/>
    <w:rsid w:val="002F4394"/>
    <w:rsid w:val="00307183"/>
    <w:rsid w:val="0032114D"/>
    <w:rsid w:val="00323708"/>
    <w:rsid w:val="00332135"/>
    <w:rsid w:val="00334B83"/>
    <w:rsid w:val="00335715"/>
    <w:rsid w:val="0035269F"/>
    <w:rsid w:val="003602F7"/>
    <w:rsid w:val="00377552"/>
    <w:rsid w:val="00383D06"/>
    <w:rsid w:val="00385345"/>
    <w:rsid w:val="003A171C"/>
    <w:rsid w:val="003A1DD2"/>
    <w:rsid w:val="003A4B72"/>
    <w:rsid w:val="003A76A4"/>
    <w:rsid w:val="003A7CB9"/>
    <w:rsid w:val="003B706F"/>
    <w:rsid w:val="0041600B"/>
    <w:rsid w:val="00421C44"/>
    <w:rsid w:val="00435014"/>
    <w:rsid w:val="0044781C"/>
    <w:rsid w:val="004526A3"/>
    <w:rsid w:val="00460C3B"/>
    <w:rsid w:val="00462A1D"/>
    <w:rsid w:val="00466093"/>
    <w:rsid w:val="00473494"/>
    <w:rsid w:val="00483C5B"/>
    <w:rsid w:val="004A1397"/>
    <w:rsid w:val="004B23AC"/>
    <w:rsid w:val="004C2B0E"/>
    <w:rsid w:val="004C78F2"/>
    <w:rsid w:val="004E1F61"/>
    <w:rsid w:val="004E32D6"/>
    <w:rsid w:val="004F6860"/>
    <w:rsid w:val="00502064"/>
    <w:rsid w:val="00510D1D"/>
    <w:rsid w:val="005271CA"/>
    <w:rsid w:val="00547988"/>
    <w:rsid w:val="00552F50"/>
    <w:rsid w:val="0056423A"/>
    <w:rsid w:val="005701F5"/>
    <w:rsid w:val="005702CF"/>
    <w:rsid w:val="00575469"/>
    <w:rsid w:val="00576D3A"/>
    <w:rsid w:val="005811CD"/>
    <w:rsid w:val="00585236"/>
    <w:rsid w:val="005926D6"/>
    <w:rsid w:val="00596D6C"/>
    <w:rsid w:val="005A01D2"/>
    <w:rsid w:val="005A6E55"/>
    <w:rsid w:val="005C54F8"/>
    <w:rsid w:val="005C7877"/>
    <w:rsid w:val="005C79B0"/>
    <w:rsid w:val="005E2F23"/>
    <w:rsid w:val="005F47A7"/>
    <w:rsid w:val="00617C7C"/>
    <w:rsid w:val="00636660"/>
    <w:rsid w:val="00636D00"/>
    <w:rsid w:val="006419C1"/>
    <w:rsid w:val="0064461A"/>
    <w:rsid w:val="0066103B"/>
    <w:rsid w:val="00672F34"/>
    <w:rsid w:val="00673A8C"/>
    <w:rsid w:val="006916BF"/>
    <w:rsid w:val="006A3AEB"/>
    <w:rsid w:val="006B1A62"/>
    <w:rsid w:val="006B1C85"/>
    <w:rsid w:val="006C5729"/>
    <w:rsid w:val="006D5BE0"/>
    <w:rsid w:val="006E26AE"/>
    <w:rsid w:val="006F33DE"/>
    <w:rsid w:val="007020CA"/>
    <w:rsid w:val="00703D38"/>
    <w:rsid w:val="00714F6F"/>
    <w:rsid w:val="00716747"/>
    <w:rsid w:val="00716815"/>
    <w:rsid w:val="00720D57"/>
    <w:rsid w:val="00724E8D"/>
    <w:rsid w:val="0075224F"/>
    <w:rsid w:val="00763304"/>
    <w:rsid w:val="007666DF"/>
    <w:rsid w:val="007952F5"/>
    <w:rsid w:val="007A0B17"/>
    <w:rsid w:val="007B7295"/>
    <w:rsid w:val="007C0711"/>
    <w:rsid w:val="007C53FC"/>
    <w:rsid w:val="007C59F9"/>
    <w:rsid w:val="007E3DC1"/>
    <w:rsid w:val="007F0F05"/>
    <w:rsid w:val="00802190"/>
    <w:rsid w:val="00802A06"/>
    <w:rsid w:val="0081592C"/>
    <w:rsid w:val="00821F7B"/>
    <w:rsid w:val="008235F0"/>
    <w:rsid w:val="0084651A"/>
    <w:rsid w:val="00860199"/>
    <w:rsid w:val="00870DC9"/>
    <w:rsid w:val="00880278"/>
    <w:rsid w:val="00884412"/>
    <w:rsid w:val="008A0FB6"/>
    <w:rsid w:val="008A42DE"/>
    <w:rsid w:val="008A5E1E"/>
    <w:rsid w:val="008B00B1"/>
    <w:rsid w:val="008B03CF"/>
    <w:rsid w:val="008B41F3"/>
    <w:rsid w:val="008F0F7D"/>
    <w:rsid w:val="00902436"/>
    <w:rsid w:val="00915234"/>
    <w:rsid w:val="00916E64"/>
    <w:rsid w:val="00923F88"/>
    <w:rsid w:val="00924899"/>
    <w:rsid w:val="00933297"/>
    <w:rsid w:val="00964DE7"/>
    <w:rsid w:val="009825A3"/>
    <w:rsid w:val="00983A54"/>
    <w:rsid w:val="0099073D"/>
    <w:rsid w:val="0099435F"/>
    <w:rsid w:val="00996DA0"/>
    <w:rsid w:val="009A3C47"/>
    <w:rsid w:val="009A601B"/>
    <w:rsid w:val="009D129F"/>
    <w:rsid w:val="009D178E"/>
    <w:rsid w:val="009D22A7"/>
    <w:rsid w:val="009E098F"/>
    <w:rsid w:val="009E6E78"/>
    <w:rsid w:val="009F161E"/>
    <w:rsid w:val="009F311E"/>
    <w:rsid w:val="00A01420"/>
    <w:rsid w:val="00A108DD"/>
    <w:rsid w:val="00A22EBA"/>
    <w:rsid w:val="00A432E2"/>
    <w:rsid w:val="00A43376"/>
    <w:rsid w:val="00A447FD"/>
    <w:rsid w:val="00A47F27"/>
    <w:rsid w:val="00A67F26"/>
    <w:rsid w:val="00A73B53"/>
    <w:rsid w:val="00A82AD8"/>
    <w:rsid w:val="00A8787D"/>
    <w:rsid w:val="00A87D34"/>
    <w:rsid w:val="00A97C42"/>
    <w:rsid w:val="00AA08C3"/>
    <w:rsid w:val="00AA226A"/>
    <w:rsid w:val="00AA31B3"/>
    <w:rsid w:val="00AB2011"/>
    <w:rsid w:val="00AB3E64"/>
    <w:rsid w:val="00AC0BB4"/>
    <w:rsid w:val="00B0317F"/>
    <w:rsid w:val="00B04357"/>
    <w:rsid w:val="00B24A33"/>
    <w:rsid w:val="00B36DE2"/>
    <w:rsid w:val="00B57D96"/>
    <w:rsid w:val="00B7307A"/>
    <w:rsid w:val="00B77BFB"/>
    <w:rsid w:val="00B77E49"/>
    <w:rsid w:val="00B85546"/>
    <w:rsid w:val="00B85981"/>
    <w:rsid w:val="00B87032"/>
    <w:rsid w:val="00B92FD1"/>
    <w:rsid w:val="00B968CC"/>
    <w:rsid w:val="00BA1F94"/>
    <w:rsid w:val="00BA5370"/>
    <w:rsid w:val="00BC28F2"/>
    <w:rsid w:val="00BC6F5E"/>
    <w:rsid w:val="00BC781A"/>
    <w:rsid w:val="00BD229E"/>
    <w:rsid w:val="00BE6274"/>
    <w:rsid w:val="00BF19AB"/>
    <w:rsid w:val="00BF64DD"/>
    <w:rsid w:val="00C05AC4"/>
    <w:rsid w:val="00C061A6"/>
    <w:rsid w:val="00C12FC6"/>
    <w:rsid w:val="00C1367E"/>
    <w:rsid w:val="00C30B7B"/>
    <w:rsid w:val="00C34436"/>
    <w:rsid w:val="00C42738"/>
    <w:rsid w:val="00C5162C"/>
    <w:rsid w:val="00C56908"/>
    <w:rsid w:val="00C66B1D"/>
    <w:rsid w:val="00C86BDE"/>
    <w:rsid w:val="00C925C7"/>
    <w:rsid w:val="00C9595C"/>
    <w:rsid w:val="00CA2809"/>
    <w:rsid w:val="00CA3287"/>
    <w:rsid w:val="00CB50FF"/>
    <w:rsid w:val="00CE6C3F"/>
    <w:rsid w:val="00CF11A1"/>
    <w:rsid w:val="00D14593"/>
    <w:rsid w:val="00D343B2"/>
    <w:rsid w:val="00D37B62"/>
    <w:rsid w:val="00D45C54"/>
    <w:rsid w:val="00D75D54"/>
    <w:rsid w:val="00D7692D"/>
    <w:rsid w:val="00D8503E"/>
    <w:rsid w:val="00D9239D"/>
    <w:rsid w:val="00D934F0"/>
    <w:rsid w:val="00D94708"/>
    <w:rsid w:val="00DB0C17"/>
    <w:rsid w:val="00DB287D"/>
    <w:rsid w:val="00DB7797"/>
    <w:rsid w:val="00DD04F4"/>
    <w:rsid w:val="00DE193B"/>
    <w:rsid w:val="00DE43FF"/>
    <w:rsid w:val="00E15CB7"/>
    <w:rsid w:val="00E260D2"/>
    <w:rsid w:val="00E70A06"/>
    <w:rsid w:val="00E70C92"/>
    <w:rsid w:val="00E939CA"/>
    <w:rsid w:val="00E93C31"/>
    <w:rsid w:val="00EA061D"/>
    <w:rsid w:val="00EB0207"/>
    <w:rsid w:val="00ED0C3A"/>
    <w:rsid w:val="00EE0ABC"/>
    <w:rsid w:val="00F10092"/>
    <w:rsid w:val="00F248EB"/>
    <w:rsid w:val="00F3233A"/>
    <w:rsid w:val="00F37C97"/>
    <w:rsid w:val="00F46652"/>
    <w:rsid w:val="00F53D0B"/>
    <w:rsid w:val="00F57C02"/>
    <w:rsid w:val="00F81339"/>
    <w:rsid w:val="00F84566"/>
    <w:rsid w:val="00F85AD9"/>
    <w:rsid w:val="00F961EF"/>
    <w:rsid w:val="00FD13CA"/>
    <w:rsid w:val="00FF33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648D"/>
  <w15:chartTrackingRefBased/>
  <w15:docId w15:val="{DF4780CB-8A08-4C33-9958-4D40C0AA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014"/>
  </w:style>
  <w:style w:type="paragraph" w:styleId="Ttulo1">
    <w:name w:val="heading 1"/>
    <w:basedOn w:val="PargrafodaLista"/>
    <w:next w:val="Normal"/>
    <w:link w:val="Ttulo1Char"/>
    <w:autoRedefine/>
    <w:uiPriority w:val="9"/>
    <w:qFormat/>
    <w:rsid w:val="007A0B17"/>
    <w:pPr>
      <w:numPr>
        <w:numId w:val="1"/>
      </w:numPr>
      <w:spacing w:before="360" w:after="360"/>
      <w:ind w:left="283" w:hanging="357"/>
      <w:contextualSpacing w:val="0"/>
      <w:outlineLvl w:val="0"/>
    </w:pPr>
    <w:rPr>
      <w:rFonts w:ascii="Georgia" w:hAnsi="Georgia" w:cs="Segoe UI"/>
      <w:b/>
      <w:bCs/>
      <w:sz w:val="28"/>
      <w:szCs w:val="28"/>
    </w:rPr>
  </w:style>
  <w:style w:type="paragraph" w:styleId="Ttulo2">
    <w:name w:val="heading 2"/>
    <w:aliases w:val="Subtítulo 1"/>
    <w:basedOn w:val="Ttulo1"/>
    <w:next w:val="Normal"/>
    <w:link w:val="Ttulo2Char"/>
    <w:autoRedefine/>
    <w:uiPriority w:val="9"/>
    <w:unhideWhenUsed/>
    <w:qFormat/>
    <w:rsid w:val="003A76A4"/>
    <w:pPr>
      <w:keepNext/>
      <w:numPr>
        <w:numId w:val="0"/>
      </w:numPr>
      <w:tabs>
        <w:tab w:val="left" w:pos="851"/>
      </w:tabs>
      <w:spacing w:before="240" w:after="0" w:line="240" w:lineRule="auto"/>
      <w:ind w:left="709" w:hanging="425"/>
      <w:outlineLvl w:val="1"/>
    </w:pPr>
    <w:rPr>
      <w:color w:val="1A0CA4"/>
      <w:sz w:val="24"/>
      <w:szCs w:val="24"/>
    </w:rPr>
  </w:style>
  <w:style w:type="paragraph" w:styleId="Ttulo3">
    <w:name w:val="heading 3"/>
    <w:basedOn w:val="Normal"/>
    <w:next w:val="Normal"/>
    <w:link w:val="Ttulo3Char"/>
    <w:uiPriority w:val="9"/>
    <w:semiHidden/>
    <w:unhideWhenUsed/>
    <w:qFormat/>
    <w:rsid w:val="00265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5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5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5B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0B17"/>
    <w:rPr>
      <w:rFonts w:ascii="Georgia" w:hAnsi="Georgia" w:cs="Segoe UI"/>
      <w:b/>
      <w:bCs/>
      <w:sz w:val="28"/>
      <w:szCs w:val="28"/>
    </w:rPr>
  </w:style>
  <w:style w:type="character" w:customStyle="1" w:styleId="Ttulo2Char">
    <w:name w:val="Título 2 Char"/>
    <w:aliases w:val="Subtítulo 1 Char"/>
    <w:basedOn w:val="Fontepargpadro"/>
    <w:link w:val="Ttulo2"/>
    <w:uiPriority w:val="9"/>
    <w:rsid w:val="003A76A4"/>
    <w:rPr>
      <w:rFonts w:ascii="Georgia" w:hAnsi="Georgia" w:cs="Segoe UI"/>
      <w:b/>
      <w:bCs/>
      <w:color w:val="1A0CA4"/>
    </w:rPr>
  </w:style>
  <w:style w:type="character" w:customStyle="1" w:styleId="Ttulo3Char">
    <w:name w:val="Título 3 Char"/>
    <w:basedOn w:val="Fontepargpadro"/>
    <w:link w:val="Ttulo3"/>
    <w:uiPriority w:val="9"/>
    <w:semiHidden/>
    <w:rsid w:val="00265B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B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B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B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B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B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B72"/>
    <w:rPr>
      <w:rFonts w:eastAsiaTheme="majorEastAsia" w:cstheme="majorBidi"/>
      <w:color w:val="272727" w:themeColor="text1" w:themeTint="D8"/>
    </w:rPr>
  </w:style>
  <w:style w:type="paragraph" w:styleId="Ttulo">
    <w:name w:val="Title"/>
    <w:basedOn w:val="Normal"/>
    <w:next w:val="Normal"/>
    <w:link w:val="TtuloChar"/>
    <w:uiPriority w:val="10"/>
    <w:qFormat/>
    <w:rsid w:val="0026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7020CA"/>
    <w:pPr>
      <w:pBdr>
        <w:top w:val="single" w:sz="4" w:space="1" w:color="auto"/>
      </w:pBdr>
      <w:shd w:val="clear" w:color="auto" w:fill="FFFFFF" w:themeFill="background1"/>
      <w:spacing w:after="240"/>
      <w:ind w:left="709"/>
    </w:pPr>
    <w:rPr>
      <w:rFonts w:ascii="Source Serif Pro" w:hAnsi="Source Serif Pro"/>
      <w:i/>
      <w:iCs/>
      <w:shd w:val="clear" w:color="auto" w:fill="FFFFFF" w:themeFill="background1"/>
    </w:rPr>
  </w:style>
  <w:style w:type="character" w:customStyle="1" w:styleId="SubttuloChar">
    <w:name w:val="Subtítulo Char"/>
    <w:basedOn w:val="Fontepargpadro"/>
    <w:link w:val="Subttulo"/>
    <w:uiPriority w:val="11"/>
    <w:rsid w:val="007020CA"/>
    <w:rPr>
      <w:rFonts w:ascii="Source Serif Pro" w:hAnsi="Source Serif Pro"/>
      <w:i/>
      <w:iCs/>
      <w:shd w:val="clear" w:color="auto" w:fill="FFFFFF" w:themeFill="background1"/>
    </w:rPr>
  </w:style>
  <w:style w:type="paragraph" w:styleId="Citao">
    <w:name w:val="Quote"/>
    <w:basedOn w:val="Normal"/>
    <w:next w:val="Normal"/>
    <w:link w:val="CitaoChar"/>
    <w:uiPriority w:val="29"/>
    <w:qFormat/>
    <w:rsid w:val="00265B72"/>
    <w:pPr>
      <w:spacing w:before="160"/>
      <w:jc w:val="center"/>
    </w:pPr>
    <w:rPr>
      <w:i/>
      <w:iCs/>
      <w:color w:val="404040" w:themeColor="text1" w:themeTint="BF"/>
    </w:rPr>
  </w:style>
  <w:style w:type="character" w:customStyle="1" w:styleId="CitaoChar">
    <w:name w:val="Citação Char"/>
    <w:basedOn w:val="Fontepargpadro"/>
    <w:link w:val="Citao"/>
    <w:uiPriority w:val="29"/>
    <w:rsid w:val="00265B72"/>
    <w:rPr>
      <w:i/>
      <w:iCs/>
      <w:color w:val="404040" w:themeColor="text1" w:themeTint="BF"/>
    </w:rPr>
  </w:style>
  <w:style w:type="paragraph" w:styleId="PargrafodaLista">
    <w:name w:val="List Paragraph"/>
    <w:basedOn w:val="Normal"/>
    <w:uiPriority w:val="34"/>
    <w:qFormat/>
    <w:rsid w:val="00265B72"/>
    <w:pPr>
      <w:ind w:left="720"/>
      <w:contextualSpacing/>
    </w:pPr>
  </w:style>
  <w:style w:type="character" w:styleId="nfaseIntensa">
    <w:name w:val="Intense Emphasis"/>
    <w:basedOn w:val="Fontepargpadro"/>
    <w:uiPriority w:val="21"/>
    <w:qFormat/>
    <w:rsid w:val="00265B72"/>
    <w:rPr>
      <w:i/>
      <w:iCs/>
      <w:color w:val="0F4761" w:themeColor="accent1" w:themeShade="BF"/>
    </w:rPr>
  </w:style>
  <w:style w:type="paragraph" w:styleId="CitaoIntensa">
    <w:name w:val="Intense Quote"/>
    <w:basedOn w:val="Normal"/>
    <w:next w:val="Normal"/>
    <w:link w:val="CitaoIntensaChar"/>
    <w:uiPriority w:val="30"/>
    <w:qFormat/>
    <w:rsid w:val="0026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B72"/>
    <w:rPr>
      <w:i/>
      <w:iCs/>
      <w:color w:val="0F4761" w:themeColor="accent1" w:themeShade="BF"/>
    </w:rPr>
  </w:style>
  <w:style w:type="character" w:styleId="RefernciaIntensa">
    <w:name w:val="Intense Reference"/>
    <w:basedOn w:val="Fontepargpadro"/>
    <w:uiPriority w:val="32"/>
    <w:qFormat/>
    <w:rsid w:val="00265B72"/>
    <w:rPr>
      <w:b/>
      <w:bCs/>
      <w:smallCaps/>
      <w:color w:val="0F4761" w:themeColor="accent1" w:themeShade="BF"/>
      <w:spacing w:val="5"/>
    </w:rPr>
  </w:style>
  <w:style w:type="paragraph" w:styleId="Cabealho">
    <w:name w:val="header"/>
    <w:basedOn w:val="Normal"/>
    <w:link w:val="CabealhoChar"/>
    <w:uiPriority w:val="99"/>
    <w:unhideWhenUsed/>
    <w:rsid w:val="00BA1F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F94"/>
  </w:style>
  <w:style w:type="paragraph" w:styleId="Rodap">
    <w:name w:val="footer"/>
    <w:basedOn w:val="Normal"/>
    <w:link w:val="RodapChar"/>
    <w:uiPriority w:val="99"/>
    <w:unhideWhenUsed/>
    <w:rsid w:val="00BA1F94"/>
    <w:pPr>
      <w:tabs>
        <w:tab w:val="center" w:pos="4252"/>
        <w:tab w:val="right" w:pos="8504"/>
      </w:tabs>
      <w:spacing w:after="0" w:line="240" w:lineRule="auto"/>
    </w:pPr>
  </w:style>
  <w:style w:type="character" w:customStyle="1" w:styleId="RodapChar">
    <w:name w:val="Rodapé Char"/>
    <w:basedOn w:val="Fontepargpadro"/>
    <w:link w:val="Rodap"/>
    <w:uiPriority w:val="99"/>
    <w:rsid w:val="00BA1F94"/>
  </w:style>
  <w:style w:type="paragraph" w:styleId="SemEspaamento">
    <w:name w:val="No Spacing"/>
    <w:aliases w:val="Padrão 1"/>
    <w:basedOn w:val="PargrafodaLista"/>
    <w:autoRedefine/>
    <w:uiPriority w:val="1"/>
    <w:qFormat/>
    <w:rsid w:val="00163268"/>
    <w:pPr>
      <w:tabs>
        <w:tab w:val="left" w:pos="993"/>
      </w:tabs>
      <w:spacing w:before="220" w:after="220" w:line="312" w:lineRule="auto"/>
      <w:ind w:left="0" w:firstLine="567"/>
      <w:contextualSpacing w:val="0"/>
      <w:jc w:val="both"/>
    </w:pPr>
    <w:rPr>
      <w:rFonts w:ascii="Source Serif Pro" w:hAnsi="Source Serif Pro"/>
    </w:rPr>
  </w:style>
  <w:style w:type="character" w:styleId="Hyperlink">
    <w:name w:val="Hyperlink"/>
    <w:basedOn w:val="Fontepargpadro"/>
    <w:uiPriority w:val="99"/>
    <w:unhideWhenUsed/>
    <w:rsid w:val="00F37C97"/>
    <w:rPr>
      <w:color w:val="467886" w:themeColor="hyperlink"/>
      <w:u w:val="single"/>
    </w:rPr>
  </w:style>
  <w:style w:type="character" w:styleId="MenoPendente">
    <w:name w:val="Unresolved Mention"/>
    <w:basedOn w:val="Fontepargpadro"/>
    <w:uiPriority w:val="99"/>
    <w:semiHidden/>
    <w:unhideWhenUsed/>
    <w:rsid w:val="00F37C97"/>
    <w:rPr>
      <w:color w:val="605E5C"/>
      <w:shd w:val="clear" w:color="auto" w:fill="E1DFDD"/>
    </w:rPr>
  </w:style>
  <w:style w:type="paragraph" w:styleId="Textodenotaderodap">
    <w:name w:val="footnote text"/>
    <w:basedOn w:val="Normal"/>
    <w:link w:val="TextodenotaderodapChar"/>
    <w:uiPriority w:val="99"/>
    <w:semiHidden/>
    <w:unhideWhenUsed/>
    <w:rsid w:val="001C6C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C6CE0"/>
    <w:rPr>
      <w:sz w:val="20"/>
      <w:szCs w:val="20"/>
    </w:rPr>
  </w:style>
  <w:style w:type="character" w:styleId="Refdenotaderodap">
    <w:name w:val="footnote reference"/>
    <w:basedOn w:val="Fontepargpadro"/>
    <w:uiPriority w:val="99"/>
    <w:semiHidden/>
    <w:unhideWhenUsed/>
    <w:rsid w:val="001C6CE0"/>
    <w:rPr>
      <w:vertAlign w:val="superscript"/>
    </w:rPr>
  </w:style>
  <w:style w:type="paragraph" w:styleId="NormalWeb">
    <w:name w:val="Normal (Web)"/>
    <w:basedOn w:val="Normal"/>
    <w:uiPriority w:val="99"/>
    <w:semiHidden/>
    <w:unhideWhenUsed/>
    <w:rsid w:val="002A79C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2A79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B2DD4-FB5F-4B26-A089-33F2354E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2567</Words>
  <Characters>14560</Characters>
  <Application>Microsoft Office Word</Application>
  <DocSecurity>0</DocSecurity>
  <Lines>280</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Angelo Guarnieri Martins</dc:creator>
  <cp:keywords/>
  <dc:description/>
  <cp:lastModifiedBy>Mário Angelo Guarnieri Martins</cp:lastModifiedBy>
  <cp:revision>3</cp:revision>
  <cp:lastPrinted>2025-10-14T13:26:00Z</cp:lastPrinted>
  <dcterms:created xsi:type="dcterms:W3CDTF">2025-11-23T21:27:00Z</dcterms:created>
  <dcterms:modified xsi:type="dcterms:W3CDTF">2025-11-23T21:38:00Z</dcterms:modified>
</cp:coreProperties>
</file>