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7CEB48FD"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884412">
        <w:rPr>
          <w:rFonts w:ascii="Source Serif Pro" w:hAnsi="Source Serif Pro"/>
          <w:b/>
          <w:bCs/>
          <w:sz w:val="26"/>
          <w:szCs w:val="28"/>
        </w:rPr>
        <w:t>mo</w:t>
      </w:r>
      <w:r w:rsidR="004B23AC">
        <w:rPr>
          <w:rFonts w:ascii="Source Serif Pro" w:hAnsi="Source Serif Pro"/>
          <w:b/>
          <w:bCs/>
          <w:sz w:val="26"/>
          <w:szCs w:val="28"/>
        </w:rPr>
        <w:t xml:space="preserve">. </w:t>
      </w:r>
      <w:r w:rsidR="00C12FC6">
        <w:rPr>
          <w:rFonts w:ascii="Source Serif Pro" w:hAnsi="Source Serif Pro"/>
          <w:b/>
          <w:bCs/>
          <w:sz w:val="26"/>
          <w:szCs w:val="28"/>
        </w:rPr>
        <w:t>Desembargador Presidente</w:t>
      </w:r>
    </w:p>
    <w:p w14:paraId="0BE51421" w14:textId="03DD2288" w:rsidR="00B968CC" w:rsidRPr="00B24A33" w:rsidRDefault="00CF11A1" w:rsidP="00AB2011">
      <w:pPr>
        <w:spacing w:after="0" w:line="240" w:lineRule="auto"/>
        <w:rPr>
          <w:rFonts w:ascii="Source Serif Pro" w:hAnsi="Source Serif Pro"/>
          <w:i/>
          <w:iCs/>
          <w:sz w:val="22"/>
          <w:szCs w:val="22"/>
        </w:rPr>
      </w:pPr>
      <w:r>
        <w:rPr>
          <w:rFonts w:ascii="Source Serif Pro" w:hAnsi="Source Serif Pro"/>
          <w:i/>
          <w:iCs/>
          <w:sz w:val="22"/>
          <w:szCs w:val="22"/>
        </w:rPr>
        <w:t>Tribunal de Justiça do Estado de....</w:t>
      </w:r>
    </w:p>
    <w:p w14:paraId="39684049" w14:textId="77777777" w:rsidR="00F3233A" w:rsidRDefault="00F3233A" w:rsidP="00DB7797">
      <w:pPr>
        <w:spacing w:before="360" w:after="0"/>
        <w:rPr>
          <w:rFonts w:ascii="Source Serif Pro" w:hAnsi="Source Serif Pro" w:cs="Segoe UI Semibold"/>
          <w:noProof/>
          <w:spacing w:val="10"/>
          <w:sz w:val="21"/>
          <w:szCs w:val="21"/>
        </w:rPr>
      </w:pPr>
    </w:p>
    <w:p w14:paraId="41C34F6F" w14:textId="07A5689F" w:rsidR="00DB7797" w:rsidRPr="00B24A33" w:rsidRDefault="00DB7797" w:rsidP="00DB7797">
      <w:pPr>
        <w:spacing w:before="40" w:after="0"/>
        <w:rPr>
          <w:rFonts w:ascii="Source Serif Pro" w:hAnsi="Source Serif Pro" w:cs="Segoe UI"/>
          <w:sz w:val="18"/>
          <w:szCs w:val="18"/>
        </w:rPr>
      </w:pPr>
    </w:p>
    <w:p w14:paraId="5A87B2C6" w14:textId="17D198C5" w:rsidR="00EE0ABC" w:rsidRDefault="00EE0ABC">
      <w:pPr>
        <w:rPr>
          <w:rFonts w:ascii="Source Serif Pro" w:hAnsi="Source Serif Pro"/>
        </w:rPr>
      </w:pPr>
    </w:p>
    <w:p w14:paraId="45BE129E" w14:textId="77777777" w:rsidR="00F3233A" w:rsidRPr="00B24A33" w:rsidRDefault="00F3233A">
      <w:pPr>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05A07158" w:rsidR="00B57D96" w:rsidRPr="00B24A33" w:rsidRDefault="00CF11A1" w:rsidP="009D129F">
      <w:pPr>
        <w:spacing w:before="120" w:after="240" w:line="312" w:lineRule="auto"/>
        <w:ind w:firstLine="567"/>
        <w:jc w:val="both"/>
        <w:rPr>
          <w:rFonts w:ascii="Source Serif Pro" w:hAnsi="Source Serif Pro"/>
        </w:rPr>
      </w:pPr>
      <w:r>
        <w:rPr>
          <w:rFonts w:ascii="Source Serif Pro" w:hAnsi="Source Serif Pro"/>
          <w:smallCaps/>
        </w:rPr>
        <w:t>[</w:t>
      </w:r>
      <w:r w:rsidRPr="00CF11A1">
        <w:rPr>
          <w:rFonts w:ascii="Source Serif Pro" w:hAnsi="Source Serif Pro"/>
          <w:smallCaps/>
          <w:shd w:val="clear" w:color="auto" w:fill="FAFBBD"/>
        </w:rPr>
        <w:t>NOME DO ADVOGADO</w:t>
      </w:r>
      <w:r>
        <w:rPr>
          <w:rFonts w:ascii="Source Serif Pro" w:hAnsi="Source Serif Pro"/>
          <w:smallCaps/>
        </w:rPr>
        <w:t>]</w:t>
      </w:r>
      <w:r w:rsidRPr="00CF11A1">
        <w:rPr>
          <w:rFonts w:ascii="Source Serif Pro" w:hAnsi="Source Serif Pro"/>
          <w:smallCaps/>
        </w:rPr>
        <w:t xml:space="preserve">, </w:t>
      </w:r>
      <w:r w:rsidRPr="00CF11A1">
        <w:rPr>
          <w:rFonts w:ascii="Source Serif Pro" w:hAnsi="Source Serif Pro"/>
        </w:rPr>
        <w:t>brasileiro, advogado devidamente inscrito na Ordem dos Advogados do Brasil, seccional estado, sob o nº ......, vêm, respeitosamente, perante Vossa Excelência, impetrar a presente ordem de</w:t>
      </w:r>
    </w:p>
    <w:p w14:paraId="2CD2B9C5" w14:textId="47319D93" w:rsidR="00B57D96" w:rsidRPr="007A0B17" w:rsidRDefault="00CF11A1" w:rsidP="00B57D96">
      <w:pPr>
        <w:shd w:val="clear" w:color="auto" w:fill="F2F2F2" w:themeFill="background1" w:themeFillShade="F2"/>
        <w:spacing w:before="120" w:after="120" w:line="240" w:lineRule="auto"/>
        <w:jc w:val="center"/>
        <w:rPr>
          <w:rFonts w:ascii="Georgia" w:hAnsi="Georgia"/>
          <w:b/>
          <w:bCs/>
          <w:sz w:val="32"/>
          <w:szCs w:val="32"/>
        </w:rPr>
      </w:pPr>
      <w:r>
        <w:rPr>
          <w:rFonts w:ascii="Georgia" w:hAnsi="Georgia"/>
          <w:b/>
          <w:bCs/>
          <w:sz w:val="32"/>
          <w:szCs w:val="32"/>
        </w:rPr>
        <w:t xml:space="preserve">HABEAS CORPUS </w:t>
      </w:r>
      <w:r w:rsidR="003B706F">
        <w:rPr>
          <w:rFonts w:ascii="Georgia" w:hAnsi="Georgia"/>
          <w:b/>
          <w:bCs/>
          <w:sz w:val="32"/>
          <w:szCs w:val="32"/>
        </w:rPr>
        <w:t>COM PEDIDO LIMINAR</w:t>
      </w:r>
    </w:p>
    <w:p w14:paraId="46AE4AF2" w14:textId="47158105" w:rsidR="00EE0ABC" w:rsidRDefault="00CF11A1" w:rsidP="009D129F">
      <w:pPr>
        <w:spacing w:before="240" w:after="120" w:line="312" w:lineRule="auto"/>
        <w:ind w:firstLine="567"/>
        <w:jc w:val="both"/>
        <w:rPr>
          <w:rFonts w:ascii="Source Serif Pro" w:hAnsi="Source Serif Pro"/>
        </w:rPr>
      </w:pPr>
      <w:r w:rsidRPr="00CF11A1">
        <w:rPr>
          <w:rFonts w:ascii="Source Serif Pro" w:hAnsi="Source Serif Pro"/>
        </w:rPr>
        <w:t xml:space="preserve">nos termos do art. 5º, LXVIII, da Constituição Federal, e artigos 647 e 648, inciso I, do Código de Processo Penal, em favor de </w:t>
      </w:r>
      <w:r>
        <w:rPr>
          <w:rFonts w:ascii="Source Serif Pro" w:hAnsi="Source Serif Pro"/>
        </w:rPr>
        <w:t>[</w:t>
      </w:r>
      <w:r w:rsidRPr="00CF11A1">
        <w:rPr>
          <w:rFonts w:ascii="Source Serif Pro" w:hAnsi="Source Serif Pro"/>
          <w:b/>
          <w:bCs/>
          <w:shd w:val="clear" w:color="auto" w:fill="FAFBBD"/>
        </w:rPr>
        <w:t>NOME DO CLIENTE e qualificação completa</w:t>
      </w:r>
      <w:r>
        <w:rPr>
          <w:rFonts w:ascii="Source Serif Pro" w:hAnsi="Source Serif Pro"/>
        </w:rPr>
        <w:t>]</w:t>
      </w:r>
      <w:r w:rsidRPr="00CF11A1">
        <w:rPr>
          <w:rFonts w:ascii="Source Serif Pro" w:hAnsi="Source Serif Pro"/>
        </w:rPr>
        <w:t>, atualmente recolhido no presídio......, por ato ilegal praticado pelo juízo da ...... Vara Criminal, pelas razões de fato e de direito a seguir expostas</w:t>
      </w:r>
      <w:r w:rsidR="002D3115">
        <w:rPr>
          <w:rFonts w:ascii="Source Serif Pro" w:hAnsi="Source Serif Pro"/>
        </w:rPr>
        <w:t>:</w:t>
      </w:r>
    </w:p>
    <w:p w14:paraId="1E74CFFF" w14:textId="77777777" w:rsidR="002D3115" w:rsidRPr="007A0B17" w:rsidRDefault="002D3115" w:rsidP="002D3115">
      <w:pPr>
        <w:pStyle w:val="Ttulo1"/>
      </w:pPr>
      <w:r>
        <w:t>DOS FATOS</w:t>
      </w:r>
    </w:p>
    <w:p w14:paraId="6D38AC7C" w14:textId="77777777" w:rsidR="005F2FAE" w:rsidRDefault="005F2FAE" w:rsidP="005F2FAE">
      <w:pPr>
        <w:pStyle w:val="SemEspaamento"/>
      </w:pPr>
      <w:r>
        <w:t>O paciente teve sua prisão preventiva decretada pelo juízo de primeiro grau sob o argumento de que sua liberdade representaria risco de reiteração delitiva, com fundamento exclusivo na existência de um antecedente criminal remoto. Consta dos autos que a condenação mencionada é antiga, com pena já integralmente cumprida há muitos anos, não havendo, desde então, qualquer notícia de nova prática delitiva ou de envolvimento recente com a criminalidade. Ainda assim, o juízo a quo utilizou esse fato pretérito como elemento central para justificar a necessidade da custódia cautelar.</w:t>
      </w:r>
    </w:p>
    <w:p w14:paraId="10512B36" w14:textId="77777777" w:rsidR="005F2FAE" w:rsidRDefault="005F2FAE" w:rsidP="005F2FAE">
      <w:pPr>
        <w:pStyle w:val="SemEspaamento"/>
      </w:pPr>
      <w:r>
        <w:t xml:space="preserve">Da leitura da decisão que decretou e manteve a prisão, percebe-se que não há indicação de fatos atuais que apontem para perigo concreto à ordem pública, à instrução criminal ou à aplicação da lei penal. Não se noticia ameaça a testemunhas, tentativa de fuga, descumprimento de determinações judiciais ou atuação do </w:t>
      </w:r>
      <w:r>
        <w:lastRenderedPageBreak/>
        <w:t>paciente em organização criminosa. O periculum libertatis foi presumido unicamente em razão de um registro penal antigo, que sequer é apto, hoje, a configurar reincidência ou a reforçar, de maneira relevante, maus antecedentes, inexistindo qualquer referência a condutas recentes que demonstrem risco efetivo de reiteração.</w:t>
      </w:r>
    </w:p>
    <w:p w14:paraId="2DA54DAD" w14:textId="141AE7F8" w:rsidR="004E1F61" w:rsidRDefault="005F2FAE" w:rsidP="005F2FAE">
      <w:pPr>
        <w:pStyle w:val="SemEspaamento"/>
      </w:pPr>
      <w:r>
        <w:t xml:space="preserve">Além disso, a decisão atacada não procedeu a qualquer análise séria sobre a possibilidade de aplicação de medidas cautelares diversas da prisão, previstas no art. 319 do CPP. Apesar de o paciente ostentar condições pessoais favoráveis – como residência fixa, ocupação lícita e longo período sem novo envolvimento criminal –, o juízo de origem simplesmente deixou de fundamentar </w:t>
      </w:r>
      <w:r>
        <w:t>porque</w:t>
      </w:r>
      <w:r>
        <w:t xml:space="preserve"> medidas menos gravosas não seriam suficientes ao resguardo do processo, optando diretamente pela medida extrema da prisão preventiva. Esse contexto, em que a custódia se apoia em antecedente demasiadamente antigo e desconsidera a suficiência de cautelares alternativas, é o que enseja a impetração do presente habeas corpus.</w:t>
      </w:r>
    </w:p>
    <w:p w14:paraId="1D445A7D" w14:textId="77777777" w:rsidR="00A22EBA" w:rsidRDefault="00A22EBA" w:rsidP="00A22EBA">
      <w:pPr>
        <w:pStyle w:val="SemEspaamento"/>
      </w:pPr>
    </w:p>
    <w:p w14:paraId="5087947A" w14:textId="18A2A0BD" w:rsidR="002D3115" w:rsidRDefault="00124E1C" w:rsidP="002D3115">
      <w:pPr>
        <w:pStyle w:val="Ttulo1"/>
        <w:spacing w:before="0" w:after="0" w:line="240" w:lineRule="auto"/>
      </w:pPr>
      <w:r>
        <w:t>AUSÊNCIA DE REQUISITOS AUTORIZADORES</w:t>
      </w:r>
    </w:p>
    <w:p w14:paraId="7C57FDD5" w14:textId="6CF8EF26" w:rsidR="002D3115" w:rsidRPr="00547988" w:rsidRDefault="007B4A57" w:rsidP="0044781C">
      <w:pPr>
        <w:pBdr>
          <w:top w:val="single" w:sz="4" w:space="1" w:color="auto"/>
        </w:pBdr>
        <w:shd w:val="clear" w:color="auto" w:fill="FFFFFF" w:themeFill="background1"/>
        <w:spacing w:after="240"/>
        <w:ind w:firstLine="283"/>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Antecedente antigo - </w:t>
      </w:r>
      <w:r w:rsidRPr="00AA08C3">
        <w:rPr>
          <w:rFonts w:ascii="Source Sans Pro" w:hAnsi="Source Sans Pro"/>
          <w:i/>
          <w:iCs/>
          <w:shd w:val="clear" w:color="auto" w:fill="FFFFFF" w:themeFill="background1"/>
        </w:rPr>
        <w:t xml:space="preserve">STJ – </w:t>
      </w:r>
      <w:r w:rsidRPr="001E64BE">
        <w:rPr>
          <w:rFonts w:ascii="Source Sans Pro" w:hAnsi="Source Sans Pro"/>
          <w:i/>
          <w:iCs/>
          <w:shd w:val="clear" w:color="auto" w:fill="FFFFFF" w:themeFill="background1"/>
        </w:rPr>
        <w:t>AgRg no HC n. 691.327/SP</w:t>
      </w:r>
    </w:p>
    <w:p w14:paraId="3FCDB4E2" w14:textId="77777777" w:rsidR="00371DDE" w:rsidRPr="00371DDE" w:rsidRDefault="00371DDE" w:rsidP="00371DDE">
      <w:pPr>
        <w:pStyle w:val="SemEspaamento"/>
      </w:pPr>
      <w:r w:rsidRPr="00371DDE">
        <w:t xml:space="preserve">A prisão preventiva, por ser a mais gravosa das medidas cautelares previstas na legislação processual penal, exige </w:t>
      </w:r>
      <w:r w:rsidRPr="00371DDE">
        <w:rPr>
          <w:b/>
          <w:bCs/>
        </w:rPr>
        <w:t>motivação concreta, atual e individualizada</w:t>
      </w:r>
      <w:r w:rsidRPr="00371DDE">
        <w:t>, pautada em fatos contemporâneos que evidenciem perigo real à ordem pública, à instrução criminal ou à aplicação da lei penal. Essa excepcionalidade está positivada no art. 312 do Código de Processo Penal e deve ser interpretada em harmonia com os princípios constitucionais da presunção de inocência, da proporcionalidade e da legalidade, não se admitindo que a custódia cautelar seja utilizada como resposta automática à mera gravidade abstrata do tipo penal ou ao simples passado criminal do paciente.</w:t>
      </w:r>
    </w:p>
    <w:p w14:paraId="51A119FE" w14:textId="77777777" w:rsidR="00371DDE" w:rsidRPr="00371DDE" w:rsidRDefault="00371DDE" w:rsidP="00371DDE">
      <w:pPr>
        <w:pStyle w:val="SemEspaamento"/>
      </w:pPr>
      <w:r w:rsidRPr="00371DDE">
        <w:t xml:space="preserve">No entanto, no caso sob exame desta Egrégia Câmara Criminal, verifica-se que a decisão que decretou a prisão preventiva do paciente </w:t>
      </w:r>
      <w:r w:rsidRPr="00371DDE">
        <w:rPr>
          <w:b/>
          <w:bCs/>
        </w:rPr>
        <w:t>fundamentou-se exclusivamente na existência de um único antecedente criminal antigo</w:t>
      </w:r>
      <w:r w:rsidRPr="00371DDE">
        <w:t>, sem qualquer relação de atualidade com os fatos ora investigados. Conforme consta dos autos, trata-</w:t>
      </w:r>
      <w:r w:rsidRPr="00371DDE">
        <w:lastRenderedPageBreak/>
        <w:t>se de condenação remota, com pena integralmente cumprida há muitos anos, ou seja, um registro que sequer é apto, na esfera da dosimetria da pena, a caracterizar reincidência ou a qualificar maus antecedentes de forma relevante.</w:t>
      </w:r>
    </w:p>
    <w:p w14:paraId="2C6F0196" w14:textId="77777777" w:rsidR="00371DDE" w:rsidRPr="00371DDE" w:rsidRDefault="00371DDE" w:rsidP="00371DDE">
      <w:pPr>
        <w:pStyle w:val="SemEspaamento"/>
      </w:pPr>
      <w:r w:rsidRPr="00371DDE">
        <w:t xml:space="preserve">É entendimento consolidado no Superior Tribunal de Justiça que </w:t>
      </w:r>
      <w:r w:rsidRPr="00371DDE">
        <w:rPr>
          <w:b/>
          <w:bCs/>
        </w:rPr>
        <w:t>antecedentes demasiadamente antigos</w:t>
      </w:r>
      <w:r w:rsidRPr="00371DDE">
        <w:t xml:space="preserve">, especialmente aqueles que já não servem para caracterizar reincidência nem para robustecer maus antecedentes nos termos do art. 59 do Código Penal, </w:t>
      </w:r>
      <w:r w:rsidRPr="00371DDE">
        <w:rPr>
          <w:b/>
          <w:bCs/>
        </w:rPr>
        <w:t>não podem, por si sós, fundamentar a decretação ou manutenção da prisão preventiva</w:t>
      </w:r>
      <w:r w:rsidRPr="00371DDE">
        <w:t xml:space="preserve"> com base em suposto risco de reiteração delitiva (garantia da ordem pública). Isso porque tais registros não evidenciam, de forma automática, perigo atual à ordem pública, sendo indevida a presunção de periculosidade permanente apenas em razão de fato pretérito e ultrapassado.</w:t>
      </w:r>
    </w:p>
    <w:p w14:paraId="72126A7D" w14:textId="77777777" w:rsidR="00371DDE" w:rsidRDefault="00371DDE" w:rsidP="00371DDE">
      <w:pPr>
        <w:pStyle w:val="SemEspaamento"/>
        <w:pBdr>
          <w:bottom w:val="single" w:sz="4" w:space="1" w:color="auto"/>
        </w:pBdr>
        <w:spacing w:before="60" w:after="60" w:line="240" w:lineRule="auto"/>
        <w:ind w:left="2268" w:firstLine="0"/>
      </w:pPr>
      <w:bookmarkStart w:id="0" w:name="_Hlk214458189"/>
      <w:r w:rsidRPr="00ED0C3A">
        <w:rPr>
          <w:b/>
          <w:bCs/>
          <w:sz w:val="36"/>
          <w:szCs w:val="36"/>
        </w:rPr>
        <w:t>STJ</w:t>
      </w:r>
      <w:r>
        <w:t xml:space="preserve"> </w:t>
      </w:r>
      <w:r w:rsidRPr="00ED0C3A">
        <w:rPr>
          <w:color w:val="808080" w:themeColor="background1" w:themeShade="80"/>
        </w:rPr>
        <w:t xml:space="preserve">– </w:t>
      </w:r>
      <w:bookmarkEnd w:id="0"/>
      <w:r w:rsidRPr="001E64BE">
        <w:rPr>
          <w:color w:val="808080" w:themeColor="background1" w:themeShade="80"/>
        </w:rPr>
        <w:t>AgRg no HC n. 691.327/SP, relator Ministro Ribeiro Dantas, Quinta Turma, julgado em 5/10/2021</w:t>
      </w:r>
      <w:r w:rsidRPr="00580B73">
        <w:rPr>
          <w:color w:val="808080" w:themeColor="background1" w:themeShade="80"/>
        </w:rPr>
        <w:t>.</w:t>
      </w:r>
    </w:p>
    <w:p w14:paraId="37E86677" w14:textId="478C3838" w:rsidR="00A108DD" w:rsidRDefault="00371DDE" w:rsidP="00371DDE">
      <w:pPr>
        <w:pStyle w:val="SemEspaamento"/>
        <w:spacing w:before="60" w:after="60" w:line="276" w:lineRule="auto"/>
        <w:ind w:left="2268" w:firstLine="0"/>
        <w:rPr>
          <w:i/>
          <w:iCs/>
        </w:rPr>
      </w:pPr>
      <w:r w:rsidRPr="001E64BE">
        <w:rPr>
          <w:i/>
          <w:iCs/>
        </w:rPr>
        <w:t>3. Em observância aos princípios da proporcionalidade e da razoabilidade, aplica-se o entendimento de que antecedentes criminais muito antigos, incapazes de gerar reincidência ou maus antecedentes, notadamente quando praticados sem violência ou grave ameaça à pessoa, não justificam, por si sós, o decreto de prisão cautelar, não sendo capazes de caracterizar risco à ordem pública.</w:t>
      </w:r>
    </w:p>
    <w:p w14:paraId="7483A74D" w14:textId="7533BD75" w:rsidR="009E6E78" w:rsidRPr="00A67F26" w:rsidRDefault="009E6E78" w:rsidP="00916E64">
      <w:pPr>
        <w:pStyle w:val="SemEspaamento"/>
        <w:spacing w:before="60" w:after="60" w:line="276" w:lineRule="auto"/>
        <w:ind w:left="2268" w:firstLine="0"/>
        <w:rPr>
          <w:i/>
          <w:iCs/>
        </w:rPr>
      </w:pPr>
    </w:p>
    <w:p w14:paraId="4591ED9B" w14:textId="77777777" w:rsidR="00371DDE" w:rsidRPr="00371DDE" w:rsidRDefault="00371DDE" w:rsidP="00371DDE">
      <w:pPr>
        <w:pStyle w:val="SemEspaamento"/>
      </w:pPr>
      <w:r w:rsidRPr="00371DDE">
        <w:t>A decisão impugnada, contudo, incorreu exatamente nesse equívoco ao tratar esse antecedente remoto como fator suficiente para justificar a prisão preventiva do paciente, convertendo fato antigo em suposto indicativo de risco presente. Não foram apontados nos autos quaisquer outros elementos concretos que revelem práticas recentes, envolvimento contínuo com o crime ou qualquer comportamento que indique tendência atual à reiteração delitiva. A conclusão pelo periculum libertatis decorreu, unicamente, da existência de condenação antiga, o que é incompatível com a lógica cautelar.</w:t>
      </w:r>
    </w:p>
    <w:p w14:paraId="0A553B2A" w14:textId="77777777" w:rsidR="00371DDE" w:rsidRPr="00371DDE" w:rsidRDefault="00371DDE" w:rsidP="00371DDE">
      <w:pPr>
        <w:pStyle w:val="SemEspaamento"/>
      </w:pPr>
      <w:r w:rsidRPr="00371DDE">
        <w:t xml:space="preserve">A prisão preventiva, repita-se, deve servir para </w:t>
      </w:r>
      <w:r w:rsidRPr="00371DDE">
        <w:rPr>
          <w:b/>
          <w:bCs/>
        </w:rPr>
        <w:t>proteger a sociedade de riscos presentes</w:t>
      </w:r>
      <w:r w:rsidRPr="00371DDE">
        <w:t xml:space="preserve">, e não para funcionar como forma velada de punição retroativa por delitos pretéritos que já foram devidamente processados, julgados e com pena </w:t>
      </w:r>
      <w:r w:rsidRPr="00371DDE">
        <w:lastRenderedPageBreak/>
        <w:t>cumprida. Quando a custódia cautelar se ancora exclusivamente em fatos antigos, desprovidos de conexão com a realidade atual do paciente, ela desvirtua sua finalidade instrumental e passa a operar como verdadeira antecipação de pena, em afronta direta ao princípio da presunção de inocência.</w:t>
      </w:r>
    </w:p>
    <w:p w14:paraId="02CB644C" w14:textId="56F81A25" w:rsidR="00371DDE" w:rsidRPr="00371DDE" w:rsidRDefault="00371DDE" w:rsidP="00371DDE">
      <w:pPr>
        <w:pStyle w:val="SemEspaamento"/>
      </w:pPr>
      <w:r>
        <w:t>Nesse sentido</w:t>
      </w:r>
      <w:r w:rsidRPr="00371DDE">
        <w:t xml:space="preserve"> é imprescindível que haja </w:t>
      </w:r>
      <w:r w:rsidRPr="00371DDE">
        <w:rPr>
          <w:b/>
          <w:bCs/>
        </w:rPr>
        <w:t>demonstração de contemporaneidade da ameaça</w:t>
      </w:r>
      <w:r w:rsidRPr="00371DDE">
        <w:t>. O uso de condenação remota como justificativa para prisão processual presente viola o princípio da atualidade do periculum libertatis, que exige que o risco à ordem pública decorra de circunstâncias atuais e efetivas, e não de suposições baseadas em histórico antigo e isolado. A gravidade do crime imputado, somada a um antecedente distante no tempo, não supre a falta de fatos concretos recentes.</w:t>
      </w:r>
    </w:p>
    <w:p w14:paraId="4FD36743" w14:textId="77777777" w:rsidR="00371DDE" w:rsidRPr="00371DDE" w:rsidRDefault="00371DDE" w:rsidP="00371DDE">
      <w:pPr>
        <w:pStyle w:val="SemEspaamento"/>
      </w:pPr>
      <w:r w:rsidRPr="00371DDE">
        <w:t xml:space="preserve">O Superior Tribunal de Justiça, em diversos precedentes, tem afirmado que tanto a gravidade abstrata do crime quanto registros penais muito antigos, isoladamente considerados, </w:t>
      </w:r>
      <w:r w:rsidRPr="00371DDE">
        <w:rPr>
          <w:b/>
          <w:bCs/>
        </w:rPr>
        <w:t>não legitimam a decretação da prisão preventiva</w:t>
      </w:r>
      <w:r w:rsidRPr="00371DDE">
        <w:t>. A finalidade da custódia cautelar é evitar riscos concretos e atuais à sociedade e ao processo, e não punir novamente o passado do indivíduo. Essa orientação preserva a coerência do sistema penal com os princípios da razoabilidade, da proporcionalidade e da dignidade da pessoa humana.</w:t>
      </w:r>
    </w:p>
    <w:p w14:paraId="7C2D6342" w14:textId="77777777" w:rsidR="00371DDE" w:rsidRPr="00371DDE" w:rsidRDefault="00371DDE" w:rsidP="00371DDE">
      <w:pPr>
        <w:pStyle w:val="SemEspaamento"/>
      </w:pPr>
      <w:r w:rsidRPr="00371DDE">
        <w:t xml:space="preserve">Some-se a isso o fato de que a decisão atacada sequer levou em consideração as </w:t>
      </w:r>
      <w:r w:rsidRPr="00371DDE">
        <w:rPr>
          <w:b/>
          <w:bCs/>
        </w:rPr>
        <w:t>condições pessoais favoráveis do paciente</w:t>
      </w:r>
      <w:r w:rsidRPr="00371DDE">
        <w:t>, como o longo período sem qualquer novo envolvimento criminal, a existência de residência fixa, vínculos familiares e ocupação lícita. Tais elementos, somados à ausência de fatos contemporâneos que indiquem risco atual, reforçam a desproporcionalidade da manutenção da prisão e evidenciam que medidas cautelares diversas da prisão, se reputadas necessárias, seriam suficientes ao resguardo do processo.</w:t>
      </w:r>
    </w:p>
    <w:p w14:paraId="7445DDB9" w14:textId="77777777" w:rsidR="00371DDE" w:rsidRDefault="00371DDE" w:rsidP="00371DDE">
      <w:pPr>
        <w:pStyle w:val="SemEspaamento"/>
      </w:pPr>
      <w:r w:rsidRPr="00371DDE">
        <w:t xml:space="preserve">Diante desse cenário, a privação da liberdade do paciente, baseada exclusivamente em antecedente remoto e desacompanhada de demonstração concreta de perigo atual, configura inequívoco </w:t>
      </w:r>
      <w:r w:rsidRPr="00371DDE">
        <w:rPr>
          <w:b/>
          <w:bCs/>
        </w:rPr>
        <w:t>constrangimento ilegal</w:t>
      </w:r>
      <w:r w:rsidRPr="00371DDE">
        <w:t xml:space="preserve">, nos termos da jurisprudência consolidada. Impõe-se, assim, reconhecer a inexistência de periculum libertatis contemporâneo e, por consequência, a </w:t>
      </w:r>
      <w:r w:rsidRPr="00371DDE">
        <w:rPr>
          <w:b/>
          <w:bCs/>
        </w:rPr>
        <w:t>revogação da prisão preventiva</w:t>
      </w:r>
      <w:r w:rsidRPr="00371DDE">
        <w:t xml:space="preserve">, com o restabelecimento da liberdade do paciente, facultando-se ao juízo de origem a </w:t>
      </w:r>
      <w:r w:rsidRPr="00371DDE">
        <w:lastRenderedPageBreak/>
        <w:t>aplicação de medidas cautelares alternativas previstas no art. 319 do CPP, caso entenda necessário ao regular andamento da persecução penal.</w:t>
      </w:r>
    </w:p>
    <w:p w14:paraId="69F69299" w14:textId="77777777" w:rsidR="00371DDE" w:rsidRPr="00371DDE" w:rsidRDefault="00371DDE" w:rsidP="00371DDE">
      <w:pPr>
        <w:pStyle w:val="SemEspaamento"/>
      </w:pPr>
    </w:p>
    <w:p w14:paraId="48F16EFD" w14:textId="77777777" w:rsidR="00124E1C" w:rsidRDefault="00124E1C" w:rsidP="00124E1C">
      <w:pPr>
        <w:pStyle w:val="Ttulo1"/>
        <w:spacing w:before="0" w:after="0" w:line="240" w:lineRule="auto"/>
      </w:pPr>
      <w:r>
        <w:t xml:space="preserve">SUFICIÊNCIA DE MEDIDAS CAUTELARES DIVERSAS </w:t>
      </w:r>
    </w:p>
    <w:p w14:paraId="713BAC2F" w14:textId="77777777" w:rsidR="00124E1C" w:rsidRPr="00547988" w:rsidRDefault="00124E1C" w:rsidP="00124E1C">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Possibilidade de aplicação diante das condições pessoais favoráveis</w:t>
      </w:r>
    </w:p>
    <w:p w14:paraId="1D6A4D19" w14:textId="77777777" w:rsidR="00371DDE" w:rsidRPr="00371DDE" w:rsidRDefault="00371DDE" w:rsidP="00371DDE">
      <w:pPr>
        <w:pStyle w:val="SemEspaamento"/>
      </w:pPr>
      <w:r w:rsidRPr="00371DDE">
        <w:t xml:space="preserve">A prisão preventiva, por seu caráter excepcional, somente deve ser decretada ou mantida quando as </w:t>
      </w:r>
      <w:r w:rsidRPr="00371DDE">
        <w:rPr>
          <w:b/>
          <w:bCs/>
        </w:rPr>
        <w:t>medidas cautelares diversas da prisão</w:t>
      </w:r>
      <w:r w:rsidRPr="00371DDE">
        <w:t xml:space="preserve">, previstas no art. 319 do Código de Processo Penal, se mostrarem concretamente insuficientes para resguardar os fins do processo penal. Trata-se da mais gravosa das cautelares, com nítido efeito de antecipação de pena e severíssima restrição ao direito fundamental de liberdade do paciente, razão pela qual sua imposição exige motivação densa, calcada em elementos objetivos que demonstrem sua </w:t>
      </w:r>
      <w:r w:rsidRPr="00371DDE">
        <w:rPr>
          <w:b/>
          <w:bCs/>
        </w:rPr>
        <w:t>real imprescindibilidade</w:t>
      </w:r>
      <w:r w:rsidRPr="00371DDE">
        <w:t xml:space="preserve"> no caso concreto.</w:t>
      </w:r>
    </w:p>
    <w:p w14:paraId="121C7CF2" w14:textId="77777777" w:rsidR="00371DDE" w:rsidRPr="00371DDE" w:rsidRDefault="00371DDE" w:rsidP="00371DDE">
      <w:pPr>
        <w:pStyle w:val="SemEspaamento"/>
      </w:pPr>
      <w:r w:rsidRPr="00371DDE">
        <w:t xml:space="preserve">Conforme dispõe o art. 282, I e II, do CPP, a aplicação de qualquer medida cautelar – inclusive a prisão preventiva – deve observar os critérios de </w:t>
      </w:r>
      <w:r w:rsidRPr="00371DDE">
        <w:rPr>
          <w:b/>
          <w:bCs/>
        </w:rPr>
        <w:t>necessidade e adequação</w:t>
      </w:r>
      <w:r w:rsidRPr="00371DDE">
        <w:t xml:space="preserve">, devendo o magistrado sempre optar, quando possível, por providências menos gravosas, desde que suficientes para atingir os fins almejados (garantia da ordem pública, da instrução criminal e da aplicação da lei penal). Nesse contexto, a prisão preventiva deve ser compreendida como </w:t>
      </w:r>
      <w:r w:rsidRPr="00371DDE">
        <w:rPr>
          <w:b/>
          <w:bCs/>
        </w:rPr>
        <w:t>ultima ratio</w:t>
      </w:r>
      <w:r w:rsidRPr="00371DDE">
        <w:t>, só sendo admissível quando todas as alternativas do art. 319 forem, de forma expressa e fundamentada, reputadas inadequadas ou ineficazes.</w:t>
      </w:r>
    </w:p>
    <w:p w14:paraId="69F2009D" w14:textId="77777777" w:rsidR="00371DDE" w:rsidRPr="00371DDE" w:rsidRDefault="00371DDE" w:rsidP="00371DDE">
      <w:pPr>
        <w:pStyle w:val="SemEspaamento"/>
      </w:pPr>
      <w:r w:rsidRPr="00371DDE">
        <w:t xml:space="preserve">No caso em análise, o paciente ostenta </w:t>
      </w:r>
      <w:r w:rsidRPr="00371DDE">
        <w:rPr>
          <w:b/>
          <w:bCs/>
        </w:rPr>
        <w:t>condições pessoais amplamente favoráveis</w:t>
      </w:r>
      <w:r w:rsidRPr="00371DDE">
        <w:t>, que recomendam a substituição da prisão por medidas cautelares diversas. É primário, possui bons antecedentes, residência fixa e exerce atividade lícita, não havendo qualquer elemento que autorize presunção de periculosidade ou risco concreto ao regular andamento da persecução penal. Não há nos autos indicativo de que, em liberdade, o paciente tenha ameaçado testemunhas, destruído provas, fugido do distrito da culpa ou de qualquer forma atentado contra a instrução criminal ou a futura aplicação da lei penal.</w:t>
      </w:r>
    </w:p>
    <w:p w14:paraId="040E89CA" w14:textId="77777777" w:rsidR="00371DDE" w:rsidRPr="00371DDE" w:rsidRDefault="00371DDE" w:rsidP="00371DDE">
      <w:pPr>
        <w:pStyle w:val="SemEspaamento"/>
      </w:pPr>
      <w:r w:rsidRPr="00371DDE">
        <w:lastRenderedPageBreak/>
        <w:t xml:space="preserve">A jurisprudência do Superior Tribunal de Justiça é firme ao reconhecer que a </w:t>
      </w:r>
      <w:r w:rsidRPr="00371DDE">
        <w:rPr>
          <w:b/>
          <w:bCs/>
        </w:rPr>
        <w:t>imposição da prisão preventiva exige demonstração concreta da ineficácia das medidas cautelares alternativas</w:t>
      </w:r>
      <w:r w:rsidRPr="00371DDE">
        <w:t>, sob pena de ilegalidade. Não basta ao julgador invocar a gravidade do crime ou fórmulas genéricas: é indispensável que explicite por que medidas como comparecimento periódico em juízo, proibição de contato com determinados envolvidos, proibição de frequentar certos lugares, recolhimento domiciliar noturno, monitoramento eletrônico, entre outras, seriam inadequadas ou insuficientes ao caso. A ausência dessa análise configura evidente desrespeito aos arts. 282 e 319 do CPP.</w:t>
      </w:r>
    </w:p>
    <w:p w14:paraId="792C17E1" w14:textId="77777777" w:rsidR="00124E1C" w:rsidRDefault="00124E1C" w:rsidP="00124E1C">
      <w:pPr>
        <w:pStyle w:val="SemEspaamento"/>
        <w:pBdr>
          <w:bottom w:val="single" w:sz="4" w:space="1" w:color="auto"/>
        </w:pBdr>
        <w:spacing w:before="60" w:after="60" w:line="240" w:lineRule="auto"/>
        <w:ind w:left="2268" w:firstLine="0"/>
      </w:pPr>
      <w:r w:rsidRPr="00ED0C3A">
        <w:rPr>
          <w:b/>
          <w:bCs/>
          <w:sz w:val="36"/>
          <w:szCs w:val="36"/>
        </w:rPr>
        <w:t>STJ</w:t>
      </w:r>
      <w:r>
        <w:t xml:space="preserve"> </w:t>
      </w:r>
      <w:r w:rsidRPr="00ED0C3A">
        <w:rPr>
          <w:color w:val="808080" w:themeColor="background1" w:themeShade="80"/>
        </w:rPr>
        <w:t xml:space="preserve">– </w:t>
      </w:r>
      <w:r w:rsidRPr="00860199">
        <w:rPr>
          <w:color w:val="808080" w:themeColor="background1" w:themeShade="80"/>
        </w:rPr>
        <w:t>AgRg no RHC 194061 SC 2024/0059176-5, Relator.: Min</w:t>
      </w:r>
      <w:r>
        <w:rPr>
          <w:color w:val="808080" w:themeColor="background1" w:themeShade="80"/>
        </w:rPr>
        <w:t>.</w:t>
      </w:r>
      <w:r w:rsidRPr="00860199">
        <w:rPr>
          <w:color w:val="808080" w:themeColor="background1" w:themeShade="80"/>
        </w:rPr>
        <w:t xml:space="preserve"> Ribeiro Dantas, DJ</w:t>
      </w:r>
      <w:r>
        <w:rPr>
          <w:color w:val="808080" w:themeColor="background1" w:themeShade="80"/>
        </w:rPr>
        <w:t>e</w:t>
      </w:r>
      <w:r w:rsidRPr="00860199">
        <w:rPr>
          <w:color w:val="808080" w:themeColor="background1" w:themeShade="80"/>
        </w:rPr>
        <w:t xml:space="preserve"> 27/05/2024</w:t>
      </w:r>
      <w:r w:rsidRPr="00580B73">
        <w:rPr>
          <w:color w:val="808080" w:themeColor="background1" w:themeShade="80"/>
        </w:rPr>
        <w:t>.</w:t>
      </w:r>
    </w:p>
    <w:p w14:paraId="396CF093" w14:textId="2B9D1E2E" w:rsidR="00124E1C" w:rsidRPr="00124E1C" w:rsidRDefault="00124E1C" w:rsidP="00124E1C">
      <w:pPr>
        <w:pStyle w:val="SemEspaamento"/>
        <w:spacing w:before="60" w:after="60" w:line="276" w:lineRule="auto"/>
        <w:ind w:left="2268" w:firstLine="0"/>
        <w:rPr>
          <w:i/>
          <w:iCs/>
        </w:rPr>
      </w:pPr>
      <w:r w:rsidRPr="00860199">
        <w:rPr>
          <w:i/>
          <w:iCs/>
        </w:rPr>
        <w:t>Por ser medida excepcional, que relativiza, em caráter de urgência, direito individual à liberdade de locomoção, a prisão preventiva somente poderá ser decretada quando não se mostrar viável, dadas as circunstâncias do caso concreto, o deferimento das medidas cautelares alternativas disciplinadas no art. 319 da norma processual penal. 3. No caso, a despeito da gravidade e elevada reprovabilidade das condutas atribuídas ao agravado, não houve por parte das instâncias ordinárias demonstração concreta da insuficiência das medidas cautelares alternativas para a consecução dos objetivos traçados pelo art. 282, inciso I, do CPP, pelo que não evidenciada a imprescindibilidade da medida extrema da prisão.</w:t>
      </w:r>
    </w:p>
    <w:p w14:paraId="4FAE3162" w14:textId="4089EE13" w:rsidR="00A108DD" w:rsidRDefault="00371DDE" w:rsidP="002A79CB">
      <w:pPr>
        <w:pStyle w:val="SemEspaamento"/>
      </w:pPr>
      <w:r w:rsidRPr="00371DDE">
        <w:t xml:space="preserve">Dessa forma, diante da inexistência de qualquer elemento concreto que demonstre a ineficácia das cautelares diversas somada às </w:t>
      </w:r>
      <w:r w:rsidRPr="00371DDE">
        <w:rPr>
          <w:b/>
          <w:bCs/>
        </w:rPr>
        <w:t>condições subjetivas favoráveis do paciente</w:t>
      </w:r>
      <w:r w:rsidRPr="00371DDE">
        <w:t xml:space="preserve">, torna-se patente a </w:t>
      </w:r>
      <w:r w:rsidRPr="00371DDE">
        <w:rPr>
          <w:b/>
          <w:bCs/>
        </w:rPr>
        <w:t>desproporcionalidade</w:t>
      </w:r>
      <w:r w:rsidRPr="00371DDE">
        <w:t xml:space="preserve"> da manutenção da prisão preventiva. Impõe-se, portanto, a revogação da custódia extrema, com a substituição por medidas cautelares idôneas e suficientes aos fins do processo penal, nos moldes do art. 319 do CPP, solução que concilia a tutela do processo com a preservação do direito fundamental à liberdade.</w:t>
      </w:r>
    </w:p>
    <w:p w14:paraId="7B38B689" w14:textId="77777777" w:rsidR="00371DDE" w:rsidRDefault="00371DDE" w:rsidP="002A79CB">
      <w:pPr>
        <w:pStyle w:val="SemEspaamento"/>
      </w:pPr>
    </w:p>
    <w:p w14:paraId="599104B8" w14:textId="77777777" w:rsidR="00371DDE" w:rsidRPr="002C7BE1" w:rsidRDefault="00371DDE" w:rsidP="002A79CB">
      <w:pPr>
        <w:pStyle w:val="SemEspaamento"/>
      </w:pPr>
    </w:p>
    <w:p w14:paraId="37FB3C55" w14:textId="3C9F6237" w:rsidR="00435014" w:rsidRDefault="00435014" w:rsidP="00435014">
      <w:pPr>
        <w:pStyle w:val="Ttulo1"/>
        <w:spacing w:before="0" w:after="0" w:line="240" w:lineRule="auto"/>
      </w:pPr>
      <w:bookmarkStart w:id="1" w:name="_Hlk214783665"/>
      <w:r>
        <w:lastRenderedPageBreak/>
        <w:t>NECESSIDADE DE CONCESSÃO DA LIMINAR</w:t>
      </w:r>
      <w:r>
        <w:t xml:space="preserve"> </w:t>
      </w:r>
    </w:p>
    <w:p w14:paraId="3C464D24" w14:textId="22336EA6"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Presença dos requisitos autorizadores </w:t>
      </w:r>
    </w:p>
    <w:p w14:paraId="59200446" w14:textId="77777777" w:rsidR="00371DDE" w:rsidRPr="00371DDE" w:rsidRDefault="00371DDE" w:rsidP="00371DDE">
      <w:pPr>
        <w:pStyle w:val="SemEspaamento"/>
        <w:rPr>
          <w:rFonts w:cstheme="minorHAnsi"/>
          <w:bCs/>
        </w:rPr>
      </w:pPr>
      <w:r w:rsidRPr="00371DDE">
        <w:rPr>
          <w:rFonts w:cstheme="minorHAnsi"/>
          <w:bCs/>
        </w:rPr>
        <w:t xml:space="preserve">A presença do </w:t>
      </w:r>
      <w:r w:rsidRPr="00371DDE">
        <w:rPr>
          <w:rFonts w:cstheme="minorHAnsi"/>
          <w:b/>
          <w:bCs/>
        </w:rPr>
        <w:t>fumus boni iuris</w:t>
      </w:r>
      <w:r w:rsidRPr="00371DDE">
        <w:rPr>
          <w:rFonts w:cstheme="minorHAnsi"/>
          <w:bCs/>
        </w:rPr>
        <w:t xml:space="preserve"> no presente habeas corpus é inequívoca. A prisão preventiva do paciente foi decretada com fundamento central em um antecedente criminal demasiadamente antigo, desacompanhado de qualquer fato contemporâneo que evidencie risco atual de reiteração delitiva. Além disso, a decisão não analisa, nem afasta concretamente, a suficiência das medidas cautelares diversas da prisão, em frontal descompasso com os arts. 282 e 319 do CPP e com a jurisprudência do STJ, que exige motivação específica sobre a inadequação das cautelares alternativas. Em juízo de cognição sumária, a manutenção da custódia mostra-se desproporcional e divorciada da lógica da prisão como </w:t>
      </w:r>
      <w:r w:rsidRPr="00371DDE">
        <w:rPr>
          <w:rFonts w:cstheme="minorHAnsi"/>
          <w:bCs/>
          <w:i/>
          <w:iCs/>
        </w:rPr>
        <w:t>ultima ratio</w:t>
      </w:r>
      <w:r w:rsidRPr="00371DDE">
        <w:rPr>
          <w:rFonts w:cstheme="minorHAnsi"/>
          <w:bCs/>
        </w:rPr>
        <w:t>, o que revela a plausibilidade do direito invocado.</w:t>
      </w:r>
    </w:p>
    <w:p w14:paraId="3C50D0AA" w14:textId="77777777" w:rsidR="00371DDE" w:rsidRPr="00371DDE" w:rsidRDefault="00371DDE" w:rsidP="00371DDE">
      <w:pPr>
        <w:pStyle w:val="SemEspaamento"/>
        <w:rPr>
          <w:rFonts w:cstheme="minorHAnsi"/>
          <w:bCs/>
        </w:rPr>
      </w:pPr>
      <w:r w:rsidRPr="00371DDE">
        <w:rPr>
          <w:rFonts w:cstheme="minorHAnsi"/>
          <w:bCs/>
        </w:rPr>
        <w:t xml:space="preserve">O constrangimento ilegal se acentua quando se observa que o único dado utilizado para sustentar o alegado risco de reiteração (garantia da ordem pública) é uma condenação muito remota, já integralmente cumprida, sem qualquer indicativo de envolvimento recente do paciente com a criminalidade. A prisão preventiva passa, assim, a operar como punição indireta por fatos pretéritos, e não como resposta a um perigo atual, violando o princípio da contemporaneidade do </w:t>
      </w:r>
      <w:r w:rsidRPr="00371DDE">
        <w:rPr>
          <w:rFonts w:cstheme="minorHAnsi"/>
          <w:bCs/>
          <w:i/>
          <w:iCs/>
        </w:rPr>
        <w:t>periculum libertatis</w:t>
      </w:r>
      <w:r w:rsidRPr="00371DDE">
        <w:rPr>
          <w:rFonts w:cstheme="minorHAnsi"/>
          <w:bCs/>
        </w:rPr>
        <w:t>. Some-se a isso o fato de que não há fundamentação quanto à ineficácia das cautelares diversas, o que reforça a ilegalidade da decisão e evidencia o bom direito apto a amparar a tutela de urgência.</w:t>
      </w:r>
    </w:p>
    <w:p w14:paraId="0361DE6E" w14:textId="77777777" w:rsidR="00371DDE" w:rsidRPr="00371DDE" w:rsidRDefault="00371DDE" w:rsidP="00371DDE">
      <w:pPr>
        <w:pStyle w:val="SemEspaamento"/>
        <w:rPr>
          <w:rFonts w:cstheme="minorHAnsi"/>
          <w:bCs/>
        </w:rPr>
      </w:pPr>
      <w:r w:rsidRPr="00371DDE">
        <w:rPr>
          <w:rFonts w:cstheme="minorHAnsi"/>
          <w:bCs/>
        </w:rPr>
        <w:t xml:space="preserve">No tocante ao </w:t>
      </w:r>
      <w:r w:rsidRPr="00371DDE">
        <w:rPr>
          <w:rFonts w:cstheme="minorHAnsi"/>
          <w:b/>
          <w:bCs/>
        </w:rPr>
        <w:t>periculum in mora</w:t>
      </w:r>
      <w:r w:rsidRPr="00371DDE">
        <w:rPr>
          <w:rFonts w:cstheme="minorHAnsi"/>
          <w:bCs/>
        </w:rPr>
        <w:t>, é igualmente patente o risco concreto de dano grave e de difícil reparação. O paciente permanece encarcerado sob o rótulo de “perigoso” com base apenas em histórico antigo e desatualizado, quando poderia, perfeitamente, responder ao processo em liberdade, submetido a medidas cautelares menos gravosas. Cada dia de manutenção dessa prisão preventiva – fundada em antecedentes remotos e sem análise da suficiência das cautelares – representa violação renovada ao direito fundamental à liberdade, à presunção de inocência e à proporcionalidade, o que justifica a atuação imediata desta Egrégia Câmara Criminal.</w:t>
      </w:r>
    </w:p>
    <w:p w14:paraId="5EE1F79C" w14:textId="0D652D60" w:rsidR="00124E1C" w:rsidRDefault="00371DDE" w:rsidP="00371DDE">
      <w:pPr>
        <w:pStyle w:val="SemEspaamento"/>
        <w:rPr>
          <w:rFonts w:cstheme="minorHAnsi"/>
          <w:bCs/>
        </w:rPr>
      </w:pPr>
      <w:r w:rsidRPr="00371DDE">
        <w:rPr>
          <w:rFonts w:cstheme="minorHAnsi"/>
          <w:bCs/>
        </w:rPr>
        <w:lastRenderedPageBreak/>
        <w:t xml:space="preserve">Ademais, a própria natureza do habeas corpus, como remédio constitucional vocacionado a fazer cessar prontamente constrangimentos ilegais, exige que, diante da combinação de </w:t>
      </w:r>
      <w:r w:rsidRPr="00371DDE">
        <w:rPr>
          <w:rFonts w:cstheme="minorHAnsi"/>
          <w:b/>
          <w:bCs/>
        </w:rPr>
        <w:t>fundamentos jurídicos relevantes</w:t>
      </w:r>
      <w:r w:rsidRPr="00371DDE">
        <w:rPr>
          <w:rFonts w:cstheme="minorHAnsi"/>
          <w:bCs/>
        </w:rPr>
        <w:t xml:space="preserve"> (fumus boni iuris) e </w:t>
      </w:r>
      <w:r w:rsidRPr="00371DDE">
        <w:rPr>
          <w:rFonts w:cstheme="minorHAnsi"/>
          <w:b/>
          <w:bCs/>
        </w:rPr>
        <w:t>risco concreto decorrente da continuidade da custódia</w:t>
      </w:r>
      <w:r w:rsidRPr="00371DDE">
        <w:rPr>
          <w:rFonts w:cstheme="minorHAnsi"/>
          <w:bCs/>
        </w:rPr>
        <w:t xml:space="preserve"> (periculum in mora), seja deferida a liminar para colocar o paciente em liberdade, com a eventual imposição de medidas cautelares diversas da prisão. Negar a tutela de urgência, em cenário como o dos autos, significaria permitir que a medida excepcional da prisão preventiva continue sendo aplicada onde a lei e a jurisprudência recomendam a adoção de alternativas menos gravosas, esvaziando a própria finalidade do presente writ.</w:t>
      </w:r>
    </w:p>
    <w:p w14:paraId="6C943607" w14:textId="77777777" w:rsidR="003531B3" w:rsidRPr="002A4C6E" w:rsidRDefault="003531B3" w:rsidP="00371DDE">
      <w:pPr>
        <w:pStyle w:val="SemEspaamento"/>
        <w:rPr>
          <w:rFonts w:cstheme="minorHAnsi"/>
          <w:bCs/>
        </w:rPr>
      </w:pPr>
    </w:p>
    <w:bookmarkEnd w:id="1"/>
    <w:p w14:paraId="0D9CD480" w14:textId="77777777" w:rsidR="00435014" w:rsidRDefault="00435014" w:rsidP="00435014">
      <w:pPr>
        <w:pStyle w:val="Ttulo1"/>
        <w:spacing w:before="0" w:after="0" w:line="240" w:lineRule="auto"/>
      </w:pPr>
      <w:r w:rsidRPr="00E71747">
        <w:t>NECESSIDADE DE DISTINGUISHING</w:t>
      </w:r>
    </w:p>
    <w:p w14:paraId="5490F4BC" w14:textId="77777777"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Teses apresentadas que se adequam ao entendimento do STJ</w:t>
      </w:r>
    </w:p>
    <w:p w14:paraId="5809C004" w14:textId="77777777" w:rsidR="00435014" w:rsidRPr="00150C5B" w:rsidRDefault="00435014" w:rsidP="00435014">
      <w:pPr>
        <w:pStyle w:val="SemEspaamento"/>
      </w:pPr>
      <w:r w:rsidRPr="00150C5B">
        <w:t>O patrono do requerente apresent</w:t>
      </w:r>
      <w:r>
        <w:t>ou</w:t>
      </w:r>
      <w:r w:rsidRPr="00150C5B">
        <w:t xml:space="preserve"> julgados e decisões dos tribunais superiores para corroborar as teses defensivas lançadas na presente peça.</w:t>
      </w:r>
    </w:p>
    <w:p w14:paraId="09182CA1" w14:textId="77777777" w:rsidR="00435014" w:rsidRPr="00150C5B" w:rsidRDefault="00435014" w:rsidP="00435014">
      <w:pPr>
        <w:pStyle w:val="SemEspaamento"/>
      </w:pPr>
      <w:r w:rsidRPr="00150C5B">
        <w:t xml:space="preserve">Em todas há similitude fática e jurídica com o caso em apreço. Contudo, caso o juízo entenda de maneira diversa, </w:t>
      </w:r>
      <w:r>
        <w:t>requer que elucide na decisão a ser proferida</w:t>
      </w:r>
      <w:r w:rsidRPr="00150C5B">
        <w:t xml:space="preserve"> a diferença entre o presente caso e o</w:t>
      </w:r>
      <w:r>
        <w:t>s</w:t>
      </w:r>
      <w:r w:rsidRPr="00150C5B">
        <w:t xml:space="preserve"> precedente</w:t>
      </w:r>
      <w:r>
        <w:t>s</w:t>
      </w:r>
      <w:r w:rsidRPr="00150C5B">
        <w:t xml:space="preserve"> </w:t>
      </w:r>
      <w:r>
        <w:t>apontados na peça</w:t>
      </w:r>
      <w:r w:rsidRPr="00150C5B">
        <w:t xml:space="preserve">, bem como </w:t>
      </w:r>
      <w:r>
        <w:t xml:space="preserve">que </w:t>
      </w:r>
      <w:r w:rsidRPr="00150C5B">
        <w:t xml:space="preserve">demonstre o motivo pela qual aquele entendimento não se aplica ao presente caso. </w:t>
      </w:r>
    </w:p>
    <w:p w14:paraId="7F74C16D" w14:textId="77777777" w:rsidR="00435014" w:rsidRDefault="00435014" w:rsidP="00435014">
      <w:pPr>
        <w:pStyle w:val="SemEspaamento"/>
      </w:pPr>
      <w:r w:rsidRPr="00150C5B">
        <w:t>Deve ser ressaltado que eventual decisão que não faça essa distinção não poderá ser considerada como suficientemente fundamentada nos termos do art. 315, §2º, VI, gerando vício insuperável.</w:t>
      </w:r>
    </w:p>
    <w:p w14:paraId="3D2D617E" w14:textId="77777777" w:rsidR="00435014" w:rsidRDefault="00435014" w:rsidP="00435014">
      <w:pPr>
        <w:pStyle w:val="SemEspaamento"/>
        <w:pBdr>
          <w:bottom w:val="single" w:sz="4" w:space="1" w:color="auto"/>
        </w:pBdr>
        <w:spacing w:before="60" w:after="60" w:line="240" w:lineRule="auto"/>
        <w:ind w:left="2268" w:firstLine="0"/>
      </w:pPr>
      <w:r>
        <w:rPr>
          <w:b/>
          <w:bCs/>
          <w:sz w:val="36"/>
          <w:szCs w:val="36"/>
        </w:rPr>
        <w:t>CPP</w:t>
      </w:r>
      <w:r>
        <w:t xml:space="preserve"> </w:t>
      </w:r>
      <w:r w:rsidRPr="00ED0C3A">
        <w:rPr>
          <w:color w:val="808080" w:themeColor="background1" w:themeShade="80"/>
        </w:rPr>
        <w:t xml:space="preserve">– </w:t>
      </w:r>
      <w:r>
        <w:rPr>
          <w:color w:val="808080" w:themeColor="background1" w:themeShade="80"/>
        </w:rPr>
        <w:t>art. 315, §2º, VI</w:t>
      </w:r>
      <w:r w:rsidRPr="00580B73">
        <w:rPr>
          <w:color w:val="808080" w:themeColor="background1" w:themeShade="80"/>
        </w:rPr>
        <w:t>.</w:t>
      </w:r>
    </w:p>
    <w:p w14:paraId="1101F206" w14:textId="77777777" w:rsidR="00435014" w:rsidRPr="00E71747" w:rsidRDefault="00435014" w:rsidP="00435014">
      <w:pPr>
        <w:pStyle w:val="SemEspaamento"/>
        <w:spacing w:before="0" w:after="0" w:line="240" w:lineRule="auto"/>
        <w:ind w:left="2268" w:firstLine="0"/>
        <w:rPr>
          <w:i/>
          <w:iCs/>
        </w:rPr>
      </w:pPr>
      <w:r w:rsidRPr="00E71747">
        <w:rPr>
          <w:i/>
          <w:iCs/>
        </w:rPr>
        <w:t>Art. 315. A decisão que decretar, substituir ou denegar a prisão preventiva será sempre motivada e fundamentada.</w:t>
      </w:r>
    </w:p>
    <w:p w14:paraId="12AE7C17" w14:textId="77777777" w:rsidR="00435014" w:rsidRPr="00E71747" w:rsidRDefault="00435014" w:rsidP="00435014">
      <w:pPr>
        <w:pStyle w:val="SemEspaamento"/>
        <w:spacing w:before="0" w:after="0" w:line="240" w:lineRule="auto"/>
        <w:ind w:left="2268" w:firstLine="0"/>
        <w:rPr>
          <w:i/>
          <w:iCs/>
        </w:rPr>
      </w:pPr>
      <w:r w:rsidRPr="00E71747">
        <w:rPr>
          <w:i/>
          <w:iCs/>
        </w:rPr>
        <w:t>§ 2º Não se considera fundamentada qualquer decisão judicial, seja ela interlocutória, sentença ou acórdão, que:</w:t>
      </w:r>
    </w:p>
    <w:p w14:paraId="4ADB42C4" w14:textId="77777777" w:rsidR="00435014" w:rsidRDefault="00435014" w:rsidP="00435014">
      <w:pPr>
        <w:pStyle w:val="SemEspaamento"/>
        <w:spacing w:before="0" w:after="0" w:line="240" w:lineRule="auto"/>
        <w:ind w:left="2268" w:firstLine="0"/>
        <w:rPr>
          <w:i/>
          <w:iCs/>
        </w:rPr>
      </w:pPr>
      <w:r w:rsidRPr="00E71747">
        <w:rPr>
          <w:i/>
          <w:iCs/>
        </w:rPr>
        <w:t>VI - deixar de seguir enunciado de súmula, jurisprudência ou precedente invocado pela parte, sem demonstrar a existência de distinção no caso em julgamento ou a superação do entendimento.</w:t>
      </w:r>
    </w:p>
    <w:p w14:paraId="26539F40" w14:textId="77777777" w:rsidR="002A4C6E" w:rsidRDefault="002A4C6E" w:rsidP="00435014">
      <w:pPr>
        <w:pStyle w:val="SemEspaamento"/>
        <w:spacing w:before="0" w:after="0" w:line="240" w:lineRule="auto"/>
        <w:ind w:left="2268" w:firstLine="0"/>
        <w:rPr>
          <w:i/>
          <w:iCs/>
        </w:rPr>
      </w:pPr>
    </w:p>
    <w:p w14:paraId="53A0CDED" w14:textId="77777777" w:rsidR="00A108DD" w:rsidRDefault="00A108DD" w:rsidP="00435014">
      <w:pPr>
        <w:pStyle w:val="SemEspaamento"/>
        <w:spacing w:before="0" w:after="0" w:line="240" w:lineRule="auto"/>
        <w:ind w:left="2268" w:firstLine="0"/>
        <w:rPr>
          <w:i/>
          <w:iCs/>
        </w:rPr>
      </w:pPr>
    </w:p>
    <w:p w14:paraId="73E39172" w14:textId="0BA79212" w:rsidR="00B85546" w:rsidRPr="008A42DE" w:rsidRDefault="002D3115" w:rsidP="008A42DE">
      <w:pPr>
        <w:pStyle w:val="Ttulo1"/>
        <w:spacing w:before="0" w:after="0" w:line="240" w:lineRule="auto"/>
      </w:pPr>
      <w:r>
        <w:lastRenderedPageBreak/>
        <w:t>DO PEDIDO</w:t>
      </w:r>
    </w:p>
    <w:p w14:paraId="262ABB1F" w14:textId="77777777" w:rsidR="00015D08" w:rsidRDefault="00015D08" w:rsidP="00015D08">
      <w:pPr>
        <w:spacing w:before="120" w:after="120" w:line="312" w:lineRule="auto"/>
        <w:ind w:firstLine="567"/>
        <w:jc w:val="both"/>
        <w:rPr>
          <w:rFonts w:ascii="Source Serif Pro" w:hAnsi="Source Serif Pro"/>
        </w:rPr>
      </w:pPr>
    </w:p>
    <w:p w14:paraId="7351A92C" w14:textId="680C14C1" w:rsidR="000C72A1" w:rsidRPr="000C72A1" w:rsidRDefault="000C72A1" w:rsidP="000C72A1">
      <w:pPr>
        <w:spacing w:before="120" w:after="120" w:line="312" w:lineRule="auto"/>
        <w:ind w:firstLine="567"/>
        <w:jc w:val="both"/>
        <w:rPr>
          <w:rFonts w:ascii="Source Serif Pro" w:hAnsi="Source Serif Pro"/>
        </w:rPr>
      </w:pPr>
      <w:r w:rsidRPr="000C72A1">
        <w:rPr>
          <w:rFonts w:ascii="Source Serif Pro" w:hAnsi="Source Serif Pro"/>
        </w:rPr>
        <w:t xml:space="preserve">Diante do flagrante constrangimento ilegal demonstrado – prisão preventiva mantida com fundamento em antecedente demasiadamente antigo, sem fatos contemporâneos e sem análise da suficiência das medidas cautelares alternativas –, requer o Impetrante, </w:t>
      </w:r>
      <w:r w:rsidRPr="000C72A1">
        <w:rPr>
          <w:rFonts w:ascii="Source Serif Pro" w:hAnsi="Source Serif Pro"/>
          <w:b/>
          <w:bCs/>
        </w:rPr>
        <w:t>em caráter liminar</w:t>
      </w:r>
      <w:r w:rsidRPr="000C72A1">
        <w:rPr>
          <w:rFonts w:ascii="Source Serif Pro" w:hAnsi="Source Serif Pro"/>
        </w:rPr>
        <w:t xml:space="preserve">, que seja </w:t>
      </w:r>
      <w:r w:rsidRPr="000C72A1">
        <w:rPr>
          <w:rFonts w:ascii="Source Serif Pro" w:hAnsi="Source Serif Pro"/>
          <w:b/>
          <w:bCs/>
        </w:rPr>
        <w:t>suspensa de imediato a prisão preventiva do paciente</w:t>
      </w:r>
      <w:r w:rsidRPr="000C72A1">
        <w:rPr>
          <w:rFonts w:ascii="Source Serif Pro" w:hAnsi="Source Serif Pro"/>
        </w:rPr>
        <w:t xml:space="preserve">, com a sua colocação em liberdade </w:t>
      </w:r>
      <w:r w:rsidRPr="000C72A1">
        <w:rPr>
          <w:rFonts w:ascii="Source Serif Pro" w:hAnsi="Source Serif Pro"/>
          <w:b/>
          <w:bCs/>
        </w:rPr>
        <w:t>sob imposição imediata de medidas cautelares diversas da prisão</w:t>
      </w:r>
      <w:r w:rsidRPr="000C72A1">
        <w:rPr>
          <w:rFonts w:ascii="Source Serif Pro" w:hAnsi="Source Serif Pro"/>
        </w:rPr>
        <w:t>, nos termos dos arts. 282 e 319 do CPP. Requer-se, a critério deste Tribunal ou do juízo de origem, a fixação de cautelares como, por exemplo, comparecimento periódico em juízo, proibição de ausentar-se da comarca sem autorização, proibição de manter contato com determinadas pessoas e/ou outras que se revelem adequadas ao caso concreto.</w:t>
      </w:r>
    </w:p>
    <w:p w14:paraId="1ED3E776" w14:textId="407BCA48" w:rsidR="000C72A1" w:rsidRPr="000C72A1" w:rsidRDefault="000C72A1" w:rsidP="000C72A1">
      <w:pPr>
        <w:spacing w:before="120" w:after="120" w:line="312" w:lineRule="auto"/>
        <w:ind w:firstLine="567"/>
        <w:jc w:val="both"/>
        <w:rPr>
          <w:rFonts w:ascii="Source Serif Pro" w:hAnsi="Source Serif Pro"/>
        </w:rPr>
      </w:pPr>
      <w:r w:rsidRPr="000C72A1">
        <w:rPr>
          <w:rFonts w:ascii="Source Serif Pro" w:hAnsi="Source Serif Pro"/>
        </w:rPr>
        <w:t xml:space="preserve">No mérito, requer seja </w:t>
      </w:r>
      <w:r w:rsidRPr="000C72A1">
        <w:rPr>
          <w:rFonts w:ascii="Source Serif Pro" w:hAnsi="Source Serif Pro"/>
          <w:b/>
          <w:bCs/>
        </w:rPr>
        <w:t>concedida em definitivo a ordem de habeas corpus</w:t>
      </w:r>
      <w:r w:rsidRPr="000C72A1">
        <w:rPr>
          <w:rFonts w:ascii="Source Serif Pro" w:hAnsi="Source Serif Pro"/>
        </w:rPr>
        <w:t xml:space="preserve">, reconhecendo-se a </w:t>
      </w:r>
      <w:r w:rsidRPr="000C72A1">
        <w:rPr>
          <w:rFonts w:ascii="Source Serif Pro" w:hAnsi="Source Serif Pro"/>
          <w:b/>
          <w:bCs/>
        </w:rPr>
        <w:t>ilegalidade da prisão preventiva</w:t>
      </w:r>
      <w:r w:rsidRPr="000C72A1">
        <w:rPr>
          <w:rFonts w:ascii="Source Serif Pro" w:hAnsi="Source Serif Pro"/>
        </w:rPr>
        <w:t xml:space="preserve"> por ausência de periculum libertatis atual e por estar baseada exclusivamente em antecedente remoto, determinando-se a </w:t>
      </w:r>
      <w:r w:rsidRPr="000C72A1">
        <w:rPr>
          <w:rFonts w:ascii="Source Serif Pro" w:hAnsi="Source Serif Pro"/>
          <w:b/>
          <w:bCs/>
        </w:rPr>
        <w:t>revogação da custódia cautelar e a concessão de liberdade irrestrita ao paciente</w:t>
      </w:r>
      <w:r w:rsidRPr="000C72A1">
        <w:rPr>
          <w:rFonts w:ascii="Source Serif Pro" w:hAnsi="Source Serif Pro"/>
        </w:rPr>
        <w:t xml:space="preserve">. Requer, ainda, que sejam </w:t>
      </w:r>
      <w:r w:rsidRPr="000C72A1">
        <w:rPr>
          <w:rFonts w:ascii="Source Serif Pro" w:hAnsi="Source Serif Pro"/>
          <w:b/>
          <w:bCs/>
        </w:rPr>
        <w:t>mantidas as medidas cautelares diversas da prisão eventualmente fixadas na liminar</w:t>
      </w:r>
      <w:r w:rsidRPr="000C72A1">
        <w:rPr>
          <w:rFonts w:ascii="Source Serif Pro" w:hAnsi="Source Serif Pro"/>
        </w:rPr>
        <w:t>, enquanto se mostrarem necessárias e proporcionais, facultando-se ao juízo de origem, diante da evolução do quadro fático, revê-las, reduzi-las ou revogá-las, nos termos do art. 316 do CPP.</w:t>
      </w:r>
    </w:p>
    <w:p w14:paraId="16A7F433" w14:textId="20C65257" w:rsidR="00A108DD" w:rsidRPr="00A108DD" w:rsidRDefault="00A108DD" w:rsidP="00C66B1D">
      <w:pPr>
        <w:spacing w:before="120" w:after="120" w:line="312" w:lineRule="auto"/>
        <w:ind w:firstLine="567"/>
        <w:jc w:val="both"/>
        <w:rPr>
          <w:rFonts w:ascii="Source Serif Pro" w:hAnsi="Source Serif Pro"/>
        </w:rPr>
      </w:pPr>
    </w:p>
    <w:p w14:paraId="191844BF" w14:textId="394FF0A0"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29C32AC9"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23351C">
        <w:rPr>
          <w:rFonts w:ascii="Source Serif Pro" w:hAnsi="Source Serif Pro"/>
          <w:noProof/>
        </w:rPr>
        <w:t>23 de novembro de 2025</w:t>
      </w:r>
      <w:r w:rsidR="0015581C">
        <w:rPr>
          <w:rFonts w:ascii="Source Serif Pro" w:hAnsi="Source Serif Pro"/>
        </w:rPr>
        <w:fldChar w:fldCharType="end"/>
      </w:r>
      <w:r w:rsidR="0015581C" w:rsidRPr="0015581C">
        <w:rPr>
          <w:rFonts w:ascii="Source Serif Pro" w:hAnsi="Source Serif Pro"/>
        </w:rPr>
        <w:t>.</w:t>
      </w:r>
    </w:p>
    <w:p w14:paraId="6504CE75" w14:textId="77777777" w:rsidR="007C59F9" w:rsidRDefault="007C59F9" w:rsidP="006A3AEB">
      <w:pPr>
        <w:spacing w:after="0" w:line="240" w:lineRule="auto"/>
        <w:jc w:val="center"/>
        <w:rPr>
          <w:rFonts w:ascii="Source Serif Pro" w:hAnsi="Source Serif Pro"/>
        </w:rPr>
      </w:pPr>
    </w:p>
    <w:p w14:paraId="2DA090D7" w14:textId="533CF80C"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sectPr w:rsidR="0015581C" w:rsidSect="00D9239D">
      <w:headerReference w:type="default" r:id="rId8"/>
      <w:footerReference w:type="default" r:id="rId9"/>
      <w:headerReference w:type="first" r:id="rId10"/>
      <w:footerReference w:type="first" r:id="rId11"/>
      <w:pgSz w:w="11906" w:h="16838"/>
      <w:pgMar w:top="1778"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D42D5" w14:textId="77777777" w:rsidR="00311E6A" w:rsidRDefault="00311E6A" w:rsidP="00BA1F94">
      <w:pPr>
        <w:spacing w:after="0" w:line="240" w:lineRule="auto"/>
      </w:pPr>
      <w:r>
        <w:separator/>
      </w:r>
    </w:p>
  </w:endnote>
  <w:endnote w:type="continuationSeparator" w:id="0">
    <w:p w14:paraId="7C7ED639" w14:textId="77777777" w:rsidR="00311E6A" w:rsidRDefault="00311E6A"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32A23E0" w:rsidR="001E7DF5" w:rsidRPr="00D14593" w:rsidRDefault="00860199"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2114489095"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32A6B654"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r w:rsidRPr="00A97C42">
      <w:rPr>
        <w:rFonts w:ascii="Source Sans Pro" w:hAnsi="Source Sans Pro"/>
        <w:color w:val="0B0F23"/>
        <w:sz w:val="20"/>
        <w:szCs w:val="20"/>
      </w:rPr>
      <w:t>www.guarnierimartins.com.br</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 xml:space="preserve"> contato@guarnierimartins.com.br</w:t>
    </w:r>
  </w:p>
  <w:p w14:paraId="1E5600C1" w14:textId="5A722ACD"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(67)9.9624-9366</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D8BA1" w14:textId="77777777" w:rsidR="00311E6A" w:rsidRDefault="00311E6A" w:rsidP="00BA1F94">
      <w:pPr>
        <w:spacing w:after="0" w:line="240" w:lineRule="auto"/>
      </w:pPr>
      <w:r>
        <w:separator/>
      </w:r>
    </w:p>
  </w:footnote>
  <w:footnote w:type="continuationSeparator" w:id="0">
    <w:p w14:paraId="0B1028A2" w14:textId="77777777" w:rsidR="00311E6A" w:rsidRDefault="00311E6A"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5B5F714E" w:rsidR="00585236" w:rsidRDefault="006A3AEB" w:rsidP="00585236">
    <w:pPr>
      <w:pStyle w:val="Cabealho"/>
      <w:jc w:val="center"/>
    </w:pPr>
    <w:r>
      <w:rPr>
        <w:noProof/>
      </w:rPr>
      <w:drawing>
        <wp:inline distT="0" distB="0" distL="0" distR="0" wp14:anchorId="778A9DD7" wp14:editId="6925C674">
          <wp:extent cx="1208598" cy="1208598"/>
          <wp:effectExtent l="0" t="0" r="0" b="0"/>
          <wp:docPr id="798409584"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6165" name="Imagem 1" descr="Logotipo, nome da empresa&#10;&#10;O conteúdo gerado por IA pode estar incorreto."/>
                  <pic:cNvPicPr/>
                </pic:nvPicPr>
                <pic:blipFill>
                  <a:blip r:embed="rId1"/>
                  <a:stretch>
                    <a:fillRect/>
                  </a:stretch>
                </pic:blipFill>
                <pic:spPr>
                  <a:xfrm>
                    <a:off x="0" y="0"/>
                    <a:ext cx="1219275" cy="1219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75358267"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3777119"/>
    <w:multiLevelType w:val="hybridMultilevel"/>
    <w:tmpl w:val="DE66975C"/>
    <w:lvl w:ilvl="0" w:tplc="496E87F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4" w15:restartNumberingAfterBreak="0">
    <w:nsid w:val="14CC7B9E"/>
    <w:multiLevelType w:val="hybridMultilevel"/>
    <w:tmpl w:val="C3F0437C"/>
    <w:lvl w:ilvl="0" w:tplc="4EAC98C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5" w15:restartNumberingAfterBreak="0">
    <w:nsid w:val="162B22D5"/>
    <w:multiLevelType w:val="hybridMultilevel"/>
    <w:tmpl w:val="9A3A1EFE"/>
    <w:lvl w:ilvl="0" w:tplc="F146C3D4">
      <w:start w:val="1"/>
      <w:numFmt w:val="decimal"/>
      <w:pStyle w:val="Ttulo1"/>
      <w:lvlText w:val="%1."/>
      <w:lvlJc w:val="left"/>
      <w:pPr>
        <w:ind w:left="3479"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8" w15:restartNumberingAfterBreak="0">
    <w:nsid w:val="19B56DA4"/>
    <w:multiLevelType w:val="hybridMultilevel"/>
    <w:tmpl w:val="9AEAB1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1"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16528"/>
    <w:multiLevelType w:val="hybridMultilevel"/>
    <w:tmpl w:val="05AABD4C"/>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5"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0"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1"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2"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3"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D57AA"/>
    <w:multiLevelType w:val="hybridMultilevel"/>
    <w:tmpl w:val="9744B53C"/>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61524E9E"/>
    <w:multiLevelType w:val="hybridMultilevel"/>
    <w:tmpl w:val="A18AB8A6"/>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6"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8"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68648E4"/>
    <w:multiLevelType w:val="hybridMultilevel"/>
    <w:tmpl w:val="2110CD96"/>
    <w:lvl w:ilvl="0" w:tplc="8B7480CC">
      <w:start w:val="1"/>
      <w:numFmt w:val="decimal"/>
      <w:lvlText w:val="%1."/>
      <w:lvlJc w:val="left"/>
      <w:pPr>
        <w:ind w:left="1211" w:hanging="360"/>
      </w:pPr>
      <w:rPr>
        <w:rFonts w:hint="default"/>
        <w:b w:val="0"/>
        <w:bCs/>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0"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5"/>
  </w:num>
  <w:num w:numId="2" w16cid:durableId="1455253303">
    <w:abstractNumId w:val="15"/>
  </w:num>
  <w:num w:numId="3" w16cid:durableId="555554971">
    <w:abstractNumId w:val="5"/>
  </w:num>
  <w:num w:numId="4" w16cid:durableId="1971129295">
    <w:abstractNumId w:val="5"/>
  </w:num>
  <w:num w:numId="5" w16cid:durableId="555433521">
    <w:abstractNumId w:val="5"/>
  </w:num>
  <w:num w:numId="6" w16cid:durableId="376053507">
    <w:abstractNumId w:val="5"/>
  </w:num>
  <w:num w:numId="7" w16cid:durableId="1819492703">
    <w:abstractNumId w:val="1"/>
  </w:num>
  <w:num w:numId="8" w16cid:durableId="214002896">
    <w:abstractNumId w:val="11"/>
  </w:num>
  <w:num w:numId="9" w16cid:durableId="1186557910">
    <w:abstractNumId w:val="19"/>
  </w:num>
  <w:num w:numId="10" w16cid:durableId="45959775">
    <w:abstractNumId w:val="5"/>
  </w:num>
  <w:num w:numId="11" w16cid:durableId="698555142">
    <w:abstractNumId w:val="5"/>
  </w:num>
  <w:num w:numId="12" w16cid:durableId="169760788">
    <w:abstractNumId w:val="16"/>
  </w:num>
  <w:num w:numId="13" w16cid:durableId="1542085398">
    <w:abstractNumId w:val="12"/>
  </w:num>
  <w:num w:numId="14" w16cid:durableId="1800220788">
    <w:abstractNumId w:val="30"/>
  </w:num>
  <w:num w:numId="15" w16cid:durableId="189689990">
    <w:abstractNumId w:val="23"/>
  </w:num>
  <w:num w:numId="16" w16cid:durableId="106320463">
    <w:abstractNumId w:val="27"/>
  </w:num>
  <w:num w:numId="17" w16cid:durableId="757795001">
    <w:abstractNumId w:val="7"/>
  </w:num>
  <w:num w:numId="18" w16cid:durableId="507915239">
    <w:abstractNumId w:val="26"/>
  </w:num>
  <w:num w:numId="19" w16cid:durableId="985084700">
    <w:abstractNumId w:val="22"/>
  </w:num>
  <w:num w:numId="20" w16cid:durableId="700283364">
    <w:abstractNumId w:val="20"/>
  </w:num>
  <w:num w:numId="21" w16cid:durableId="895627114">
    <w:abstractNumId w:val="10"/>
  </w:num>
  <w:num w:numId="22" w16cid:durableId="2089496448">
    <w:abstractNumId w:val="5"/>
  </w:num>
  <w:num w:numId="23" w16cid:durableId="561600074">
    <w:abstractNumId w:val="0"/>
  </w:num>
  <w:num w:numId="24" w16cid:durableId="278606713">
    <w:abstractNumId w:val="21"/>
  </w:num>
  <w:num w:numId="25" w16cid:durableId="556820897">
    <w:abstractNumId w:val="6"/>
  </w:num>
  <w:num w:numId="26" w16cid:durableId="648704854">
    <w:abstractNumId w:val="3"/>
  </w:num>
  <w:num w:numId="27" w16cid:durableId="1146168893">
    <w:abstractNumId w:val="17"/>
  </w:num>
  <w:num w:numId="28" w16cid:durableId="1280070271">
    <w:abstractNumId w:val="9"/>
  </w:num>
  <w:num w:numId="29" w16cid:durableId="1163280356">
    <w:abstractNumId w:val="13"/>
  </w:num>
  <w:num w:numId="30" w16cid:durableId="1479685322">
    <w:abstractNumId w:val="28"/>
  </w:num>
  <w:num w:numId="31" w16cid:durableId="939022436">
    <w:abstractNumId w:val="18"/>
  </w:num>
  <w:num w:numId="32" w16cid:durableId="1358387731">
    <w:abstractNumId w:val="29"/>
  </w:num>
  <w:num w:numId="33" w16cid:durableId="1918588421">
    <w:abstractNumId w:val="14"/>
  </w:num>
  <w:num w:numId="34" w16cid:durableId="508368672">
    <w:abstractNumId w:val="8"/>
  </w:num>
  <w:num w:numId="35" w16cid:durableId="997265681">
    <w:abstractNumId w:val="25"/>
  </w:num>
  <w:num w:numId="36" w16cid:durableId="1900631713">
    <w:abstractNumId w:val="4"/>
  </w:num>
  <w:num w:numId="37" w16cid:durableId="2024433701">
    <w:abstractNumId w:val="2"/>
  </w:num>
  <w:num w:numId="38" w16cid:durableId="18400012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15D08"/>
    <w:rsid w:val="00021F5D"/>
    <w:rsid w:val="000447DD"/>
    <w:rsid w:val="00045565"/>
    <w:rsid w:val="000633B8"/>
    <w:rsid w:val="000765C6"/>
    <w:rsid w:val="000911F8"/>
    <w:rsid w:val="000A234B"/>
    <w:rsid w:val="000B1C85"/>
    <w:rsid w:val="000B2591"/>
    <w:rsid w:val="000B5216"/>
    <w:rsid w:val="000C72A1"/>
    <w:rsid w:val="0011164C"/>
    <w:rsid w:val="001153D8"/>
    <w:rsid w:val="00124E1C"/>
    <w:rsid w:val="00133E06"/>
    <w:rsid w:val="00144A4B"/>
    <w:rsid w:val="00151D12"/>
    <w:rsid w:val="0015581C"/>
    <w:rsid w:val="00163268"/>
    <w:rsid w:val="0018525B"/>
    <w:rsid w:val="001C6CE0"/>
    <w:rsid w:val="001D0EC8"/>
    <w:rsid w:val="001E64BE"/>
    <w:rsid w:val="001E7DF5"/>
    <w:rsid w:val="001F2F1D"/>
    <w:rsid w:val="001F3409"/>
    <w:rsid w:val="001F36B6"/>
    <w:rsid w:val="00202E8F"/>
    <w:rsid w:val="00205995"/>
    <w:rsid w:val="0021210F"/>
    <w:rsid w:val="0021462C"/>
    <w:rsid w:val="0023351C"/>
    <w:rsid w:val="00244EEE"/>
    <w:rsid w:val="00255925"/>
    <w:rsid w:val="00265B72"/>
    <w:rsid w:val="002731A1"/>
    <w:rsid w:val="002731A6"/>
    <w:rsid w:val="002A18AC"/>
    <w:rsid w:val="002A4C6E"/>
    <w:rsid w:val="002A79CB"/>
    <w:rsid w:val="002C012C"/>
    <w:rsid w:val="002C7BE1"/>
    <w:rsid w:val="002D3115"/>
    <w:rsid w:val="002D79D9"/>
    <w:rsid w:val="002E0484"/>
    <w:rsid w:val="002F00FD"/>
    <w:rsid w:val="002F4394"/>
    <w:rsid w:val="00307183"/>
    <w:rsid w:val="00311E6A"/>
    <w:rsid w:val="0032114D"/>
    <w:rsid w:val="00323708"/>
    <w:rsid w:val="00332135"/>
    <w:rsid w:val="00334B83"/>
    <w:rsid w:val="00335715"/>
    <w:rsid w:val="0035269F"/>
    <w:rsid w:val="003531B3"/>
    <w:rsid w:val="003602F7"/>
    <w:rsid w:val="00371DDE"/>
    <w:rsid w:val="00377552"/>
    <w:rsid w:val="00383D06"/>
    <w:rsid w:val="00385345"/>
    <w:rsid w:val="003A171C"/>
    <w:rsid w:val="003A1DD2"/>
    <w:rsid w:val="003A4B72"/>
    <w:rsid w:val="003A76A4"/>
    <w:rsid w:val="003A7CB9"/>
    <w:rsid w:val="003B706F"/>
    <w:rsid w:val="0041600B"/>
    <w:rsid w:val="00421C44"/>
    <w:rsid w:val="00435014"/>
    <w:rsid w:val="0044781C"/>
    <w:rsid w:val="004526A3"/>
    <w:rsid w:val="00460C3B"/>
    <w:rsid w:val="00462A1D"/>
    <w:rsid w:val="00466093"/>
    <w:rsid w:val="00473494"/>
    <w:rsid w:val="00483C5B"/>
    <w:rsid w:val="004A1397"/>
    <w:rsid w:val="004B23AC"/>
    <w:rsid w:val="004C2B0E"/>
    <w:rsid w:val="004C78F2"/>
    <w:rsid w:val="004E1F61"/>
    <w:rsid w:val="004E32D6"/>
    <w:rsid w:val="004F6860"/>
    <w:rsid w:val="00502064"/>
    <w:rsid w:val="00510D1D"/>
    <w:rsid w:val="005271CA"/>
    <w:rsid w:val="00547988"/>
    <w:rsid w:val="00552F50"/>
    <w:rsid w:val="0056423A"/>
    <w:rsid w:val="005701F5"/>
    <w:rsid w:val="005702CF"/>
    <w:rsid w:val="00575469"/>
    <w:rsid w:val="00576D3A"/>
    <w:rsid w:val="005811CD"/>
    <w:rsid w:val="00585236"/>
    <w:rsid w:val="005926D6"/>
    <w:rsid w:val="00596D6C"/>
    <w:rsid w:val="005A01D2"/>
    <w:rsid w:val="005A6E55"/>
    <w:rsid w:val="005C54F8"/>
    <w:rsid w:val="005C7877"/>
    <w:rsid w:val="005C79B0"/>
    <w:rsid w:val="005E2F23"/>
    <w:rsid w:val="005F2FAE"/>
    <w:rsid w:val="005F47A7"/>
    <w:rsid w:val="00617C7C"/>
    <w:rsid w:val="00636660"/>
    <w:rsid w:val="00636D00"/>
    <w:rsid w:val="006419C1"/>
    <w:rsid w:val="0064461A"/>
    <w:rsid w:val="0066103B"/>
    <w:rsid w:val="00672F34"/>
    <w:rsid w:val="00673A8C"/>
    <w:rsid w:val="006916BF"/>
    <w:rsid w:val="006A3AEB"/>
    <w:rsid w:val="006B1A62"/>
    <w:rsid w:val="006B1C85"/>
    <w:rsid w:val="006C5729"/>
    <w:rsid w:val="006D5BE0"/>
    <w:rsid w:val="006E26AE"/>
    <w:rsid w:val="006F33DE"/>
    <w:rsid w:val="007020CA"/>
    <w:rsid w:val="00703D38"/>
    <w:rsid w:val="00714F6F"/>
    <w:rsid w:val="00716747"/>
    <w:rsid w:val="00716815"/>
    <w:rsid w:val="00720D57"/>
    <w:rsid w:val="00724E8D"/>
    <w:rsid w:val="0075224F"/>
    <w:rsid w:val="00763304"/>
    <w:rsid w:val="007666DF"/>
    <w:rsid w:val="007952F5"/>
    <w:rsid w:val="007A0B17"/>
    <w:rsid w:val="007B4A57"/>
    <w:rsid w:val="007B7295"/>
    <w:rsid w:val="007C0711"/>
    <w:rsid w:val="007C53FC"/>
    <w:rsid w:val="007C59F9"/>
    <w:rsid w:val="007E3DC1"/>
    <w:rsid w:val="007F0F05"/>
    <w:rsid w:val="00802190"/>
    <w:rsid w:val="00802A06"/>
    <w:rsid w:val="0081592C"/>
    <w:rsid w:val="00821F7B"/>
    <w:rsid w:val="008235F0"/>
    <w:rsid w:val="0084651A"/>
    <w:rsid w:val="00860199"/>
    <w:rsid w:val="00870DC9"/>
    <w:rsid w:val="00880278"/>
    <w:rsid w:val="00884412"/>
    <w:rsid w:val="008A0FB6"/>
    <w:rsid w:val="008A42DE"/>
    <w:rsid w:val="008A5E1E"/>
    <w:rsid w:val="008B00B1"/>
    <w:rsid w:val="008B03CF"/>
    <w:rsid w:val="008B41F3"/>
    <w:rsid w:val="008F0F7D"/>
    <w:rsid w:val="00902436"/>
    <w:rsid w:val="00915234"/>
    <w:rsid w:val="00916E64"/>
    <w:rsid w:val="00923F88"/>
    <w:rsid w:val="00924899"/>
    <w:rsid w:val="00933297"/>
    <w:rsid w:val="00964DE7"/>
    <w:rsid w:val="009825A3"/>
    <w:rsid w:val="00983A54"/>
    <w:rsid w:val="0099073D"/>
    <w:rsid w:val="0099435F"/>
    <w:rsid w:val="00996DA0"/>
    <w:rsid w:val="009A3C47"/>
    <w:rsid w:val="009A601B"/>
    <w:rsid w:val="009D129F"/>
    <w:rsid w:val="009D178E"/>
    <w:rsid w:val="009D22A7"/>
    <w:rsid w:val="009E098F"/>
    <w:rsid w:val="009E6E78"/>
    <w:rsid w:val="009F161E"/>
    <w:rsid w:val="009F311E"/>
    <w:rsid w:val="00A01420"/>
    <w:rsid w:val="00A108DD"/>
    <w:rsid w:val="00A22EBA"/>
    <w:rsid w:val="00A40F35"/>
    <w:rsid w:val="00A432E2"/>
    <w:rsid w:val="00A43376"/>
    <w:rsid w:val="00A447FD"/>
    <w:rsid w:val="00A47F27"/>
    <w:rsid w:val="00A67F26"/>
    <w:rsid w:val="00A73B53"/>
    <w:rsid w:val="00A82AD8"/>
    <w:rsid w:val="00A8787D"/>
    <w:rsid w:val="00A87D34"/>
    <w:rsid w:val="00A97C42"/>
    <w:rsid w:val="00AA08C3"/>
    <w:rsid w:val="00AA226A"/>
    <w:rsid w:val="00AA31B3"/>
    <w:rsid w:val="00AB2011"/>
    <w:rsid w:val="00AB3E64"/>
    <w:rsid w:val="00AC0BB4"/>
    <w:rsid w:val="00B0317F"/>
    <w:rsid w:val="00B04357"/>
    <w:rsid w:val="00B24A33"/>
    <w:rsid w:val="00B36DE2"/>
    <w:rsid w:val="00B56B09"/>
    <w:rsid w:val="00B57D96"/>
    <w:rsid w:val="00B7307A"/>
    <w:rsid w:val="00B77BFB"/>
    <w:rsid w:val="00B77E49"/>
    <w:rsid w:val="00B85546"/>
    <w:rsid w:val="00B85981"/>
    <w:rsid w:val="00B87032"/>
    <w:rsid w:val="00B92FD1"/>
    <w:rsid w:val="00B968CC"/>
    <w:rsid w:val="00BA1F94"/>
    <w:rsid w:val="00BA5370"/>
    <w:rsid w:val="00BC28F2"/>
    <w:rsid w:val="00BC6F5E"/>
    <w:rsid w:val="00BC781A"/>
    <w:rsid w:val="00BD229E"/>
    <w:rsid w:val="00BE6274"/>
    <w:rsid w:val="00BF19AB"/>
    <w:rsid w:val="00BF64DD"/>
    <w:rsid w:val="00C05AC4"/>
    <w:rsid w:val="00C061A6"/>
    <w:rsid w:val="00C12FC6"/>
    <w:rsid w:val="00C1367E"/>
    <w:rsid w:val="00C30B7B"/>
    <w:rsid w:val="00C34436"/>
    <w:rsid w:val="00C42738"/>
    <w:rsid w:val="00C5162C"/>
    <w:rsid w:val="00C56908"/>
    <w:rsid w:val="00C66B1D"/>
    <w:rsid w:val="00C86BDE"/>
    <w:rsid w:val="00C925C7"/>
    <w:rsid w:val="00C9595C"/>
    <w:rsid w:val="00CA2809"/>
    <w:rsid w:val="00CA3287"/>
    <w:rsid w:val="00CB50FF"/>
    <w:rsid w:val="00CE6C3F"/>
    <w:rsid w:val="00CF11A1"/>
    <w:rsid w:val="00D14593"/>
    <w:rsid w:val="00D343B2"/>
    <w:rsid w:val="00D37B62"/>
    <w:rsid w:val="00D45C54"/>
    <w:rsid w:val="00D75D54"/>
    <w:rsid w:val="00D7692D"/>
    <w:rsid w:val="00D8503E"/>
    <w:rsid w:val="00D9239D"/>
    <w:rsid w:val="00D934F0"/>
    <w:rsid w:val="00D94708"/>
    <w:rsid w:val="00DB0C17"/>
    <w:rsid w:val="00DB287D"/>
    <w:rsid w:val="00DB7797"/>
    <w:rsid w:val="00DD04F4"/>
    <w:rsid w:val="00DE193B"/>
    <w:rsid w:val="00DE43FF"/>
    <w:rsid w:val="00E15CB7"/>
    <w:rsid w:val="00E260D2"/>
    <w:rsid w:val="00E70A06"/>
    <w:rsid w:val="00E70C92"/>
    <w:rsid w:val="00E939CA"/>
    <w:rsid w:val="00E93C31"/>
    <w:rsid w:val="00EA061D"/>
    <w:rsid w:val="00EA50F5"/>
    <w:rsid w:val="00EB0207"/>
    <w:rsid w:val="00ED0C3A"/>
    <w:rsid w:val="00EE0ABC"/>
    <w:rsid w:val="00F10092"/>
    <w:rsid w:val="00F248EB"/>
    <w:rsid w:val="00F3233A"/>
    <w:rsid w:val="00F37C97"/>
    <w:rsid w:val="00F46652"/>
    <w:rsid w:val="00F53D0B"/>
    <w:rsid w:val="00F57C02"/>
    <w:rsid w:val="00F81339"/>
    <w:rsid w:val="00F84566"/>
    <w:rsid w:val="00F85AD9"/>
    <w:rsid w:val="00F961EF"/>
    <w:rsid w:val="00FD13CA"/>
    <w:rsid w:val="00FF33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014"/>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 w:type="paragraph" w:styleId="NormalWeb">
    <w:name w:val="Normal (Web)"/>
    <w:basedOn w:val="Normal"/>
    <w:uiPriority w:val="99"/>
    <w:semiHidden/>
    <w:unhideWhenUsed/>
    <w:rsid w:val="002A79C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2A79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2644</Words>
  <Characters>15050</Characters>
  <Application>Microsoft Office Word</Application>
  <DocSecurity>0</DocSecurity>
  <Lines>283</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8</cp:revision>
  <cp:lastPrinted>2025-10-14T13:26:00Z</cp:lastPrinted>
  <dcterms:created xsi:type="dcterms:W3CDTF">2025-11-23T21:38:00Z</dcterms:created>
  <dcterms:modified xsi:type="dcterms:W3CDTF">2025-11-23T21:49:00Z</dcterms:modified>
</cp:coreProperties>
</file>