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CEB48FD"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xml:space="preserve">. </w:t>
      </w:r>
      <w:r w:rsidR="00C12FC6">
        <w:rPr>
          <w:rFonts w:ascii="Source Serif Pro" w:hAnsi="Source Serif Pro"/>
          <w:b/>
          <w:bCs/>
          <w:sz w:val="26"/>
          <w:szCs w:val="28"/>
        </w:rPr>
        <w:t>Desembargador Presidente</w:t>
      </w:r>
    </w:p>
    <w:p w14:paraId="0BE51421" w14:textId="03DD2288" w:rsidR="00B968CC" w:rsidRPr="00B24A33" w:rsidRDefault="00CF11A1" w:rsidP="00AB2011">
      <w:pPr>
        <w:spacing w:after="0" w:line="240" w:lineRule="auto"/>
        <w:rPr>
          <w:rFonts w:ascii="Source Serif Pro" w:hAnsi="Source Serif Pro"/>
          <w:i/>
          <w:iCs/>
          <w:sz w:val="22"/>
          <w:szCs w:val="22"/>
        </w:rPr>
      </w:pPr>
      <w:r>
        <w:rPr>
          <w:rFonts w:ascii="Source Serif Pro" w:hAnsi="Source Serif Pro"/>
          <w:i/>
          <w:iCs/>
          <w:sz w:val="22"/>
          <w:szCs w:val="22"/>
        </w:rPr>
        <w:t>Tribunal de Justiça do Estado de....</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41C34F6F" w14:textId="07A5689F" w:rsidR="00DB7797" w:rsidRPr="00B24A33" w:rsidRDefault="00DB7797" w:rsidP="00DB7797">
      <w:pPr>
        <w:spacing w:before="40" w:after="0"/>
        <w:rPr>
          <w:rFonts w:ascii="Source Serif Pro" w:hAnsi="Source Serif Pro" w:cs="Segoe UI"/>
          <w:sz w:val="18"/>
          <w:szCs w:val="18"/>
        </w:rPr>
      </w:pP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05A07158" w:rsidR="00B57D96" w:rsidRPr="00B24A33" w:rsidRDefault="00CF11A1" w:rsidP="009D129F">
      <w:pPr>
        <w:spacing w:before="120" w:after="240" w:line="312" w:lineRule="auto"/>
        <w:ind w:firstLine="567"/>
        <w:jc w:val="both"/>
        <w:rPr>
          <w:rFonts w:ascii="Source Serif Pro" w:hAnsi="Source Serif Pro"/>
        </w:rPr>
      </w:pPr>
      <w:r>
        <w:rPr>
          <w:rFonts w:ascii="Source Serif Pro" w:hAnsi="Source Serif Pro"/>
          <w:smallCaps/>
        </w:rPr>
        <w:t>[</w:t>
      </w:r>
      <w:r w:rsidRPr="00CF11A1">
        <w:rPr>
          <w:rFonts w:ascii="Source Serif Pro" w:hAnsi="Source Serif Pro"/>
          <w:smallCaps/>
          <w:shd w:val="clear" w:color="auto" w:fill="FAFBBD"/>
        </w:rPr>
        <w:t>NOME DO ADVOGADO</w:t>
      </w:r>
      <w:r>
        <w:rPr>
          <w:rFonts w:ascii="Source Serif Pro" w:hAnsi="Source Serif Pro"/>
          <w:smallCaps/>
        </w:rPr>
        <w:t>]</w:t>
      </w:r>
      <w:r w:rsidRPr="00CF11A1">
        <w:rPr>
          <w:rFonts w:ascii="Source Serif Pro" w:hAnsi="Source Serif Pro"/>
          <w:smallCaps/>
        </w:rPr>
        <w:t xml:space="preserve">, </w:t>
      </w:r>
      <w:r w:rsidRPr="00CF11A1">
        <w:rPr>
          <w:rFonts w:ascii="Source Serif Pro" w:hAnsi="Source Serif Pro"/>
        </w:rPr>
        <w:t>brasileiro, advogado devidamente inscrito na Ordem dos Advogados do Brasil, seccional estado, sob o nº ......, vêm, respeitosamente, perante Vossa Excelência, impetrar a presente ordem de</w:t>
      </w:r>
    </w:p>
    <w:p w14:paraId="2CD2B9C5" w14:textId="47319D93" w:rsidR="00B57D96" w:rsidRPr="007A0B17" w:rsidRDefault="00CF11A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 xml:space="preserve">HABEAS CORPUS </w:t>
      </w:r>
      <w:r w:rsidR="003B706F">
        <w:rPr>
          <w:rFonts w:ascii="Georgia" w:hAnsi="Georgia"/>
          <w:b/>
          <w:bCs/>
          <w:sz w:val="32"/>
          <w:szCs w:val="32"/>
        </w:rPr>
        <w:t>COM PEDIDO LIMINAR</w:t>
      </w:r>
    </w:p>
    <w:p w14:paraId="46AE4AF2" w14:textId="47158105" w:rsidR="00EE0ABC" w:rsidRDefault="00CF11A1" w:rsidP="009D129F">
      <w:pPr>
        <w:spacing w:before="240" w:after="120" w:line="312" w:lineRule="auto"/>
        <w:ind w:firstLine="567"/>
        <w:jc w:val="both"/>
        <w:rPr>
          <w:rFonts w:ascii="Source Serif Pro" w:hAnsi="Source Serif Pro"/>
        </w:rPr>
      </w:pPr>
      <w:r w:rsidRPr="00CF11A1">
        <w:rPr>
          <w:rFonts w:ascii="Source Serif Pro" w:hAnsi="Source Serif Pro"/>
        </w:rPr>
        <w:t xml:space="preserve">nos termos do art. 5º, LXVIII, da Constituição Federal, e artigos 647 e 648, inciso I, do Código de Processo Penal, em favor de </w:t>
      </w:r>
      <w:r>
        <w:rPr>
          <w:rFonts w:ascii="Source Serif Pro" w:hAnsi="Source Serif Pro"/>
        </w:rPr>
        <w:t>[</w:t>
      </w:r>
      <w:r w:rsidRPr="00CF11A1">
        <w:rPr>
          <w:rFonts w:ascii="Source Serif Pro" w:hAnsi="Source Serif Pro"/>
          <w:b/>
          <w:bCs/>
          <w:shd w:val="clear" w:color="auto" w:fill="FAFBBD"/>
        </w:rPr>
        <w:t>NOME DO CLIENTE e qualificação completa</w:t>
      </w:r>
      <w:r>
        <w:rPr>
          <w:rFonts w:ascii="Source Serif Pro" w:hAnsi="Source Serif Pro"/>
        </w:rPr>
        <w:t>]</w:t>
      </w:r>
      <w:r w:rsidRPr="00CF11A1">
        <w:rPr>
          <w:rFonts w:ascii="Source Serif Pro" w:hAnsi="Source Serif Pro"/>
        </w:rPr>
        <w:t>, atualmente recolhido no presídio......, por ato ilegal praticado pelo juízo da ...... Vara Criminal,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31B653F0" w14:textId="77777777" w:rsidR="00C641D3" w:rsidRDefault="00C641D3" w:rsidP="00C641D3">
      <w:pPr>
        <w:pStyle w:val="SemEspaamento"/>
      </w:pPr>
      <w:r>
        <w:t>O paciente responde a ação penal na qual, não tendo sido encontrado para citação pessoal, acabou sendo citado por edital, prosseguindo o feito à sua revelia. Com base apenas nessa circunstância formal – citação ficta e ausência de comparecimento espontâneo em juízo –, o magistrado de primeiro grau entendeu presente suposto risco de frustração da aplicação da lei penal e, a partir daí, decretou a prisão preventiva, sob o argumento de garantir a aplicação da lei e evitar uma alegada fuga, sem apontar qualquer elemento concreto adicional nesse sentido.</w:t>
      </w:r>
    </w:p>
    <w:p w14:paraId="4AC81B84" w14:textId="77777777" w:rsidR="00C641D3" w:rsidRDefault="00C641D3" w:rsidP="00C641D3">
      <w:pPr>
        <w:pStyle w:val="SemEspaamento"/>
      </w:pPr>
      <w:r>
        <w:t xml:space="preserve">Da leitura da decisão que decretou a custódia, verifica-se que não há demonstração de que o paciente tivesse ciência efetiva da ação penal ou de qualquer ato processual e, mesmo assim, tenha deliberadamente se ocultado ou evadido com o objetivo de impedir o andamento do processo. A condição de “local incerto e não sabido” foi tratada, de forma automática, como sinônimo de fuga, sem que conste </w:t>
      </w:r>
      <w:r>
        <w:lastRenderedPageBreak/>
        <w:t>dos autos mudança dolosa de endereço, rompimento de vínculos, uso de documentos falsos, ameaças a atores processuais ou qualquer outro dado objetivo que indique comportamento voltado à evasão.</w:t>
      </w:r>
    </w:p>
    <w:p w14:paraId="2DA54DAD" w14:textId="6839B36C" w:rsidR="004E1F61" w:rsidRDefault="00C641D3" w:rsidP="00C641D3">
      <w:pPr>
        <w:pStyle w:val="SemEspaamento"/>
      </w:pPr>
      <w:r>
        <w:t>Além disso, em nenhum momento o juízo de origem realizou análise concreta sobre a possibilidade de aplicação de medidas cautelares diversas da prisão, limitando-se a decretar a custódia extrema sem antes cogitar alternativas menos gravosas previstas no art. 319 do CPP, como comparecimento periódico em juízo, proibição de ausentar-se da comarca, monitoração eletrônica ou outras equivalentes. Assim, o paciente encontra-se atualmente preso preventivamente com base em mera presunção de fuga derivada da citação por edital, sem prova de ciência e sem exame da suficiência das cautelares alternativas, quadro fático que enseja a impetração do presente habeas corpus.</w:t>
      </w:r>
    </w:p>
    <w:p w14:paraId="1D445A7D" w14:textId="77777777" w:rsidR="00A22EBA" w:rsidRDefault="00A22EBA" w:rsidP="00A22EBA">
      <w:pPr>
        <w:pStyle w:val="SemEspaamento"/>
      </w:pPr>
    </w:p>
    <w:p w14:paraId="5087947A" w14:textId="18A2A0BD" w:rsidR="002D3115" w:rsidRDefault="00124E1C" w:rsidP="002D3115">
      <w:pPr>
        <w:pStyle w:val="Ttulo1"/>
        <w:spacing w:before="0" w:after="0" w:line="240" w:lineRule="auto"/>
      </w:pPr>
      <w:r>
        <w:t>AUSÊNCIA DE REQUISITOS AUTORIZADORES</w:t>
      </w:r>
    </w:p>
    <w:p w14:paraId="7C57FDD5" w14:textId="3DFBAECA" w:rsidR="002D3115" w:rsidRPr="00547988" w:rsidRDefault="00046C0F" w:rsidP="0044781C">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Não localização não se confunde com fuga – STJ </w:t>
      </w:r>
      <w:proofErr w:type="spellStart"/>
      <w:r w:rsidRPr="000765C6">
        <w:rPr>
          <w:rFonts w:ascii="Source Sans Pro" w:hAnsi="Source Sans Pro"/>
          <w:i/>
          <w:iCs/>
          <w:shd w:val="clear" w:color="auto" w:fill="FFFFFF" w:themeFill="background1"/>
        </w:rPr>
        <w:t>AgRg</w:t>
      </w:r>
      <w:proofErr w:type="spellEnd"/>
      <w:r w:rsidRPr="000765C6">
        <w:rPr>
          <w:rFonts w:ascii="Source Sans Pro" w:hAnsi="Source Sans Pro"/>
          <w:i/>
          <w:iCs/>
          <w:shd w:val="clear" w:color="auto" w:fill="FFFFFF" w:themeFill="background1"/>
        </w:rPr>
        <w:t xml:space="preserve"> no HC n. 971.185/SP</w:t>
      </w:r>
    </w:p>
    <w:p w14:paraId="7376C321" w14:textId="77777777" w:rsidR="00046C0F" w:rsidRPr="00046C0F" w:rsidRDefault="00046C0F" w:rsidP="00046C0F">
      <w:pPr>
        <w:pStyle w:val="SemEspaamento"/>
      </w:pPr>
      <w:r w:rsidRPr="00046C0F">
        <w:t xml:space="preserve">A prisão preventiva, por se tratar da medida cautelar mais gravosa no processo penal, somente pode ser decretada quando </w:t>
      </w:r>
      <w:r w:rsidRPr="00046C0F">
        <w:rPr>
          <w:b/>
          <w:bCs/>
        </w:rPr>
        <w:t>efetivamente demonstrados</w:t>
      </w:r>
      <w:r w:rsidRPr="00046C0F">
        <w:t>, com base em elementos concretos dos autos, os requisitos do art. 312 do Código de Processo Penal. No caso sob exame desta Egrégia Câmara Criminal, contudo, a custódia foi decretada exclusivamente pelo fato de o paciente ter sido citado por edital e não ter comparecido ao juízo, presumindo-se daí, de forma automática, um suposto risco de fuga ou de frustração da aplicação da lei penal – conclusão que não se sustenta à luz da legislação processual e da jurisprudência consolidada dos Tribunais Superiores.</w:t>
      </w:r>
    </w:p>
    <w:p w14:paraId="2E28CDEA" w14:textId="77777777" w:rsidR="00046C0F" w:rsidRPr="00046C0F" w:rsidRDefault="00046C0F" w:rsidP="00046C0F">
      <w:pPr>
        <w:pStyle w:val="SemEspaamento"/>
      </w:pPr>
      <w:r w:rsidRPr="00046C0F">
        <w:t xml:space="preserve">A simples não localização do paciente para citação pessoal, seguida da citação ficta por edital, </w:t>
      </w:r>
      <w:r w:rsidRPr="00046C0F">
        <w:rPr>
          <w:b/>
          <w:bCs/>
        </w:rPr>
        <w:t>não é suficiente</w:t>
      </w:r>
      <w:r w:rsidRPr="00046C0F">
        <w:t xml:space="preserve">, por si só, para caracterizar fuga ou intenção deliberada de se furtar ao cumprimento da lei penal. Para que se possa rotular alguém como “foragido”, é necessário demonstrar, de maneira objetiva, que o acusado tinha ciência da persecução penal e, ainda assim, evadiu-se ou ocultou-se com o propósito de impedir o regular andamento do processo. A suposição genérica de que quem </w:t>
      </w:r>
      <w:r w:rsidRPr="00046C0F">
        <w:lastRenderedPageBreak/>
        <w:t>não foi encontrado estaria fugindo contraria o princípio da presunção de inocência e inverte, indevidamente, o ônus argumentativo que recai sobre o Estado-acusador.</w:t>
      </w:r>
    </w:p>
    <w:p w14:paraId="6E704679" w14:textId="77777777" w:rsidR="00046C0F" w:rsidRPr="00046C0F" w:rsidRDefault="00046C0F" w:rsidP="00046C0F">
      <w:pPr>
        <w:pStyle w:val="SemEspaamento"/>
      </w:pPr>
      <w:r w:rsidRPr="00046C0F">
        <w:t xml:space="preserve">Cumpre destacar que a citação por edital é, por natureza, </w:t>
      </w:r>
      <w:r w:rsidRPr="00046C0F">
        <w:rPr>
          <w:b/>
          <w:bCs/>
        </w:rPr>
        <w:t>citação ficta</w:t>
      </w:r>
      <w:r w:rsidRPr="00046C0F">
        <w:t>, justamente porque não há certeza de que o paciente tenha tido conhecimento real da ação penal em curso. Não é juridicamente aceitável transformar essa presunção de ciência em fundamento para prisão preventiva, sob o argumento de que o paciente se encontra em “local incerto e não sabido”. Se o próprio ordenamento processual reconhece que o edital não garante ciência efetiva, não se pode utilizar essa mesma citação ficta como prova de que o paciente deliberadamente se furtou ao chamamento judicial.</w:t>
      </w:r>
    </w:p>
    <w:p w14:paraId="644C8033" w14:textId="77777777" w:rsidR="00046C0F" w:rsidRPr="00046C0F" w:rsidRDefault="00046C0F" w:rsidP="00046C0F">
      <w:pPr>
        <w:pStyle w:val="SemEspaamento"/>
      </w:pPr>
      <w:r w:rsidRPr="00046C0F">
        <w:t xml:space="preserve">A jurisprudência do Superior Tribunal de Justiça é firme ao assentar que a </w:t>
      </w:r>
      <w:r w:rsidRPr="00046C0F">
        <w:rPr>
          <w:b/>
          <w:bCs/>
        </w:rPr>
        <w:t>não localização do réu não se confunde com fuga</w:t>
      </w:r>
      <w:r w:rsidRPr="00046C0F">
        <w:t xml:space="preserve">, de modo que o simples fato de ele ter sido citado por edital não autoriza, automaticamente, a decretação da prisão preventiva para garantia da aplicação da lei penal. Em diversos precedentes, a Corte tem decidido que a condição formal de “não localizado” não é suficiente para caracterizar periculum </w:t>
      </w:r>
      <w:proofErr w:type="spellStart"/>
      <w:r w:rsidRPr="00046C0F">
        <w:t>libertatis</w:t>
      </w:r>
      <w:proofErr w:type="spellEnd"/>
      <w:r w:rsidRPr="00046C0F">
        <w:t>, sendo indispensável que a decisão demonstre, com base em dados concretos, comportamento voltado à evasão ou obstrução do processo.</w:t>
      </w:r>
    </w:p>
    <w:p w14:paraId="3DBE9751" w14:textId="77777777" w:rsidR="00046C0F" w:rsidRDefault="00046C0F" w:rsidP="00046C0F">
      <w:pPr>
        <w:pStyle w:val="SemEspaamento"/>
        <w:pBdr>
          <w:bottom w:val="single" w:sz="4" w:space="1" w:color="auto"/>
        </w:pBdr>
        <w:spacing w:before="60" w:after="60" w:line="240" w:lineRule="auto"/>
        <w:ind w:left="2268" w:firstLine="0"/>
      </w:pPr>
      <w:bookmarkStart w:id="0" w:name="_Hlk214458189"/>
      <w:r w:rsidRPr="00ED0C3A">
        <w:rPr>
          <w:b/>
          <w:bCs/>
          <w:sz w:val="36"/>
          <w:szCs w:val="36"/>
        </w:rPr>
        <w:t>STJ</w:t>
      </w:r>
      <w:r>
        <w:t xml:space="preserve"> </w:t>
      </w:r>
      <w:r w:rsidRPr="00ED0C3A">
        <w:rPr>
          <w:color w:val="808080" w:themeColor="background1" w:themeShade="80"/>
        </w:rPr>
        <w:t xml:space="preserve">– </w:t>
      </w:r>
      <w:bookmarkEnd w:id="0"/>
      <w:proofErr w:type="spellStart"/>
      <w:r w:rsidRPr="000765C6">
        <w:rPr>
          <w:color w:val="808080" w:themeColor="background1" w:themeShade="80"/>
        </w:rPr>
        <w:t>AgRg</w:t>
      </w:r>
      <w:proofErr w:type="spellEnd"/>
      <w:r w:rsidRPr="000765C6">
        <w:rPr>
          <w:color w:val="808080" w:themeColor="background1" w:themeShade="80"/>
        </w:rPr>
        <w:t xml:space="preserve"> no HC n. 971.185/SP, rel. Min. Rogerio </w:t>
      </w:r>
      <w:proofErr w:type="spellStart"/>
      <w:r w:rsidRPr="000765C6">
        <w:rPr>
          <w:color w:val="808080" w:themeColor="background1" w:themeShade="80"/>
        </w:rPr>
        <w:t>Schietti</w:t>
      </w:r>
      <w:proofErr w:type="spellEnd"/>
      <w:r w:rsidRPr="000765C6">
        <w:rPr>
          <w:color w:val="808080" w:themeColor="background1" w:themeShade="80"/>
        </w:rPr>
        <w:t xml:space="preserve"> Cruz, 6ª Turma, julgado em 30/4/2025</w:t>
      </w:r>
      <w:r w:rsidRPr="00580B73">
        <w:rPr>
          <w:color w:val="808080" w:themeColor="background1" w:themeShade="80"/>
        </w:rPr>
        <w:t>.</w:t>
      </w:r>
    </w:p>
    <w:p w14:paraId="7483A74D" w14:textId="3DC1E8F9" w:rsidR="009E6E78" w:rsidRPr="00A67F26" w:rsidRDefault="00046C0F" w:rsidP="00AE660D">
      <w:pPr>
        <w:pStyle w:val="SemEspaamento"/>
        <w:spacing w:before="60" w:after="60" w:line="276" w:lineRule="auto"/>
        <w:ind w:left="2268" w:firstLine="0"/>
        <w:rPr>
          <w:i/>
          <w:iCs/>
        </w:rPr>
      </w:pPr>
      <w:r w:rsidRPr="000765C6">
        <w:rPr>
          <w:i/>
          <w:iCs/>
        </w:rPr>
        <w:t>A jurisprudência desta Corte Superior é firme ao assinalar que a simples não localização do réu para responder ao chamamento judicial ou o fato de ele encontrar-se em local incerto e não sabido não constitui motivação suficiente para o encarceramento provisório, quando dissociado de qualquer outro elemento real que indique a sua condição de foragido. Não cabe deduzir que, frustrada a notificação ou a citação editalícia no processo penal, o acusado estaria evadido. Precedentes.</w:t>
      </w:r>
    </w:p>
    <w:p w14:paraId="2CC42433" w14:textId="77777777" w:rsidR="00046C0F" w:rsidRPr="00046C0F" w:rsidRDefault="00046C0F" w:rsidP="00046C0F">
      <w:pPr>
        <w:pStyle w:val="SemEspaamento"/>
      </w:pPr>
      <w:r w:rsidRPr="00046C0F">
        <w:t xml:space="preserve">No caso concreto, não há nos autos qualquer demonstração de que o paciente tenha alterado dolosamente seu endereço para se ocultar, rompido vínculos com a comunidade, ameaçado partes ou testemunhas, ou praticado qualquer conduta </w:t>
      </w:r>
      <w:r w:rsidRPr="00046C0F">
        <w:lastRenderedPageBreak/>
        <w:t xml:space="preserve">direcionada a frustrar o andamento da ação penal. A decisão que decretou a prisão preventiva </w:t>
      </w:r>
      <w:r w:rsidRPr="00046C0F">
        <w:rPr>
          <w:b/>
          <w:bCs/>
        </w:rPr>
        <w:t>não aponta dado objetivo algum</w:t>
      </w:r>
      <w:r w:rsidRPr="00046C0F">
        <w:t xml:space="preserve"> nesse sentido; limita-se a afirmar que, como o paciente foi citado por edital e não compareceu, estaria “se furtando à aplicação da lei penal”, raciocínio meramente presumido e incompatível com a exigência de motivação concreta e individualizada.</w:t>
      </w:r>
    </w:p>
    <w:p w14:paraId="7BAD8C38" w14:textId="77777777" w:rsidR="00046C0F" w:rsidRPr="00046C0F" w:rsidRDefault="00046C0F" w:rsidP="00046C0F">
      <w:pPr>
        <w:pStyle w:val="SemEspaamento"/>
      </w:pPr>
      <w:r w:rsidRPr="00046C0F">
        <w:t xml:space="preserve">A decretação da prisão preventiva com fundamento na garantia da aplicação da lei penal – ou, mesmo, sob o rótulo de garantia da ordem pública – exige </w:t>
      </w:r>
      <w:r w:rsidRPr="00046C0F">
        <w:rPr>
          <w:b/>
          <w:bCs/>
        </w:rPr>
        <w:t>contemporaneidade e especificidade</w:t>
      </w:r>
      <w:r w:rsidRPr="00046C0F">
        <w:t>, isto é, fatos atuais que revelem risco real de fuga, de reiteração delitiva ou de perturbação grave do meio social. Nada disso foi demonstrado na hipótese. A decisão se valeu exclusivamente da condição formal de “não localizado”, tratando-a como sinônimo de periculosidade ou de evasão dolosa, quando, na realidade, se está diante de mera dificuldade procedimental de citação, que poderia ser enfrentada mediante novas diligências, requisição de dados cadastrais ou, em último caso, com medidas cautelares menos gravosas.</w:t>
      </w:r>
    </w:p>
    <w:p w14:paraId="4BE93C6D" w14:textId="77777777" w:rsidR="00046C0F" w:rsidRPr="00046C0F" w:rsidRDefault="00046C0F" w:rsidP="00046C0F">
      <w:pPr>
        <w:pStyle w:val="SemEspaamento"/>
      </w:pPr>
      <w:r w:rsidRPr="00046C0F">
        <w:t xml:space="preserve">Importa lembrar que o próprio sistema de medidas cautelares, delineado pelos </w:t>
      </w:r>
      <w:proofErr w:type="spellStart"/>
      <w:r w:rsidRPr="00046C0F">
        <w:t>arts</w:t>
      </w:r>
      <w:proofErr w:type="spellEnd"/>
      <w:r w:rsidRPr="00046C0F">
        <w:t xml:space="preserve">. 282 e 319 do CPP, oferece ao magistrado </w:t>
      </w:r>
      <w:r w:rsidRPr="00046C0F">
        <w:rPr>
          <w:b/>
          <w:bCs/>
        </w:rPr>
        <w:t>diversas alternativas</w:t>
      </w:r>
      <w:r w:rsidRPr="00046C0F">
        <w:t xml:space="preserve"> para assegurar o comparecimento do acusado aos atos processuais: comparecimento periódico em juízo, proibição de ausentar-se da comarca, monitoração eletrônica, fiança, dentre outras. A adoção direta e imediata da prisão preventiva, sem qualquer tentativa prévia de utilização dessas medidas e sem justificativa concreta sobre a ineficácia das cautelares alternativas, viola o caráter subsidiário e excepcional da custódia cautelar, desatendendo ao modelo de gradualidade imposto pela legislação.</w:t>
      </w:r>
    </w:p>
    <w:p w14:paraId="4DBFF3A5" w14:textId="77777777" w:rsidR="00046C0F" w:rsidRPr="00046C0F" w:rsidRDefault="00046C0F" w:rsidP="00046C0F">
      <w:pPr>
        <w:pStyle w:val="SemEspaamento"/>
      </w:pPr>
      <w:r w:rsidRPr="00046C0F">
        <w:t xml:space="preserve">Ao fundamentar a prisão exclusivamente em presunção de fuga derivada da citação por edital e do não comparecimento, a decisão impugnada também afronta o dever constitucional de </w:t>
      </w:r>
      <w:r w:rsidRPr="00046C0F">
        <w:rPr>
          <w:b/>
          <w:bCs/>
        </w:rPr>
        <w:t>motivação das decisões judiciais</w:t>
      </w:r>
      <w:r w:rsidRPr="00046C0F">
        <w:t xml:space="preserve"> (art. 93, IX, da Constituição Federal). A motivação não pode ser meramente aparente, apoiada em fórmulas genéricas ou em presunções desfavoráveis ao paciente; deve demonstrar, com base no contexto fático-probatório concreto, </w:t>
      </w:r>
      <w:proofErr w:type="gramStart"/>
      <w:r w:rsidRPr="00046C0F">
        <w:t>por que</w:t>
      </w:r>
      <w:proofErr w:type="gramEnd"/>
      <w:r w:rsidRPr="00046C0F">
        <w:t xml:space="preserve"> a liberdade do acusado representaria, de fato, perigo real e atual para a aplicação da lei ou para a regularidade do processo.</w:t>
      </w:r>
    </w:p>
    <w:p w14:paraId="57F2D6CF" w14:textId="77777777" w:rsidR="00046C0F" w:rsidRPr="00046C0F" w:rsidRDefault="00046C0F" w:rsidP="00046C0F">
      <w:pPr>
        <w:pStyle w:val="SemEspaamento"/>
      </w:pPr>
      <w:r w:rsidRPr="00046C0F">
        <w:lastRenderedPageBreak/>
        <w:t xml:space="preserve">Em síntese, a prisão preventiva decretada nesses moldes configura verdadeiro </w:t>
      </w:r>
      <w:r w:rsidRPr="00046C0F">
        <w:rPr>
          <w:b/>
          <w:bCs/>
        </w:rPr>
        <w:t>constrangimento ilegal</w:t>
      </w:r>
      <w:r w:rsidRPr="00046C0F">
        <w:t xml:space="preserve">, pois converte uma situação de simples não localização em fuga presumida e utiliza essa inferência inválida como justificativa para a medida extrema. À vista da ausência de elementos concretos que indiquem periculum </w:t>
      </w:r>
      <w:proofErr w:type="spellStart"/>
      <w:r w:rsidRPr="00046C0F">
        <w:t>libertatis</w:t>
      </w:r>
      <w:proofErr w:type="spellEnd"/>
      <w:r w:rsidRPr="00046C0F">
        <w:t xml:space="preserve"> e considerando o entendimento consolidado do STJ no sentido de que a mera citação por edital e a condição de “local incerto e não sabido” </w:t>
      </w:r>
      <w:r w:rsidRPr="00046C0F">
        <w:rPr>
          <w:b/>
          <w:bCs/>
        </w:rPr>
        <w:t>não legitimam o encarceramento cautelar</w:t>
      </w:r>
      <w:r w:rsidRPr="00046C0F">
        <w:t>, impõe-se reconhecer a ilegalidade da prisão do paciente e a consequente revogação da preventiva, com possibilidade, se reputado necessário, de substituição por medidas cautelares diversas da prisão.</w:t>
      </w:r>
    </w:p>
    <w:p w14:paraId="69F69299" w14:textId="77777777" w:rsidR="00371DDE" w:rsidRPr="00371DDE" w:rsidRDefault="00371DDE" w:rsidP="00371DDE">
      <w:pPr>
        <w:pStyle w:val="SemEspaamento"/>
      </w:pPr>
    </w:p>
    <w:p w14:paraId="48F16EFD" w14:textId="77777777" w:rsidR="00124E1C" w:rsidRDefault="00124E1C" w:rsidP="00124E1C">
      <w:pPr>
        <w:pStyle w:val="Ttulo1"/>
        <w:spacing w:before="0" w:after="0" w:line="240" w:lineRule="auto"/>
      </w:pPr>
      <w:r>
        <w:t xml:space="preserve">SUFICIÊNCIA DE MEDIDAS CAUTELARES DIVERSAS </w:t>
      </w:r>
    </w:p>
    <w:p w14:paraId="713BAC2F" w14:textId="77777777" w:rsidR="00124E1C" w:rsidRPr="00547988" w:rsidRDefault="00124E1C" w:rsidP="00124E1C">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Possibilidade de aplicação diante das condições pessoais favoráveis</w:t>
      </w:r>
    </w:p>
    <w:p w14:paraId="6024B095" w14:textId="77777777" w:rsidR="007F1CC4" w:rsidRPr="007F1CC4" w:rsidRDefault="007F1CC4" w:rsidP="007F1CC4">
      <w:pPr>
        <w:pStyle w:val="SemEspaamento"/>
      </w:pPr>
      <w:r w:rsidRPr="007F1CC4">
        <w:t xml:space="preserve">A prisão preventiva, em nosso sistema processual, possui caráter </w:t>
      </w:r>
      <w:r w:rsidRPr="007F1CC4">
        <w:rPr>
          <w:b/>
          <w:bCs/>
        </w:rPr>
        <w:t>absolutamente excepcional</w:t>
      </w:r>
      <w:r w:rsidRPr="007F1CC4">
        <w:t xml:space="preserve"> e somente deve ser aplicada quando as </w:t>
      </w:r>
      <w:r w:rsidRPr="007F1CC4">
        <w:rPr>
          <w:b/>
          <w:bCs/>
        </w:rPr>
        <w:t>medidas cautelares diversas da prisão</w:t>
      </w:r>
      <w:r w:rsidRPr="007F1CC4">
        <w:t xml:space="preserve">, previstas no art. 319 do Código de Processo Penal, se mostrarem concretamente insuficientes para assegurar os objetivos do processo penal. Cuida-se da medida mais gravosa à disposição do Estado-juiz, com nítido efeito de antecipação de pena e severa restrição ao direito fundamental de liberdade do paciente, razão pela qual sua imposição exige demonstração clara de que </w:t>
      </w:r>
      <w:r w:rsidRPr="007F1CC4">
        <w:rPr>
          <w:b/>
          <w:bCs/>
        </w:rPr>
        <w:t>nenhuma outra medida menos gravosa</w:t>
      </w:r>
      <w:r w:rsidRPr="007F1CC4">
        <w:t xml:space="preserve"> seria apta a garantir o regular andamento da ação penal.</w:t>
      </w:r>
    </w:p>
    <w:p w14:paraId="7A973A83" w14:textId="77777777" w:rsidR="007F1CC4" w:rsidRPr="007F1CC4" w:rsidRDefault="007F1CC4" w:rsidP="007F1CC4">
      <w:pPr>
        <w:pStyle w:val="SemEspaamento"/>
      </w:pPr>
      <w:r w:rsidRPr="007F1CC4">
        <w:t xml:space="preserve">Nos termos do art. 282, I e II, do CPP, as medidas cautelares devem ser aplicadas segundo os critérios de </w:t>
      </w:r>
      <w:r w:rsidRPr="007F1CC4">
        <w:rPr>
          <w:b/>
          <w:bCs/>
        </w:rPr>
        <w:t>necessidade e adequação</w:t>
      </w:r>
      <w:r w:rsidRPr="007F1CC4">
        <w:t xml:space="preserve">, de modo que o magistrado deve, sempre que possível, privilegiar providências menos restritivas, desde que suficientes para atender às finalidades cautelares. Assim, a prisão preventiva deve ser compreendida como </w:t>
      </w:r>
      <w:proofErr w:type="gramStart"/>
      <w:r w:rsidRPr="007F1CC4">
        <w:rPr>
          <w:b/>
          <w:bCs/>
        </w:rPr>
        <w:t>ultima</w:t>
      </w:r>
      <w:proofErr w:type="gramEnd"/>
      <w:r w:rsidRPr="007F1CC4">
        <w:rPr>
          <w:b/>
          <w:bCs/>
        </w:rPr>
        <w:t xml:space="preserve"> </w:t>
      </w:r>
      <w:proofErr w:type="spellStart"/>
      <w:r w:rsidRPr="007F1CC4">
        <w:rPr>
          <w:b/>
          <w:bCs/>
        </w:rPr>
        <w:t>ratio</w:t>
      </w:r>
      <w:proofErr w:type="spellEnd"/>
      <w:r w:rsidRPr="007F1CC4">
        <w:t>, somente admissível quando todas as alternativas previstas no art. 319 – como comparecimento periódico em juízo, proibição de ausentar-se da comarca, monitoração eletrônica, fiança, entre outras – forem, de forma expressa e motivada, reputadas inadequadas ou ineficazes.</w:t>
      </w:r>
    </w:p>
    <w:p w14:paraId="16ACB37F" w14:textId="77777777" w:rsidR="007F1CC4" w:rsidRPr="007F1CC4" w:rsidRDefault="007F1CC4" w:rsidP="007F1CC4">
      <w:pPr>
        <w:pStyle w:val="SemEspaamento"/>
      </w:pPr>
      <w:r w:rsidRPr="007F1CC4">
        <w:t xml:space="preserve">No caso concreto submetido à apreciação desta Egrégia Câmara Criminal, o paciente reúne </w:t>
      </w:r>
      <w:r w:rsidRPr="007F1CC4">
        <w:rPr>
          <w:b/>
          <w:bCs/>
        </w:rPr>
        <w:t>condições pessoais favoráveis</w:t>
      </w:r>
      <w:r w:rsidRPr="007F1CC4">
        <w:t xml:space="preserve"> que recomendam fortemente a </w:t>
      </w:r>
      <w:r w:rsidRPr="007F1CC4">
        <w:lastRenderedPageBreak/>
        <w:t>adoção de medidas cautelares diversas da prisão. Ele é primário, possui bons antecedentes, tem residência fixa e exerce atividade lícita, não havendo qualquer elemento concreto que autorize presumir periculosidade ou risco efetivo ao curso da persecução penal. A circunstância de ter sido citado por edital e não ter comparecido, por si só, não demonstra intenção deliberada de se furtar ao processo, e tampouco afasta a possibilidade de que, uma vez ciente da ação e submetido a cautelares, compareça regularmente aos atos judiciais.</w:t>
      </w:r>
    </w:p>
    <w:p w14:paraId="7A6EC502" w14:textId="77777777" w:rsidR="007F1CC4" w:rsidRPr="007F1CC4" w:rsidRDefault="007F1CC4" w:rsidP="007F1CC4">
      <w:pPr>
        <w:pStyle w:val="SemEspaamento"/>
      </w:pPr>
      <w:r w:rsidRPr="007F1CC4">
        <w:t xml:space="preserve">A jurisprudência do Superior Tribunal de Justiça é firme ao reconhecer que a </w:t>
      </w:r>
      <w:r w:rsidRPr="007F1CC4">
        <w:rPr>
          <w:b/>
          <w:bCs/>
        </w:rPr>
        <w:t>imposição da prisão preventiva exige demonstração concreta da ineficácia das medidas cautelares alternativas</w:t>
      </w:r>
      <w:r w:rsidRPr="007F1CC4">
        <w:t>, sob pena de ilegalidade. Não basta invocar fórmulas genéricas sobre risco à aplicação da lei penal ou suposta fuga; é imprescindível justificar, com base em dados objetivos, por que cautelares como comparecimento periódico em juízo, proibição de ausentar-se da comarca, monitoração eletrônica ou outras do art. 319 não seriam suficientes para assegurar o comparecimento do acusado e o regular desenvolvimento do processo.</w:t>
      </w:r>
    </w:p>
    <w:p w14:paraId="792C17E1" w14:textId="77777777" w:rsidR="00124E1C" w:rsidRDefault="00124E1C" w:rsidP="00124E1C">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proofErr w:type="spellStart"/>
      <w:r w:rsidRPr="00860199">
        <w:rPr>
          <w:color w:val="808080" w:themeColor="background1" w:themeShade="80"/>
        </w:rPr>
        <w:t>AgRg</w:t>
      </w:r>
      <w:proofErr w:type="spellEnd"/>
      <w:r w:rsidRPr="00860199">
        <w:rPr>
          <w:color w:val="808080" w:themeColor="background1" w:themeShade="80"/>
        </w:rPr>
        <w:t xml:space="preserve"> no RHC 194061 SC 2024/0059176-5, Relator.: Min</w:t>
      </w:r>
      <w:r>
        <w:rPr>
          <w:color w:val="808080" w:themeColor="background1" w:themeShade="80"/>
        </w:rPr>
        <w:t>.</w:t>
      </w:r>
      <w:r w:rsidRPr="00860199">
        <w:rPr>
          <w:color w:val="808080" w:themeColor="background1" w:themeShade="80"/>
        </w:rPr>
        <w:t xml:space="preserve"> Ribeiro Dantas, </w:t>
      </w:r>
      <w:proofErr w:type="spellStart"/>
      <w:r w:rsidRPr="00860199">
        <w:rPr>
          <w:color w:val="808080" w:themeColor="background1" w:themeShade="80"/>
        </w:rPr>
        <w:t>DJ</w:t>
      </w:r>
      <w:r>
        <w:rPr>
          <w:color w:val="808080" w:themeColor="background1" w:themeShade="80"/>
        </w:rPr>
        <w:t>e</w:t>
      </w:r>
      <w:proofErr w:type="spellEnd"/>
      <w:r w:rsidRPr="00860199">
        <w:rPr>
          <w:color w:val="808080" w:themeColor="background1" w:themeShade="80"/>
        </w:rPr>
        <w:t xml:space="preserve"> 27/05/2024</w:t>
      </w:r>
      <w:r w:rsidRPr="00580B73">
        <w:rPr>
          <w:color w:val="808080" w:themeColor="background1" w:themeShade="80"/>
        </w:rPr>
        <w:t>.</w:t>
      </w:r>
    </w:p>
    <w:p w14:paraId="396CF093" w14:textId="2B9D1E2E" w:rsidR="00124E1C" w:rsidRPr="00124E1C" w:rsidRDefault="00124E1C" w:rsidP="00124E1C">
      <w:pPr>
        <w:pStyle w:val="SemEspaamento"/>
        <w:spacing w:before="60" w:after="60" w:line="276" w:lineRule="auto"/>
        <w:ind w:left="2268" w:firstLine="0"/>
        <w:rPr>
          <w:i/>
          <w:iCs/>
        </w:rPr>
      </w:pPr>
      <w:r w:rsidRPr="00860199">
        <w:rPr>
          <w:i/>
          <w:iCs/>
        </w:rPr>
        <w:t>Por ser medida excepcional, que relativiza, em caráter de urgência, direito individual à liberdade de locomoção, a prisão preventiva somente poderá ser decretada quando não se mostrar viável, dadas as circunstâncias do caso concreto, o deferimento das medidas cautelares alternativas disciplinadas no art. 319 da norma processual penal. 3. No caso, a despeito da gravidade e elevada reprovabilidade das condutas atribuídas ao agravado, não houve por parte das instâncias ordinárias demonstração concreta da insuficiência das medidas cautelares alternativas para a consecução dos objetivos traçados pelo art. 282, inciso I, do CPP, pelo que não evidenciada a imprescindibilidade da medida extrema da prisão.</w:t>
      </w:r>
    </w:p>
    <w:p w14:paraId="7B38B689" w14:textId="68E33319" w:rsidR="00371DDE" w:rsidRDefault="007F1CC4" w:rsidP="002A79CB">
      <w:pPr>
        <w:pStyle w:val="SemEspaamento"/>
      </w:pPr>
      <w:r w:rsidRPr="007F1CC4">
        <w:t xml:space="preserve">Dessa forma, diante da </w:t>
      </w:r>
      <w:r w:rsidRPr="007F1CC4">
        <w:rPr>
          <w:b/>
          <w:bCs/>
        </w:rPr>
        <w:t>ausência de qualquer elemento concreto</w:t>
      </w:r>
      <w:r w:rsidRPr="007F1CC4">
        <w:t xml:space="preserve"> que demonstre a ineficácia das medidas cautelares diversas da prisão, somada às condições subjetivas favoráveis do paciente, revela-se manifesta a </w:t>
      </w:r>
      <w:r w:rsidRPr="007F1CC4">
        <w:rPr>
          <w:b/>
          <w:bCs/>
        </w:rPr>
        <w:t>desproporcionalidade</w:t>
      </w:r>
      <w:r w:rsidRPr="007F1CC4">
        <w:t xml:space="preserve"> da manutenção da custódia extrema. Impõe-se, portanto, a revogação da prisão </w:t>
      </w:r>
      <w:r w:rsidRPr="007F1CC4">
        <w:lastRenderedPageBreak/>
        <w:t>preventiva, com sua substituição por medidas cautelares suficientes e adequadas aos fins do processo penal, nos moldes do art. 319 do CPP, solução que harmoniza a tutela do processo com a preservação do direito fundamental à liberdade.</w:t>
      </w:r>
    </w:p>
    <w:p w14:paraId="599104B8" w14:textId="77777777" w:rsidR="00371DDE" w:rsidRPr="002C7BE1" w:rsidRDefault="00371DDE" w:rsidP="002A79CB">
      <w:pPr>
        <w:pStyle w:val="SemEspaamento"/>
      </w:pPr>
    </w:p>
    <w:p w14:paraId="37FB3C55" w14:textId="3C9F6237" w:rsidR="00435014" w:rsidRDefault="00435014" w:rsidP="00435014">
      <w:pPr>
        <w:pStyle w:val="Ttulo1"/>
        <w:spacing w:before="0" w:after="0" w:line="240" w:lineRule="auto"/>
      </w:pPr>
      <w:bookmarkStart w:id="1" w:name="_Hlk214783665"/>
      <w:r>
        <w:t>NECESSIDADE DE CONCESSÃO DA LIMINAR</w:t>
      </w:r>
      <w:r>
        <w:t xml:space="preserve"> </w:t>
      </w:r>
    </w:p>
    <w:p w14:paraId="3C464D24" w14:textId="22336EA6"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Presença dos requisitos autorizadores </w:t>
      </w:r>
    </w:p>
    <w:p w14:paraId="72BC7D2B" w14:textId="77777777" w:rsidR="007F1CC4" w:rsidRPr="007F1CC4" w:rsidRDefault="007F1CC4" w:rsidP="007F1CC4">
      <w:pPr>
        <w:pStyle w:val="SemEspaamento"/>
        <w:rPr>
          <w:rFonts w:cstheme="minorHAnsi"/>
          <w:bCs/>
        </w:rPr>
      </w:pPr>
      <w:r w:rsidRPr="007F1CC4">
        <w:rPr>
          <w:rFonts w:cstheme="minorHAnsi"/>
          <w:bCs/>
        </w:rPr>
        <w:t xml:space="preserve">A presença do </w:t>
      </w:r>
      <w:r w:rsidRPr="007F1CC4">
        <w:rPr>
          <w:rFonts w:cstheme="minorHAnsi"/>
          <w:b/>
          <w:bCs/>
        </w:rPr>
        <w:t>fumus boni iuris</w:t>
      </w:r>
      <w:r w:rsidRPr="007F1CC4">
        <w:rPr>
          <w:rFonts w:cstheme="minorHAnsi"/>
          <w:bCs/>
        </w:rPr>
        <w:t xml:space="preserve"> salta aos olhos no caso em exame. A decisão que decretou a prisão preventiva do paciente ancorou-se, em essência, no fato de ele ter sido citado por edital e não ter comparecido a juízo, presumindo daí um suposto risco de fuga e de frustração da aplicação da lei penal, sem qualquer demonstração concreta de que tivesse ciência efetiva da ação penal ou de que tenha deliberadamente se ocultado. Ao mesmo tempo, o decisum não analisa, nem afasta, a suficiência de medidas cautelares diversas da prisão, em manifesta violação aos </w:t>
      </w:r>
      <w:proofErr w:type="spellStart"/>
      <w:r w:rsidRPr="007F1CC4">
        <w:rPr>
          <w:rFonts w:cstheme="minorHAnsi"/>
          <w:bCs/>
        </w:rPr>
        <w:t>arts</w:t>
      </w:r>
      <w:proofErr w:type="spellEnd"/>
      <w:r w:rsidRPr="007F1CC4">
        <w:rPr>
          <w:rFonts w:cstheme="minorHAnsi"/>
          <w:bCs/>
        </w:rPr>
        <w:t>. 282 e 319 do CPP e à jurisprudência do STJ, que exige motivação específica sobre a inadequação das cautelares alternativas.</w:t>
      </w:r>
    </w:p>
    <w:p w14:paraId="441AC95D" w14:textId="77777777" w:rsidR="007F1CC4" w:rsidRPr="007F1CC4" w:rsidRDefault="007F1CC4" w:rsidP="007F1CC4">
      <w:pPr>
        <w:pStyle w:val="SemEspaamento"/>
        <w:rPr>
          <w:rFonts w:cstheme="minorHAnsi"/>
          <w:bCs/>
        </w:rPr>
      </w:pPr>
      <w:r w:rsidRPr="007F1CC4">
        <w:rPr>
          <w:rFonts w:cstheme="minorHAnsi"/>
          <w:bCs/>
        </w:rPr>
        <w:t xml:space="preserve">O constrangimento ilegal torna-se ainda mais evidente quando se observa que o paciente ostenta </w:t>
      </w:r>
      <w:r w:rsidRPr="007F1CC4">
        <w:rPr>
          <w:rFonts w:cstheme="minorHAnsi"/>
          <w:b/>
          <w:bCs/>
        </w:rPr>
        <w:t>condições pessoais favoráveis</w:t>
      </w:r>
      <w:r w:rsidRPr="007F1CC4">
        <w:rPr>
          <w:rFonts w:cstheme="minorHAnsi"/>
          <w:bCs/>
        </w:rPr>
        <w:t xml:space="preserve"> – primariedade, bons antecedentes, residência fixa, vínculos familiares e atividade lícita –, sem qualquer indicação de que, em liberdade, tenha ameaçado testemunhas, perturbado a marcha do processo ou tentado se evadir após ter real conhecimento da ação penal. A equiparação automática de citação por edital a fuga deliberada, sem prova de ciência, viola a presunção de inocência e desnatura a própria natureza ficta dessa modalidade citatória. Em juízo de cognição sumária, a plausibilidade jurídica da tese defensiva é robusta.</w:t>
      </w:r>
    </w:p>
    <w:p w14:paraId="52ABE09B" w14:textId="77777777" w:rsidR="007F1CC4" w:rsidRPr="007F1CC4" w:rsidRDefault="007F1CC4" w:rsidP="007F1CC4">
      <w:pPr>
        <w:pStyle w:val="SemEspaamento"/>
        <w:rPr>
          <w:rFonts w:cstheme="minorHAnsi"/>
          <w:bCs/>
        </w:rPr>
      </w:pPr>
      <w:r w:rsidRPr="007F1CC4">
        <w:rPr>
          <w:rFonts w:cstheme="minorHAnsi"/>
          <w:bCs/>
        </w:rPr>
        <w:t xml:space="preserve">Quanto ao </w:t>
      </w:r>
      <w:r w:rsidRPr="007F1CC4">
        <w:rPr>
          <w:rFonts w:cstheme="minorHAnsi"/>
          <w:b/>
          <w:bCs/>
        </w:rPr>
        <w:t>periculum in mora</w:t>
      </w:r>
      <w:r w:rsidRPr="007F1CC4">
        <w:rPr>
          <w:rFonts w:cstheme="minorHAnsi"/>
          <w:bCs/>
        </w:rPr>
        <w:t xml:space="preserve">, este se revela intenso e atual: o paciente permanece submetido à medida mais gravosa do sistema cautelar – a prisão preventiva – por fundamento nitidamente presumido, quando poderia, sem qualquer risco concreto ao processo, responder em liberdade sob o crivo de medidas cautelares menos restritivas, como comparecimento periódico em juízo, proibição de ausentar-se da comarca, monitoração eletrônica ou outras que Vossas Excelências </w:t>
      </w:r>
      <w:r w:rsidRPr="007F1CC4">
        <w:rPr>
          <w:rFonts w:cstheme="minorHAnsi"/>
          <w:bCs/>
        </w:rPr>
        <w:lastRenderedPageBreak/>
        <w:t>entenderem adequadas. A manutenção da custódia nessas condições implica renovada violação diária ao direito fundamental à liberdade, com danos pessoais e sociais de difícil reparação.</w:t>
      </w:r>
    </w:p>
    <w:p w14:paraId="6C943607" w14:textId="53137BE3" w:rsidR="003531B3" w:rsidRPr="002A4C6E" w:rsidRDefault="007F1CC4" w:rsidP="00AE660D">
      <w:pPr>
        <w:pStyle w:val="SemEspaamento"/>
        <w:rPr>
          <w:rFonts w:cstheme="minorHAnsi"/>
          <w:bCs/>
        </w:rPr>
      </w:pPr>
      <w:r w:rsidRPr="007F1CC4">
        <w:rPr>
          <w:rFonts w:cstheme="minorHAnsi"/>
          <w:bCs/>
        </w:rPr>
        <w:t xml:space="preserve">Nessa conjuntura, negar a tutela liminar significaria esvaziar a função do habeas corpus enquanto remédio constitucional vocacionado a estancar prontamente constrangimentos ilegais. A conjugação do </w:t>
      </w:r>
      <w:r w:rsidRPr="007F1CC4">
        <w:rPr>
          <w:rFonts w:cstheme="minorHAnsi"/>
          <w:b/>
          <w:bCs/>
        </w:rPr>
        <w:t>fumus boni iuris</w:t>
      </w:r>
      <w:r w:rsidRPr="007F1CC4">
        <w:rPr>
          <w:rFonts w:cstheme="minorHAnsi"/>
          <w:bCs/>
        </w:rPr>
        <w:t xml:space="preserve"> – ilegalidade da prisão fundada em mera citação por edital, sem demonstração de fuga e sem exame da suficiência das cautelares diversas – com o </w:t>
      </w:r>
      <w:r w:rsidRPr="007F1CC4">
        <w:rPr>
          <w:rFonts w:cstheme="minorHAnsi"/>
          <w:b/>
          <w:bCs/>
        </w:rPr>
        <w:t>periculum in mora</w:t>
      </w:r>
      <w:r w:rsidRPr="007F1CC4">
        <w:rPr>
          <w:rFonts w:cstheme="minorHAnsi"/>
          <w:bCs/>
        </w:rPr>
        <w:t xml:space="preserve"> – continuidade da indevida restrição à liberdade do paciente – impõe o </w:t>
      </w:r>
      <w:r w:rsidRPr="007F1CC4">
        <w:rPr>
          <w:rFonts w:cstheme="minorHAnsi"/>
          <w:b/>
          <w:bCs/>
        </w:rPr>
        <w:t>deferimento da liminar</w:t>
      </w:r>
      <w:r w:rsidRPr="007F1CC4">
        <w:rPr>
          <w:rFonts w:cstheme="minorHAnsi"/>
          <w:bCs/>
        </w:rPr>
        <w:t xml:space="preserve"> para substituição imediata da prisão preventiva por medidas cautelares alternativas, até o julgamento de mérito deste writ por essa Egrégia Câmara Criminal.</w:t>
      </w:r>
    </w:p>
    <w:bookmarkEnd w:id="1"/>
    <w:p w14:paraId="0D9CD480" w14:textId="77777777" w:rsidR="00435014" w:rsidRDefault="00435014" w:rsidP="00435014">
      <w:pPr>
        <w:pStyle w:val="Ttulo1"/>
        <w:spacing w:before="0" w:after="0" w:line="240" w:lineRule="auto"/>
      </w:pPr>
      <w:r w:rsidRPr="00E71747">
        <w:t>NECESSIDADE DE DISTINGUISHING</w:t>
      </w:r>
    </w:p>
    <w:p w14:paraId="5490F4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5809C004" w14:textId="77777777" w:rsidR="00435014" w:rsidRPr="00150C5B" w:rsidRDefault="00435014" w:rsidP="00435014">
      <w:pPr>
        <w:pStyle w:val="SemEspaamento"/>
      </w:pPr>
      <w:r w:rsidRPr="00150C5B">
        <w:t>O patrono do requerente apresent</w:t>
      </w:r>
      <w:r>
        <w:t>ou</w:t>
      </w:r>
      <w:r w:rsidRPr="00150C5B">
        <w:t xml:space="preserve"> julgados e decisões dos tribunais superiores para corroborar as teses defensivas lançadas na presente peça.</w:t>
      </w:r>
    </w:p>
    <w:p w14:paraId="09182CA1" w14:textId="77777777" w:rsidR="00435014" w:rsidRPr="00150C5B" w:rsidRDefault="00435014" w:rsidP="00435014">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7F74C16D" w14:textId="77777777" w:rsidR="00435014" w:rsidRDefault="00435014" w:rsidP="00435014">
      <w:pPr>
        <w:pStyle w:val="SemEspaamento"/>
      </w:pPr>
      <w:r w:rsidRPr="00150C5B">
        <w:t>Deve ser ressaltado que eventual decisão que não faça essa distinção não poderá ser considerada como suficientemente fundamentada nos termos do art. 315, §2º, VI, gerando vício insuperável.</w:t>
      </w:r>
    </w:p>
    <w:p w14:paraId="3D2D617E" w14:textId="77777777" w:rsidR="00435014" w:rsidRDefault="00435014" w:rsidP="00435014">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101F206" w14:textId="77777777" w:rsidR="00435014" w:rsidRPr="00E71747" w:rsidRDefault="00435014" w:rsidP="00435014">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12AE7C17" w14:textId="77777777" w:rsidR="00435014" w:rsidRPr="00E71747" w:rsidRDefault="00435014" w:rsidP="00435014">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4ADB42C4" w14:textId="77777777" w:rsidR="00435014" w:rsidRDefault="00435014" w:rsidP="00435014">
      <w:pPr>
        <w:pStyle w:val="SemEspaamento"/>
        <w:spacing w:before="0" w:after="0" w:line="240" w:lineRule="auto"/>
        <w:ind w:left="2268" w:firstLine="0"/>
        <w:rPr>
          <w:i/>
          <w:iCs/>
        </w:rPr>
      </w:pPr>
      <w:r w:rsidRPr="00E71747">
        <w:rPr>
          <w:i/>
          <w:iCs/>
        </w:rPr>
        <w:t xml:space="preserve">VI - </w:t>
      </w:r>
      <w:proofErr w:type="gramStart"/>
      <w:r w:rsidRPr="00E71747">
        <w:rPr>
          <w:i/>
          <w:iCs/>
        </w:rPr>
        <w:t>deixar</w:t>
      </w:r>
      <w:proofErr w:type="gramEnd"/>
      <w:r w:rsidRPr="00E71747">
        <w:rPr>
          <w:i/>
          <w:iCs/>
        </w:rPr>
        <w:t xml:space="preserve"> de seguir enunciado de súmula, jurisprudência ou precedente invocado pela parte, sem demonstrar a existência de distinção no caso em julgamento ou a superação do entendimento.</w:t>
      </w:r>
    </w:p>
    <w:p w14:paraId="26539F40" w14:textId="77777777" w:rsidR="002A4C6E" w:rsidRDefault="002A4C6E" w:rsidP="00435014">
      <w:pPr>
        <w:pStyle w:val="SemEspaamento"/>
        <w:spacing w:before="0" w:after="0" w:line="240" w:lineRule="auto"/>
        <w:ind w:left="2268" w:firstLine="0"/>
        <w:rPr>
          <w:i/>
          <w:iCs/>
        </w:rPr>
      </w:pPr>
    </w:p>
    <w:p w14:paraId="73E39172" w14:textId="0BA79212" w:rsidR="00B85546" w:rsidRPr="008A42DE" w:rsidRDefault="002D3115" w:rsidP="008A42DE">
      <w:pPr>
        <w:pStyle w:val="Ttulo1"/>
        <w:spacing w:before="0" w:after="0" w:line="240" w:lineRule="auto"/>
      </w:pPr>
      <w:r>
        <w:lastRenderedPageBreak/>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1E005E5D" w14:textId="06EACC7A" w:rsidR="007F1CC4" w:rsidRPr="007F1CC4" w:rsidRDefault="007F1CC4" w:rsidP="007F1CC4">
      <w:pPr>
        <w:spacing w:before="120" w:after="120" w:line="312" w:lineRule="auto"/>
        <w:ind w:firstLine="567"/>
        <w:jc w:val="both"/>
        <w:rPr>
          <w:rFonts w:ascii="Source Serif Pro" w:hAnsi="Source Serif Pro"/>
        </w:rPr>
      </w:pPr>
      <w:r w:rsidRPr="007F1CC4">
        <w:rPr>
          <w:rFonts w:ascii="Source Serif Pro" w:hAnsi="Source Serif Pro"/>
        </w:rPr>
        <w:t xml:space="preserve">Diante do flagrante constrangimento ilegal demonstrado – prisão preventiva decretada com base apenas na citação por edital e no não comparecimento do paciente, sem prova de ciência efetiva da ação penal e sem exame da suficiência das cautelares alternativas – requer o Impetrante, </w:t>
      </w:r>
      <w:r w:rsidRPr="007F1CC4">
        <w:rPr>
          <w:rFonts w:ascii="Source Serif Pro" w:hAnsi="Source Serif Pro"/>
          <w:b/>
          <w:bCs/>
        </w:rPr>
        <w:t>em caráter liminar</w:t>
      </w:r>
      <w:r w:rsidRPr="007F1CC4">
        <w:rPr>
          <w:rFonts w:ascii="Source Serif Pro" w:hAnsi="Source Serif Pro"/>
        </w:rPr>
        <w:t xml:space="preserve">, que seja </w:t>
      </w:r>
      <w:r w:rsidRPr="007F1CC4">
        <w:rPr>
          <w:rFonts w:ascii="Source Serif Pro" w:hAnsi="Source Serif Pro"/>
          <w:b/>
          <w:bCs/>
        </w:rPr>
        <w:t>suspensa de imediato a prisão preventiva do paciente</w:t>
      </w:r>
      <w:r w:rsidRPr="007F1CC4">
        <w:rPr>
          <w:rFonts w:ascii="Source Serif Pro" w:hAnsi="Source Serif Pro"/>
        </w:rPr>
        <w:t xml:space="preserve">, com a sua </w:t>
      </w:r>
      <w:r w:rsidRPr="007F1CC4">
        <w:rPr>
          <w:rFonts w:ascii="Source Serif Pro" w:hAnsi="Source Serif Pro"/>
          <w:b/>
          <w:bCs/>
        </w:rPr>
        <w:t>imediata colocação em liberdade mediante imposição de medidas cautelares diversas da prisão</w:t>
      </w:r>
      <w:r w:rsidRPr="007F1CC4">
        <w:rPr>
          <w:rFonts w:ascii="Source Serif Pro" w:hAnsi="Source Serif Pro"/>
        </w:rPr>
        <w:t xml:space="preserve">, nos termos dos </w:t>
      </w:r>
      <w:proofErr w:type="spellStart"/>
      <w:r w:rsidRPr="007F1CC4">
        <w:rPr>
          <w:rFonts w:ascii="Source Serif Pro" w:hAnsi="Source Serif Pro"/>
        </w:rPr>
        <w:t>arts</w:t>
      </w:r>
      <w:proofErr w:type="spellEnd"/>
      <w:r w:rsidRPr="007F1CC4">
        <w:rPr>
          <w:rFonts w:ascii="Source Serif Pro" w:hAnsi="Source Serif Pro"/>
        </w:rPr>
        <w:t>. 282 e 319 do CPP. Requer-se, a critério deste Tribunal, a fixação de cautelares como, por exemplo, comparecimento periódico em juízo, proibição de ausentar-se da comarca, proibição de mudar de endereço sem prévia comunicação, monitoração eletrônica ou outras que forem reputadas adequadas e suficientes para assegurar o comparecimento aos atos processuais.</w:t>
      </w:r>
    </w:p>
    <w:p w14:paraId="0F30D15B" w14:textId="02F18793" w:rsidR="007F1CC4" w:rsidRPr="007F1CC4" w:rsidRDefault="007F1CC4" w:rsidP="007F1CC4">
      <w:pPr>
        <w:spacing w:before="120" w:after="120" w:line="312" w:lineRule="auto"/>
        <w:ind w:firstLine="567"/>
        <w:jc w:val="both"/>
        <w:rPr>
          <w:rFonts w:ascii="Source Serif Pro" w:hAnsi="Source Serif Pro"/>
        </w:rPr>
      </w:pPr>
      <w:r w:rsidRPr="007F1CC4">
        <w:rPr>
          <w:rFonts w:ascii="Source Serif Pro" w:hAnsi="Source Serif Pro"/>
        </w:rPr>
        <w:t xml:space="preserve">No mérito, requer seja </w:t>
      </w:r>
      <w:r w:rsidRPr="007F1CC4">
        <w:rPr>
          <w:rFonts w:ascii="Source Serif Pro" w:hAnsi="Source Serif Pro"/>
          <w:b/>
          <w:bCs/>
        </w:rPr>
        <w:t>concedida em definitivo a ordem de habeas corpus</w:t>
      </w:r>
      <w:r w:rsidRPr="007F1CC4">
        <w:rPr>
          <w:rFonts w:ascii="Source Serif Pro" w:hAnsi="Source Serif Pro"/>
        </w:rPr>
        <w:t xml:space="preserve">, reconhecendo-se a </w:t>
      </w:r>
      <w:r w:rsidRPr="007F1CC4">
        <w:rPr>
          <w:rFonts w:ascii="Source Serif Pro" w:hAnsi="Source Serif Pro"/>
          <w:b/>
          <w:bCs/>
        </w:rPr>
        <w:t>ilegalidade da prisão preventiva</w:t>
      </w:r>
      <w:r w:rsidRPr="007F1CC4">
        <w:rPr>
          <w:rFonts w:ascii="Source Serif Pro" w:hAnsi="Source Serif Pro"/>
        </w:rPr>
        <w:t xml:space="preserve"> por ausência de demonstração concreta de risco de fuga ou de frustração da aplicação da lei penal, uma vez que a decretação da custódia se baseou unicamente na citação por edital e na condição de “local incerto e não sabido”. Requer, assim, a </w:t>
      </w:r>
      <w:r w:rsidRPr="007F1CC4">
        <w:rPr>
          <w:rFonts w:ascii="Source Serif Pro" w:hAnsi="Source Serif Pro"/>
          <w:b/>
          <w:bCs/>
        </w:rPr>
        <w:t>concessão de liberdade irrestrita ao paciente</w:t>
      </w:r>
      <w:r w:rsidRPr="007F1CC4">
        <w:rPr>
          <w:rFonts w:ascii="Source Serif Pro" w:hAnsi="Source Serif Pro"/>
        </w:rPr>
        <w:t xml:space="preserve">, com a manutenção das </w:t>
      </w:r>
      <w:r w:rsidRPr="007F1CC4">
        <w:rPr>
          <w:rFonts w:ascii="Source Serif Pro" w:hAnsi="Source Serif Pro"/>
          <w:b/>
          <w:bCs/>
        </w:rPr>
        <w:t>medidas cautelares diversas da prisão eventualmente fixadas na liminar</w:t>
      </w:r>
      <w:r w:rsidRPr="007F1CC4">
        <w:rPr>
          <w:rFonts w:ascii="Source Serif Pro" w:hAnsi="Source Serif Pro"/>
        </w:rPr>
        <w:t>, enquanto se mostrarem necessárias e proporcionais, facultando-se ao juízo de origem revisá-las, ampliá-las, reduzi-las ou revogá-las, conforme a evolução do caso concreto (art. 316 do CPP).</w:t>
      </w:r>
    </w:p>
    <w:p w14:paraId="191844BF" w14:textId="394FF0A0"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29C32AC9"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23351C">
        <w:rPr>
          <w:rFonts w:ascii="Source Serif Pro" w:hAnsi="Source Serif Pro"/>
          <w:noProof/>
        </w:rPr>
        <w:t>23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D9239D">
      <w:headerReference w:type="default" r:id="rId8"/>
      <w:footerReference w:type="default" r:id="rId9"/>
      <w:headerReference w:type="first" r:id="rId10"/>
      <w:footerReference w:type="first" r:id="rId11"/>
      <w:pgSz w:w="11906" w:h="16838"/>
      <w:pgMar w:top="1778"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1D629" w14:textId="77777777" w:rsidR="00EF60AE" w:rsidRDefault="00EF60AE" w:rsidP="00BA1F94">
      <w:pPr>
        <w:spacing w:after="0" w:line="240" w:lineRule="auto"/>
      </w:pPr>
      <w:r>
        <w:separator/>
      </w:r>
    </w:p>
  </w:endnote>
  <w:endnote w:type="continuationSeparator" w:id="0">
    <w:p w14:paraId="373BB6D4" w14:textId="77777777" w:rsidR="00EF60AE" w:rsidRDefault="00EF60AE"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2114489095"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proofErr w:type="gramStart"/>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roofErr w:type="gramEnd"/>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DEBE4" w14:textId="77777777" w:rsidR="00EF60AE" w:rsidRDefault="00EF60AE" w:rsidP="00BA1F94">
      <w:pPr>
        <w:spacing w:after="0" w:line="240" w:lineRule="auto"/>
      </w:pPr>
      <w:r>
        <w:separator/>
      </w:r>
    </w:p>
  </w:footnote>
  <w:footnote w:type="continuationSeparator" w:id="0">
    <w:p w14:paraId="5B955E72" w14:textId="77777777" w:rsidR="00EF60AE" w:rsidRDefault="00EF60AE"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798409584"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75358267"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3479"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8"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30"/>
  </w:num>
  <w:num w:numId="15" w16cid:durableId="189689990">
    <w:abstractNumId w:val="23"/>
  </w:num>
  <w:num w:numId="16" w16cid:durableId="106320463">
    <w:abstractNumId w:val="27"/>
  </w:num>
  <w:num w:numId="17" w16cid:durableId="757795001">
    <w:abstractNumId w:val="7"/>
  </w:num>
  <w:num w:numId="18" w16cid:durableId="507915239">
    <w:abstractNumId w:val="26"/>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8"/>
  </w:num>
  <w:num w:numId="31" w16cid:durableId="939022436">
    <w:abstractNumId w:val="18"/>
  </w:num>
  <w:num w:numId="32" w16cid:durableId="1358387731">
    <w:abstractNumId w:val="29"/>
  </w:num>
  <w:num w:numId="33" w16cid:durableId="1918588421">
    <w:abstractNumId w:val="14"/>
  </w:num>
  <w:num w:numId="34" w16cid:durableId="508368672">
    <w:abstractNumId w:val="8"/>
  </w:num>
  <w:num w:numId="35" w16cid:durableId="997265681">
    <w:abstractNumId w:val="25"/>
  </w:num>
  <w:num w:numId="36" w16cid:durableId="1900631713">
    <w:abstractNumId w:val="4"/>
  </w:num>
  <w:num w:numId="37" w16cid:durableId="2024433701">
    <w:abstractNumId w:val="2"/>
  </w:num>
  <w:num w:numId="38" w16cid:durableId="1840001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447DD"/>
    <w:rsid w:val="00045565"/>
    <w:rsid w:val="00046C0F"/>
    <w:rsid w:val="000633B8"/>
    <w:rsid w:val="000765C6"/>
    <w:rsid w:val="000911F8"/>
    <w:rsid w:val="000A234B"/>
    <w:rsid w:val="000B1C85"/>
    <w:rsid w:val="000B2591"/>
    <w:rsid w:val="000B5216"/>
    <w:rsid w:val="000C72A1"/>
    <w:rsid w:val="0011164C"/>
    <w:rsid w:val="001153D8"/>
    <w:rsid w:val="00124E1C"/>
    <w:rsid w:val="00133E06"/>
    <w:rsid w:val="00144A4B"/>
    <w:rsid w:val="00151D12"/>
    <w:rsid w:val="0015581C"/>
    <w:rsid w:val="00163268"/>
    <w:rsid w:val="0018525B"/>
    <w:rsid w:val="001C6CE0"/>
    <w:rsid w:val="001D0EC8"/>
    <w:rsid w:val="001E64BE"/>
    <w:rsid w:val="001E7DF5"/>
    <w:rsid w:val="001F2F1D"/>
    <w:rsid w:val="001F3409"/>
    <w:rsid w:val="001F36B6"/>
    <w:rsid w:val="00202E8F"/>
    <w:rsid w:val="00205995"/>
    <w:rsid w:val="0021210F"/>
    <w:rsid w:val="0021462C"/>
    <w:rsid w:val="0023351C"/>
    <w:rsid w:val="00244EEE"/>
    <w:rsid w:val="00255925"/>
    <w:rsid w:val="00265B72"/>
    <w:rsid w:val="002731A1"/>
    <w:rsid w:val="002731A6"/>
    <w:rsid w:val="002A18AC"/>
    <w:rsid w:val="002A4C6E"/>
    <w:rsid w:val="002A79CB"/>
    <w:rsid w:val="002C012C"/>
    <w:rsid w:val="002C7BE1"/>
    <w:rsid w:val="002D3115"/>
    <w:rsid w:val="002D79D9"/>
    <w:rsid w:val="002E0484"/>
    <w:rsid w:val="002F00FD"/>
    <w:rsid w:val="002F4394"/>
    <w:rsid w:val="00307183"/>
    <w:rsid w:val="0032114D"/>
    <w:rsid w:val="00323708"/>
    <w:rsid w:val="00332135"/>
    <w:rsid w:val="00334B83"/>
    <w:rsid w:val="00335715"/>
    <w:rsid w:val="0035269F"/>
    <w:rsid w:val="003531B3"/>
    <w:rsid w:val="003602F7"/>
    <w:rsid w:val="00371DDE"/>
    <w:rsid w:val="00372664"/>
    <w:rsid w:val="00377552"/>
    <w:rsid w:val="00383D06"/>
    <w:rsid w:val="00385345"/>
    <w:rsid w:val="003A171C"/>
    <w:rsid w:val="003A1DD2"/>
    <w:rsid w:val="003A4B72"/>
    <w:rsid w:val="003A76A4"/>
    <w:rsid w:val="003A7CB9"/>
    <w:rsid w:val="003B706F"/>
    <w:rsid w:val="0041600B"/>
    <w:rsid w:val="00421C44"/>
    <w:rsid w:val="00435014"/>
    <w:rsid w:val="0044781C"/>
    <w:rsid w:val="004526A3"/>
    <w:rsid w:val="00460C3B"/>
    <w:rsid w:val="00462A1D"/>
    <w:rsid w:val="00466093"/>
    <w:rsid w:val="00473494"/>
    <w:rsid w:val="00483C5B"/>
    <w:rsid w:val="004A1397"/>
    <w:rsid w:val="004B23AC"/>
    <w:rsid w:val="004C2B0E"/>
    <w:rsid w:val="004C78F2"/>
    <w:rsid w:val="004E1F61"/>
    <w:rsid w:val="004E32D6"/>
    <w:rsid w:val="004F6860"/>
    <w:rsid w:val="00502064"/>
    <w:rsid w:val="00510D1D"/>
    <w:rsid w:val="005271CA"/>
    <w:rsid w:val="00547988"/>
    <w:rsid w:val="00552F50"/>
    <w:rsid w:val="00563E38"/>
    <w:rsid w:val="0056423A"/>
    <w:rsid w:val="005701F5"/>
    <w:rsid w:val="005702CF"/>
    <w:rsid w:val="00575469"/>
    <w:rsid w:val="00576D3A"/>
    <w:rsid w:val="005811CD"/>
    <w:rsid w:val="00585236"/>
    <w:rsid w:val="005926D6"/>
    <w:rsid w:val="00596D6C"/>
    <w:rsid w:val="005A01D2"/>
    <w:rsid w:val="005A6E55"/>
    <w:rsid w:val="005C54F8"/>
    <w:rsid w:val="005C7877"/>
    <w:rsid w:val="005C79B0"/>
    <w:rsid w:val="005E2F23"/>
    <w:rsid w:val="005F2FAE"/>
    <w:rsid w:val="005F47A7"/>
    <w:rsid w:val="00617C7C"/>
    <w:rsid w:val="00636660"/>
    <w:rsid w:val="00636D00"/>
    <w:rsid w:val="00637073"/>
    <w:rsid w:val="006419C1"/>
    <w:rsid w:val="0064461A"/>
    <w:rsid w:val="0066103B"/>
    <w:rsid w:val="00672F34"/>
    <w:rsid w:val="00673A8C"/>
    <w:rsid w:val="006916BF"/>
    <w:rsid w:val="006A3AEB"/>
    <w:rsid w:val="006B1846"/>
    <w:rsid w:val="006B1A62"/>
    <w:rsid w:val="006B1C85"/>
    <w:rsid w:val="006C5729"/>
    <w:rsid w:val="006D5BE0"/>
    <w:rsid w:val="006E26AE"/>
    <w:rsid w:val="006F33DE"/>
    <w:rsid w:val="007020CA"/>
    <w:rsid w:val="00703D38"/>
    <w:rsid w:val="00714F6F"/>
    <w:rsid w:val="00716747"/>
    <w:rsid w:val="00716815"/>
    <w:rsid w:val="00720D57"/>
    <w:rsid w:val="00724E8D"/>
    <w:rsid w:val="0075224F"/>
    <w:rsid w:val="00763304"/>
    <w:rsid w:val="007666DF"/>
    <w:rsid w:val="007952F5"/>
    <w:rsid w:val="007A0B17"/>
    <w:rsid w:val="007B4A57"/>
    <w:rsid w:val="007B7295"/>
    <w:rsid w:val="007C0711"/>
    <w:rsid w:val="007C53FC"/>
    <w:rsid w:val="007C59F9"/>
    <w:rsid w:val="007E3DC1"/>
    <w:rsid w:val="007F0F05"/>
    <w:rsid w:val="007F1CC4"/>
    <w:rsid w:val="00802190"/>
    <w:rsid w:val="00802A06"/>
    <w:rsid w:val="0081592C"/>
    <w:rsid w:val="00821F7B"/>
    <w:rsid w:val="008235F0"/>
    <w:rsid w:val="0084651A"/>
    <w:rsid w:val="00860199"/>
    <w:rsid w:val="00870DC9"/>
    <w:rsid w:val="00880278"/>
    <w:rsid w:val="00884412"/>
    <w:rsid w:val="008A0FB6"/>
    <w:rsid w:val="008A42DE"/>
    <w:rsid w:val="008A5E1E"/>
    <w:rsid w:val="008B00B1"/>
    <w:rsid w:val="008B03CF"/>
    <w:rsid w:val="008B41F3"/>
    <w:rsid w:val="008F0F7D"/>
    <w:rsid w:val="00902436"/>
    <w:rsid w:val="00915234"/>
    <w:rsid w:val="00916E64"/>
    <w:rsid w:val="00923F88"/>
    <w:rsid w:val="00924899"/>
    <w:rsid w:val="00933297"/>
    <w:rsid w:val="00964DE7"/>
    <w:rsid w:val="009825A3"/>
    <w:rsid w:val="00983A54"/>
    <w:rsid w:val="0099073D"/>
    <w:rsid w:val="0099435F"/>
    <w:rsid w:val="00995C2F"/>
    <w:rsid w:val="00996DA0"/>
    <w:rsid w:val="009A3C47"/>
    <w:rsid w:val="009A601B"/>
    <w:rsid w:val="009D129F"/>
    <w:rsid w:val="009D178E"/>
    <w:rsid w:val="009D22A7"/>
    <w:rsid w:val="009E098F"/>
    <w:rsid w:val="009E6E78"/>
    <w:rsid w:val="009F161E"/>
    <w:rsid w:val="009F311E"/>
    <w:rsid w:val="00A01420"/>
    <w:rsid w:val="00A108DD"/>
    <w:rsid w:val="00A22EBA"/>
    <w:rsid w:val="00A40F35"/>
    <w:rsid w:val="00A432E2"/>
    <w:rsid w:val="00A43376"/>
    <w:rsid w:val="00A447FD"/>
    <w:rsid w:val="00A47F27"/>
    <w:rsid w:val="00A67F26"/>
    <w:rsid w:val="00A73B53"/>
    <w:rsid w:val="00A82AD8"/>
    <w:rsid w:val="00A8787D"/>
    <w:rsid w:val="00A87D34"/>
    <w:rsid w:val="00A97C42"/>
    <w:rsid w:val="00AA08C3"/>
    <w:rsid w:val="00AA226A"/>
    <w:rsid w:val="00AA31B3"/>
    <w:rsid w:val="00AB2011"/>
    <w:rsid w:val="00AB3E64"/>
    <w:rsid w:val="00AC0BB4"/>
    <w:rsid w:val="00AE660D"/>
    <w:rsid w:val="00B0317F"/>
    <w:rsid w:val="00B04357"/>
    <w:rsid w:val="00B24A33"/>
    <w:rsid w:val="00B36DE2"/>
    <w:rsid w:val="00B56B09"/>
    <w:rsid w:val="00B57D96"/>
    <w:rsid w:val="00B7307A"/>
    <w:rsid w:val="00B77BFB"/>
    <w:rsid w:val="00B77E49"/>
    <w:rsid w:val="00B85546"/>
    <w:rsid w:val="00B85981"/>
    <w:rsid w:val="00B87032"/>
    <w:rsid w:val="00B92FD1"/>
    <w:rsid w:val="00B968CC"/>
    <w:rsid w:val="00BA1F94"/>
    <w:rsid w:val="00BA5370"/>
    <w:rsid w:val="00BC28F2"/>
    <w:rsid w:val="00BC6F5E"/>
    <w:rsid w:val="00BC781A"/>
    <w:rsid w:val="00BD229E"/>
    <w:rsid w:val="00BE6274"/>
    <w:rsid w:val="00BF19AB"/>
    <w:rsid w:val="00BF64DD"/>
    <w:rsid w:val="00C05AC4"/>
    <w:rsid w:val="00C061A6"/>
    <w:rsid w:val="00C12FC6"/>
    <w:rsid w:val="00C1367E"/>
    <w:rsid w:val="00C30B7B"/>
    <w:rsid w:val="00C34436"/>
    <w:rsid w:val="00C42738"/>
    <w:rsid w:val="00C5162C"/>
    <w:rsid w:val="00C56908"/>
    <w:rsid w:val="00C641D3"/>
    <w:rsid w:val="00C66B1D"/>
    <w:rsid w:val="00C86BDE"/>
    <w:rsid w:val="00C925C7"/>
    <w:rsid w:val="00C9595C"/>
    <w:rsid w:val="00CA2809"/>
    <w:rsid w:val="00CA3287"/>
    <w:rsid w:val="00CB50FF"/>
    <w:rsid w:val="00CE6C3F"/>
    <w:rsid w:val="00CF11A1"/>
    <w:rsid w:val="00D14593"/>
    <w:rsid w:val="00D343B2"/>
    <w:rsid w:val="00D37B62"/>
    <w:rsid w:val="00D45C54"/>
    <w:rsid w:val="00D75D54"/>
    <w:rsid w:val="00D7692D"/>
    <w:rsid w:val="00D8503E"/>
    <w:rsid w:val="00D9239D"/>
    <w:rsid w:val="00D934F0"/>
    <w:rsid w:val="00D94708"/>
    <w:rsid w:val="00DB0C17"/>
    <w:rsid w:val="00DB287D"/>
    <w:rsid w:val="00DB7797"/>
    <w:rsid w:val="00DD04F4"/>
    <w:rsid w:val="00DE193B"/>
    <w:rsid w:val="00DE43FF"/>
    <w:rsid w:val="00E15CB7"/>
    <w:rsid w:val="00E260D2"/>
    <w:rsid w:val="00E70A06"/>
    <w:rsid w:val="00E70C92"/>
    <w:rsid w:val="00E939CA"/>
    <w:rsid w:val="00E93C31"/>
    <w:rsid w:val="00EA061D"/>
    <w:rsid w:val="00EA50F5"/>
    <w:rsid w:val="00EB0207"/>
    <w:rsid w:val="00ED0C3A"/>
    <w:rsid w:val="00EE0ABC"/>
    <w:rsid w:val="00EF60AE"/>
    <w:rsid w:val="00F10092"/>
    <w:rsid w:val="00F248EB"/>
    <w:rsid w:val="00F3233A"/>
    <w:rsid w:val="00F37C97"/>
    <w:rsid w:val="00F46652"/>
    <w:rsid w:val="00F53D0B"/>
    <w:rsid w:val="00F57C02"/>
    <w:rsid w:val="00F81339"/>
    <w:rsid w:val="00F84566"/>
    <w:rsid w:val="00F85AD9"/>
    <w:rsid w:val="00F961EF"/>
    <w:rsid w:val="00FD13CA"/>
    <w:rsid w:val="00FF3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1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styleId="NormalWeb">
    <w:name w:val="Normal (Web)"/>
    <w:basedOn w:val="Normal"/>
    <w:uiPriority w:val="99"/>
    <w:semiHidden/>
    <w:unhideWhenUsed/>
    <w:rsid w:val="002A79C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A7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2820</Words>
  <Characters>15596</Characters>
  <Application>Microsoft Office Word</Application>
  <DocSecurity>0</DocSecurity>
  <Lines>294</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7</cp:revision>
  <cp:lastPrinted>2025-10-14T13:26:00Z</cp:lastPrinted>
  <dcterms:created xsi:type="dcterms:W3CDTF">2025-11-23T21:52:00Z</dcterms:created>
  <dcterms:modified xsi:type="dcterms:W3CDTF">2025-11-23T22:00:00Z</dcterms:modified>
</cp:coreProperties>
</file>