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7CEB48FD"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884412">
        <w:rPr>
          <w:rFonts w:ascii="Source Serif Pro" w:hAnsi="Source Serif Pro"/>
          <w:b/>
          <w:bCs/>
          <w:sz w:val="26"/>
          <w:szCs w:val="28"/>
        </w:rPr>
        <w:t>mo</w:t>
      </w:r>
      <w:r w:rsidR="004B23AC">
        <w:rPr>
          <w:rFonts w:ascii="Source Serif Pro" w:hAnsi="Source Serif Pro"/>
          <w:b/>
          <w:bCs/>
          <w:sz w:val="26"/>
          <w:szCs w:val="28"/>
        </w:rPr>
        <w:t xml:space="preserve">. </w:t>
      </w:r>
      <w:r w:rsidR="00C12FC6">
        <w:rPr>
          <w:rFonts w:ascii="Source Serif Pro" w:hAnsi="Source Serif Pro"/>
          <w:b/>
          <w:bCs/>
          <w:sz w:val="26"/>
          <w:szCs w:val="28"/>
        </w:rPr>
        <w:t>Desembargador Presidente</w:t>
      </w:r>
    </w:p>
    <w:p w14:paraId="0BE51421" w14:textId="03DD2288" w:rsidR="00B968CC" w:rsidRPr="00B24A33" w:rsidRDefault="00CF11A1" w:rsidP="00AB2011">
      <w:pPr>
        <w:spacing w:after="0" w:line="240" w:lineRule="auto"/>
        <w:rPr>
          <w:rFonts w:ascii="Source Serif Pro" w:hAnsi="Source Serif Pro"/>
          <w:i/>
          <w:iCs/>
          <w:sz w:val="22"/>
          <w:szCs w:val="22"/>
        </w:rPr>
      </w:pPr>
      <w:r>
        <w:rPr>
          <w:rFonts w:ascii="Source Serif Pro" w:hAnsi="Source Serif Pro"/>
          <w:i/>
          <w:iCs/>
          <w:sz w:val="22"/>
          <w:szCs w:val="22"/>
        </w:rPr>
        <w:t>Tribunal de Justiça do Estado de....</w:t>
      </w:r>
    </w:p>
    <w:p w14:paraId="39684049" w14:textId="77777777" w:rsidR="00F3233A" w:rsidRDefault="00F3233A" w:rsidP="00DB7797">
      <w:pPr>
        <w:spacing w:before="360" w:after="0"/>
        <w:rPr>
          <w:rFonts w:ascii="Source Serif Pro" w:hAnsi="Source Serif Pro" w:cs="Segoe UI Semibold"/>
          <w:noProof/>
          <w:spacing w:val="10"/>
          <w:sz w:val="21"/>
          <w:szCs w:val="21"/>
        </w:rPr>
      </w:pPr>
    </w:p>
    <w:p w14:paraId="41C34F6F" w14:textId="07A5689F" w:rsidR="00DB7797" w:rsidRPr="00B24A33" w:rsidRDefault="00DB7797" w:rsidP="00DB7797">
      <w:pPr>
        <w:spacing w:before="40" w:after="0"/>
        <w:rPr>
          <w:rFonts w:ascii="Source Serif Pro" w:hAnsi="Source Serif Pro" w:cs="Segoe UI"/>
          <w:sz w:val="18"/>
          <w:szCs w:val="18"/>
        </w:rPr>
      </w:pPr>
    </w:p>
    <w:p w14:paraId="5A87B2C6" w14:textId="17D198C5" w:rsidR="00EE0ABC" w:rsidRDefault="00EE0ABC">
      <w:pPr>
        <w:rPr>
          <w:rFonts w:ascii="Source Serif Pro" w:hAnsi="Source Serif Pro"/>
        </w:rPr>
      </w:pPr>
    </w:p>
    <w:p w14:paraId="45BE129E" w14:textId="77777777" w:rsidR="00F3233A" w:rsidRPr="00B24A33" w:rsidRDefault="00F3233A">
      <w:pPr>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05A07158" w:rsidR="00B57D96" w:rsidRPr="00B24A33" w:rsidRDefault="00CF11A1" w:rsidP="009D129F">
      <w:pPr>
        <w:spacing w:before="120" w:after="240" w:line="312" w:lineRule="auto"/>
        <w:ind w:firstLine="567"/>
        <w:jc w:val="both"/>
        <w:rPr>
          <w:rFonts w:ascii="Source Serif Pro" w:hAnsi="Source Serif Pro"/>
        </w:rPr>
      </w:pPr>
      <w:r>
        <w:rPr>
          <w:rFonts w:ascii="Source Serif Pro" w:hAnsi="Source Serif Pro"/>
          <w:smallCaps/>
        </w:rPr>
        <w:t>[</w:t>
      </w:r>
      <w:r w:rsidRPr="00CF11A1">
        <w:rPr>
          <w:rFonts w:ascii="Source Serif Pro" w:hAnsi="Source Serif Pro"/>
          <w:smallCaps/>
          <w:shd w:val="clear" w:color="auto" w:fill="FAFBBD"/>
        </w:rPr>
        <w:t>NOME DO ADVOGADO</w:t>
      </w:r>
      <w:r>
        <w:rPr>
          <w:rFonts w:ascii="Source Serif Pro" w:hAnsi="Source Serif Pro"/>
          <w:smallCaps/>
        </w:rPr>
        <w:t>]</w:t>
      </w:r>
      <w:r w:rsidRPr="00CF11A1">
        <w:rPr>
          <w:rFonts w:ascii="Source Serif Pro" w:hAnsi="Source Serif Pro"/>
          <w:smallCaps/>
        </w:rPr>
        <w:t xml:space="preserve">, </w:t>
      </w:r>
      <w:r w:rsidRPr="00CF11A1">
        <w:rPr>
          <w:rFonts w:ascii="Source Serif Pro" w:hAnsi="Source Serif Pro"/>
        </w:rPr>
        <w:t>brasileiro, advogado devidamente inscrito na Ordem dos Advogados do Brasil, seccional estado, sob o nº ......, vêm, respeitosamente, perante Vossa Excelência, impetrar a presente ordem de</w:t>
      </w:r>
    </w:p>
    <w:p w14:paraId="2CD2B9C5" w14:textId="47319D93" w:rsidR="00B57D96" w:rsidRPr="007A0B17" w:rsidRDefault="00CF11A1"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 xml:space="preserve">HABEAS CORPUS </w:t>
      </w:r>
      <w:r w:rsidR="003B706F">
        <w:rPr>
          <w:rFonts w:ascii="Georgia" w:hAnsi="Georgia"/>
          <w:b/>
          <w:bCs/>
          <w:sz w:val="32"/>
          <w:szCs w:val="32"/>
        </w:rPr>
        <w:t>COM PEDIDO LIMINAR</w:t>
      </w:r>
    </w:p>
    <w:p w14:paraId="46AE4AF2" w14:textId="47158105" w:rsidR="00EE0ABC" w:rsidRDefault="00CF11A1" w:rsidP="009D129F">
      <w:pPr>
        <w:spacing w:before="240" w:after="120" w:line="312" w:lineRule="auto"/>
        <w:ind w:firstLine="567"/>
        <w:jc w:val="both"/>
        <w:rPr>
          <w:rFonts w:ascii="Source Serif Pro" w:hAnsi="Source Serif Pro"/>
        </w:rPr>
      </w:pPr>
      <w:r w:rsidRPr="00CF11A1">
        <w:rPr>
          <w:rFonts w:ascii="Source Serif Pro" w:hAnsi="Source Serif Pro"/>
        </w:rPr>
        <w:t xml:space="preserve">nos termos do art. 5º, LXVIII, da Constituição Federal, e artigos 647 e 648, inciso I, do Código de Processo Penal, em favor de </w:t>
      </w:r>
      <w:r>
        <w:rPr>
          <w:rFonts w:ascii="Source Serif Pro" w:hAnsi="Source Serif Pro"/>
        </w:rPr>
        <w:t>[</w:t>
      </w:r>
      <w:r w:rsidRPr="00CF11A1">
        <w:rPr>
          <w:rFonts w:ascii="Source Serif Pro" w:hAnsi="Source Serif Pro"/>
          <w:b/>
          <w:bCs/>
          <w:shd w:val="clear" w:color="auto" w:fill="FAFBBD"/>
        </w:rPr>
        <w:t>NOME DO CLIENTE e qualificação completa</w:t>
      </w:r>
      <w:r>
        <w:rPr>
          <w:rFonts w:ascii="Source Serif Pro" w:hAnsi="Source Serif Pro"/>
        </w:rPr>
        <w:t>]</w:t>
      </w:r>
      <w:r w:rsidRPr="00CF11A1">
        <w:rPr>
          <w:rFonts w:ascii="Source Serif Pro" w:hAnsi="Source Serif Pro"/>
        </w:rPr>
        <w:t>, atualmente recolhido no presídio......, por ato ilegal praticado pelo juízo da ...... Vara Criminal, pelas razões de fato e de direito a seguir expostas</w:t>
      </w:r>
      <w:r w:rsidR="002D3115">
        <w:rPr>
          <w:rFonts w:ascii="Source Serif Pro" w:hAnsi="Source Serif Pro"/>
        </w:rPr>
        <w:t>:</w:t>
      </w:r>
    </w:p>
    <w:p w14:paraId="1E74CFFF" w14:textId="77777777" w:rsidR="002D3115" w:rsidRPr="007A0B17" w:rsidRDefault="002D3115" w:rsidP="002D3115">
      <w:pPr>
        <w:pStyle w:val="Ttulo1"/>
      </w:pPr>
      <w:r>
        <w:t>DOS FATOS</w:t>
      </w:r>
    </w:p>
    <w:p w14:paraId="7B068A06" w14:textId="77777777" w:rsidR="000D6878" w:rsidRDefault="000D6878" w:rsidP="000D6878">
      <w:pPr>
        <w:pStyle w:val="SemEspaamento"/>
      </w:pPr>
      <w:r>
        <w:t>No dia e horário descritos no Auto de Prisão em Flagrante, o Paciente foi preso em decorrência de ação policial que culminou na apreensão de quantidade expressiva de substância entorpecente, circunstância que motivou sua condução e autuação pela suposta prática do delito previsto na Lei n. 11.343/06.</w:t>
      </w:r>
    </w:p>
    <w:p w14:paraId="605374BA" w14:textId="77777777" w:rsidR="000D6878" w:rsidRDefault="000D6878" w:rsidP="000D6878">
      <w:pPr>
        <w:pStyle w:val="SemEspaamento"/>
      </w:pPr>
      <w:r>
        <w:t>Após a lavratura do flagrante, o Juízo competente apreciou a custódia e manteve a prisão, convertendo-a (ou ratificando sua manutenção) sob o argumento de garantia da ordem pública, atribuindo especial relevo à quantidade apreendida como indicativo suficiente de periculosidade e risco social, sem apontar dados individualizados sobre a conduta do Paciente que extrapolassem a tipicidade do delito.</w:t>
      </w:r>
    </w:p>
    <w:p w14:paraId="521CCD90" w14:textId="77777777" w:rsidR="000D6878" w:rsidRDefault="000D6878" w:rsidP="000D6878">
      <w:pPr>
        <w:pStyle w:val="SemEspaamento"/>
      </w:pPr>
      <w:r>
        <w:t xml:space="preserve">Ocorre que, a despeito do destaque conferido ao volume de droga, a decisão impugnada não indicou elementos fáticos contemporâneos capazes de demonstrar risco concreto de reiteração delitiva, tampouco descreveu circunstâncias específicas como envolvimento formal do Paciente com organização criminosa, uso de </w:t>
      </w:r>
      <w:r>
        <w:lastRenderedPageBreak/>
        <w:t>arma de fogo, ameaça a terceiros, tentativa de fuga, interferência na colheita probatória ou qualquer outro dado objetivo que evidenciasse a necessidade real do encarceramento cautelar.</w:t>
      </w:r>
    </w:p>
    <w:p w14:paraId="2DA54DAD" w14:textId="40466734" w:rsidR="004E1F61" w:rsidRDefault="000D6878" w:rsidP="000D6878">
      <w:pPr>
        <w:pStyle w:val="SemEspaamento"/>
      </w:pPr>
      <w:r>
        <w:t>Diante da manutenção da custódia com fundamentação predominantemente genérica e lastreada, em essência, na gravidade do fato em abstrato e na quantidade de entorpecente, a Defesa impetra o presente Habeas Corpus a fim de ver reconhecido o constrangimento ilegal, buscando que o Paciente seja colocado em liberdade (com ou sem cautelares), especialmente porque a decisão não demonstrou, de forma concreta e atual, a indispensabilidade da segregação.</w:t>
      </w:r>
    </w:p>
    <w:p w14:paraId="1D445A7D" w14:textId="77777777" w:rsidR="00A22EBA" w:rsidRDefault="00A22EBA" w:rsidP="00A22EBA">
      <w:pPr>
        <w:pStyle w:val="SemEspaamento"/>
      </w:pPr>
    </w:p>
    <w:p w14:paraId="4415EA65" w14:textId="77777777" w:rsidR="00834BE1" w:rsidRDefault="00834BE1" w:rsidP="00834BE1">
      <w:pPr>
        <w:pStyle w:val="Ttulo1"/>
        <w:spacing w:before="0" w:after="0" w:line="240" w:lineRule="auto"/>
      </w:pPr>
      <w:r>
        <w:t xml:space="preserve">AUSÊNCIA DE REQUISITO AUTORIZADOR </w:t>
      </w:r>
    </w:p>
    <w:p w14:paraId="17CDF744" w14:textId="77777777" w:rsidR="00834BE1" w:rsidRPr="00547988" w:rsidRDefault="00834BE1" w:rsidP="00834BE1">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Aplicação medidas cautelares diversas da prisão –STJ </w:t>
      </w:r>
      <w:proofErr w:type="spellStart"/>
      <w:r w:rsidRPr="002F4394">
        <w:rPr>
          <w:rFonts w:ascii="Source Sans Pro" w:hAnsi="Source Sans Pro"/>
          <w:i/>
          <w:iCs/>
          <w:shd w:val="clear" w:color="auto" w:fill="FFFFFF" w:themeFill="background1"/>
        </w:rPr>
        <w:t>AgRg</w:t>
      </w:r>
      <w:proofErr w:type="spellEnd"/>
      <w:r w:rsidRPr="002F4394">
        <w:rPr>
          <w:rFonts w:ascii="Source Sans Pro" w:hAnsi="Source Sans Pro"/>
          <w:i/>
          <w:iCs/>
          <w:shd w:val="clear" w:color="auto" w:fill="FFFFFF" w:themeFill="background1"/>
        </w:rPr>
        <w:t xml:space="preserve"> no HC n. 989.760/MG</w:t>
      </w:r>
    </w:p>
    <w:p w14:paraId="6B196711" w14:textId="77777777" w:rsidR="002C610B" w:rsidRPr="002C610B" w:rsidRDefault="002C610B" w:rsidP="002C610B">
      <w:pPr>
        <w:pStyle w:val="SemEspaamento"/>
      </w:pPr>
      <w:r w:rsidRPr="002C610B">
        <w:t xml:space="preserve">A prisão preventiva é medida excepcional e somente pode subsistir quando preenchidos, de forma concreta, os requisitos do art. 312 do CPP, especialmente o perigo gerado pelo estado de liberdade do imputado (periculum </w:t>
      </w:r>
      <w:proofErr w:type="spellStart"/>
      <w:r w:rsidRPr="002C610B">
        <w:t>libertatis</w:t>
      </w:r>
      <w:proofErr w:type="spellEnd"/>
      <w:r w:rsidRPr="002C610B">
        <w:t xml:space="preserve">), não bastando suposições ou ilações baseadas no tipo penal. </w:t>
      </w:r>
    </w:p>
    <w:p w14:paraId="4893D98F" w14:textId="77777777" w:rsidR="002C610B" w:rsidRPr="002C610B" w:rsidRDefault="002C610B" w:rsidP="002C610B">
      <w:pPr>
        <w:pStyle w:val="SemEspaamento"/>
      </w:pPr>
      <w:r w:rsidRPr="002C610B">
        <w:t xml:space="preserve">Além disso, a decisão que decreta ou mantém a custódia deve ser sempre motivada e fundamentada, com indicação concreta de fatos novos ou contemporâneos que justifiquem a cautelar, sob pena de nulidade por fundamentação deficiente. </w:t>
      </w:r>
    </w:p>
    <w:p w14:paraId="6B0E14FE" w14:textId="77777777" w:rsidR="002C610B" w:rsidRPr="002C610B" w:rsidRDefault="002C610B" w:rsidP="002C610B">
      <w:pPr>
        <w:pStyle w:val="SemEspaamento"/>
      </w:pPr>
      <w:r w:rsidRPr="002C610B">
        <w:t>Nesse quadro, a defesa reconhece que a quantidade de droga pode ser um dado relevante, mas sustenta que não é critério automático para a prisão: mesmo diante de apreensão expressiva, o Judiciário precisa demonstrar como essa circunstância, no caso concreto, se traduz em risco real e atual à ordem pública, à instrução ou à aplicação da lei penal — e não apenas presumir periculosidade.</w:t>
      </w:r>
    </w:p>
    <w:p w14:paraId="4E6DED15" w14:textId="0785BD43" w:rsidR="009D22A7" w:rsidRPr="009D22A7" w:rsidRDefault="00733EEB" w:rsidP="009D22A7">
      <w:pPr>
        <w:pStyle w:val="SemEspaamento"/>
      </w:pPr>
      <w:r>
        <w:t>Nesse sentido tem decidido o Superior Tribunal de Justiça:</w:t>
      </w:r>
    </w:p>
    <w:p w14:paraId="2285438F" w14:textId="77777777" w:rsidR="002C610B" w:rsidRDefault="002C610B" w:rsidP="002C610B">
      <w:pPr>
        <w:pStyle w:val="SemEspaamento"/>
        <w:pBdr>
          <w:bottom w:val="single" w:sz="4" w:space="1" w:color="auto"/>
        </w:pBdr>
        <w:spacing w:before="60" w:after="60" w:line="240" w:lineRule="auto"/>
        <w:ind w:left="2268" w:firstLine="0"/>
      </w:pPr>
      <w:bookmarkStart w:id="0" w:name="_Hlk214458189"/>
      <w:r w:rsidRPr="00ED0C3A">
        <w:rPr>
          <w:b/>
          <w:bCs/>
          <w:sz w:val="36"/>
          <w:szCs w:val="36"/>
        </w:rPr>
        <w:t>STJ</w:t>
      </w:r>
      <w:r>
        <w:t xml:space="preserve"> </w:t>
      </w:r>
      <w:r w:rsidRPr="00ED0C3A">
        <w:rPr>
          <w:color w:val="808080" w:themeColor="background1" w:themeShade="80"/>
        </w:rPr>
        <w:t xml:space="preserve">– </w:t>
      </w:r>
      <w:bookmarkEnd w:id="0"/>
      <w:proofErr w:type="spellStart"/>
      <w:r w:rsidRPr="003A171C">
        <w:rPr>
          <w:color w:val="808080" w:themeColor="background1" w:themeShade="80"/>
        </w:rPr>
        <w:t>AgRg</w:t>
      </w:r>
      <w:proofErr w:type="spellEnd"/>
      <w:r w:rsidRPr="003A171C">
        <w:rPr>
          <w:color w:val="808080" w:themeColor="background1" w:themeShade="80"/>
        </w:rPr>
        <w:t xml:space="preserve"> no HC n. 989.760/MG, relator Ministro Reynaldo Soares da Fonseca, Quinta Turma, julgado em 13/5/2025</w:t>
      </w:r>
    </w:p>
    <w:p w14:paraId="760EA30C" w14:textId="6D7D7E0B" w:rsidR="00733EEB" w:rsidRDefault="002C610B" w:rsidP="002C610B">
      <w:pPr>
        <w:pStyle w:val="SemEspaamento"/>
        <w:spacing w:before="60" w:after="60" w:line="276" w:lineRule="auto"/>
        <w:ind w:left="2268" w:firstLine="0"/>
        <w:rPr>
          <w:i/>
          <w:iCs/>
        </w:rPr>
      </w:pPr>
      <w:r w:rsidRPr="00884412">
        <w:rPr>
          <w:i/>
          <w:iCs/>
        </w:rPr>
        <w:t>2</w:t>
      </w:r>
      <w:r w:rsidRPr="003A171C">
        <w:rPr>
          <w:i/>
          <w:iCs/>
        </w:rPr>
        <w:t xml:space="preserve">. Embora tenha sido apreendida quantidade relevante de droga (1.334 comprimidos de ecstasy/MDMA), não há nos autos elementos fáticos contemporâneos que evidenciem risco concreto de </w:t>
      </w:r>
      <w:r w:rsidRPr="003A171C">
        <w:rPr>
          <w:i/>
          <w:iCs/>
        </w:rPr>
        <w:lastRenderedPageBreak/>
        <w:t>reiteração delitiva ou de perturbação da ordem pública, especialmente tratando-se de agente primário, de 19 anos de idade, sem antecedentes, tampouco registro de envolvimento formal com organização criminosa ou uso de arma de fogo.</w:t>
      </w:r>
      <w:r>
        <w:rPr>
          <w:i/>
          <w:iCs/>
        </w:rPr>
        <w:t xml:space="preserve"> </w:t>
      </w:r>
      <w:r w:rsidRPr="003A171C">
        <w:rPr>
          <w:i/>
          <w:iCs/>
        </w:rPr>
        <w:t>3. A jurisprudência desta Corte rechaça a utilização de fundamentação genérica ou desprovida de base empírica como razão suficiente para a imposição ou manutenção da prisão preventiva.</w:t>
      </w:r>
    </w:p>
    <w:p w14:paraId="2406704C" w14:textId="77777777" w:rsidR="002C610B" w:rsidRPr="002C610B" w:rsidRDefault="002C610B" w:rsidP="002C610B">
      <w:pPr>
        <w:pStyle w:val="SemEspaamento"/>
      </w:pPr>
      <w:r w:rsidRPr="002C610B">
        <w:t xml:space="preserve">Portanto, a apreensão volumosa, por si, não suprime a exigência legal de demonstração empírica do risco. Se o decreto prisional </w:t>
      </w:r>
      <w:proofErr w:type="gramStart"/>
      <w:r w:rsidRPr="002C610B">
        <w:t>limita-se</w:t>
      </w:r>
      <w:proofErr w:type="gramEnd"/>
      <w:r w:rsidRPr="002C610B">
        <w:t xml:space="preserve"> a converter a quantidade em sinônimo de “periculosidade”, sem amarrar essa conclusão a dados contemporâneos (modus operandi qualificado, reiteração recente, ameaça a testemunhas, vínculos atuais com organização criminosa, uso de </w:t>
      </w:r>
      <w:proofErr w:type="gramStart"/>
      <w:r w:rsidRPr="002C610B">
        <w:t>arma, etc.</w:t>
      </w:r>
      <w:proofErr w:type="gramEnd"/>
      <w:r w:rsidRPr="002C610B">
        <w:t xml:space="preserve">), incorre em vício de fundamentação e afronta a exigência de motivação concreta. </w:t>
      </w:r>
    </w:p>
    <w:p w14:paraId="260EDBB1" w14:textId="77777777" w:rsidR="002C610B" w:rsidRPr="002C610B" w:rsidRDefault="002C610B" w:rsidP="002C610B">
      <w:pPr>
        <w:pStyle w:val="SemEspaamento"/>
      </w:pPr>
      <w:r w:rsidRPr="002C610B">
        <w:t>O precedente também é claro ao rechaçar a fundamentação genérica ou desprovida de base empírica como razão suficiente para impor ou manter preventiva. Isso significa que expressões como “garantia da ordem pública”, “gravidade do tráfico” ou “clamor social”, quando desacompanhadas de fatos verificáveis do caso, não satisfazem o padrão decisório exigido pelo CPP.</w:t>
      </w:r>
    </w:p>
    <w:p w14:paraId="230EE51A" w14:textId="77777777" w:rsidR="002C610B" w:rsidRPr="002C610B" w:rsidRDefault="002C610B" w:rsidP="002C610B">
      <w:pPr>
        <w:pStyle w:val="SemEspaamento"/>
      </w:pPr>
      <w:r w:rsidRPr="002C610B">
        <w:t xml:space="preserve">Ainda, a lógica do sistema cautelar impõe que as medidas sejam escolhidas conforme necessidade e adequação, levando em conta gravidade do crime, circunstâncias do fato e condições pessoais do imputado. Se o objetivo processual pode ser atingido com menor restrição, a prisão deixa de ser a resposta adequada. </w:t>
      </w:r>
    </w:p>
    <w:p w14:paraId="0D77DB15" w14:textId="77777777" w:rsidR="002C610B" w:rsidRPr="002C610B" w:rsidRDefault="002C610B" w:rsidP="002C610B">
      <w:pPr>
        <w:pStyle w:val="SemEspaamento"/>
      </w:pPr>
      <w:r w:rsidRPr="002C610B">
        <w:t xml:space="preserve">Nessa mesma direção, ao apreciar o flagrante e a </w:t>
      </w:r>
      <w:proofErr w:type="spellStart"/>
      <w:r w:rsidRPr="002C610B">
        <w:t>cautelaridade</w:t>
      </w:r>
      <w:proofErr w:type="spellEnd"/>
      <w:r w:rsidRPr="002C610B">
        <w:t xml:space="preserve">, o CPP estabelece que a conversão em preventiva somente é cabível quando presentes os requisitos do art. 312 e quando as medidas cautelares diversas se mostrarem inadequadas ou insuficientes; logo, se não há demonstração concreta dessa insuficiência, a custódia extrema perde o lastro de necessidade. </w:t>
      </w:r>
    </w:p>
    <w:p w14:paraId="4A1C76CA" w14:textId="77777777" w:rsidR="002C610B" w:rsidRPr="002C610B" w:rsidRDefault="002C610B" w:rsidP="002C610B">
      <w:pPr>
        <w:pStyle w:val="SemEspaamento"/>
      </w:pPr>
      <w:r w:rsidRPr="002C610B">
        <w:t xml:space="preserve">E é justamente por existirem alternativas menos gravosas que o ordenamento prevê um rol amplo de cautelares diversas (comparecimento periódico, proibição de ausentar-se da comarca, recolhimento noturno, monitoração eletrônica, entre outras), as quais podem ser moduladas ao caso, preservando o processo sem encarceramento antecipado. </w:t>
      </w:r>
    </w:p>
    <w:p w14:paraId="11B09941" w14:textId="4540A226" w:rsidR="00733EEB" w:rsidRPr="00733EEB" w:rsidRDefault="002C610B" w:rsidP="002C610B">
      <w:pPr>
        <w:pStyle w:val="SemEspaamento"/>
      </w:pPr>
      <w:r w:rsidRPr="002C610B">
        <w:lastRenderedPageBreak/>
        <w:t xml:space="preserve">Por fim, ausentes os requisitos da preventiva, o próprio CPP determina a concessão de liberdade provisória, com ou sem imposição de cautelares, observados os critérios de necessidade e adequação. Assim, mesmo diante de grande quantidade apreendida, se a decisão não aponta elementos contemporâneos de risco concreto — tal como reconhecido no </w:t>
      </w:r>
      <w:proofErr w:type="spellStart"/>
      <w:r w:rsidRPr="002C610B">
        <w:t>AgRg</w:t>
      </w:r>
      <w:proofErr w:type="spellEnd"/>
      <w:r w:rsidRPr="002C610B">
        <w:t xml:space="preserve"> no HC n. 989.760/MG — impõe-se a revogação/afastamento da preventiva e a colocação do paciente em liberdade, com cautelares proporcionais se o juízo reputar necessário.</w:t>
      </w:r>
    </w:p>
    <w:p w14:paraId="4FAE3162" w14:textId="77777777" w:rsidR="00A108DD" w:rsidRPr="002C7BE1" w:rsidRDefault="00A108DD" w:rsidP="002A79CB">
      <w:pPr>
        <w:pStyle w:val="SemEspaamento"/>
      </w:pPr>
    </w:p>
    <w:p w14:paraId="37FB3C55" w14:textId="3C9F6237" w:rsidR="00435014" w:rsidRDefault="00435014" w:rsidP="00435014">
      <w:pPr>
        <w:pStyle w:val="Ttulo1"/>
        <w:spacing w:before="0" w:after="0" w:line="240" w:lineRule="auto"/>
      </w:pPr>
      <w:bookmarkStart w:id="1" w:name="_Hlk214783665"/>
      <w:r>
        <w:t xml:space="preserve">NECESSIDADE DE CONCESSÃO DA LIMINAR </w:t>
      </w:r>
    </w:p>
    <w:p w14:paraId="3C464D24" w14:textId="22336EA6"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Presença dos requisitos autorizadores </w:t>
      </w:r>
    </w:p>
    <w:p w14:paraId="7A55D73E" w14:textId="77777777" w:rsidR="002C610B" w:rsidRPr="002C610B" w:rsidRDefault="002C610B" w:rsidP="002C610B">
      <w:pPr>
        <w:pStyle w:val="SemEspaamento"/>
        <w:rPr>
          <w:rFonts w:cstheme="minorHAnsi"/>
          <w:bCs/>
        </w:rPr>
      </w:pPr>
      <w:r w:rsidRPr="002C610B">
        <w:rPr>
          <w:rFonts w:cstheme="minorHAnsi"/>
          <w:bCs/>
        </w:rPr>
        <w:t xml:space="preserve">Evidencia-se o fumus boni iuris porque a tese impugnativa encontra amparo direto no entendimento do STJ no </w:t>
      </w:r>
      <w:proofErr w:type="spellStart"/>
      <w:r w:rsidRPr="002C610B">
        <w:rPr>
          <w:rFonts w:cstheme="minorHAnsi"/>
          <w:bCs/>
        </w:rPr>
        <w:t>AgRg</w:t>
      </w:r>
      <w:proofErr w:type="spellEnd"/>
      <w:r w:rsidRPr="002C610B">
        <w:rPr>
          <w:rFonts w:cstheme="minorHAnsi"/>
          <w:bCs/>
        </w:rPr>
        <w:t xml:space="preserve"> no HC n. 989.760/MG (Quinta Turma, j. 13/5/2025), no qual se assentou que, mesmo diante de quantidade relevante (1.334 comprimidos de ecstasy/MDMA), a prisão preventiva não se sustenta na ausência de elementos fáticos contemporâneos que indiquem risco concreto de reiteração delitiva ou perturbação da ordem pública, especialmente quando se trata de agente primário, jovem e sem antecedentes. A plausibilidade jurídica, portanto, decorre da alta probabilidade de reconhecimento de que a quantidade, isoladamente, não supre a exigência de </w:t>
      </w:r>
      <w:proofErr w:type="spellStart"/>
      <w:r w:rsidRPr="002C610B">
        <w:rPr>
          <w:rFonts w:cstheme="minorHAnsi"/>
          <w:bCs/>
        </w:rPr>
        <w:t>cautelaridade</w:t>
      </w:r>
      <w:proofErr w:type="spellEnd"/>
      <w:r w:rsidRPr="002C610B">
        <w:rPr>
          <w:rFonts w:cstheme="minorHAnsi"/>
          <w:bCs/>
        </w:rPr>
        <w:t xml:space="preserve"> concreta.</w:t>
      </w:r>
    </w:p>
    <w:p w14:paraId="4A2F619B" w14:textId="77777777" w:rsidR="002C610B" w:rsidRPr="002C610B" w:rsidRDefault="002C610B" w:rsidP="002C610B">
      <w:pPr>
        <w:pStyle w:val="SemEspaamento"/>
        <w:rPr>
          <w:rFonts w:cstheme="minorHAnsi"/>
          <w:bCs/>
        </w:rPr>
      </w:pPr>
      <w:r w:rsidRPr="002C610B">
        <w:rPr>
          <w:rFonts w:cstheme="minorHAnsi"/>
          <w:bCs/>
        </w:rPr>
        <w:t>A probabilidade do direito também se reforça porque o precedente afirma, de forma expressa, que a jurisprudência do STJ rechaça fundamentação genérica ou desprovida de base empírica para impor ou manter prisão preventiva. Assim, se a decisão combatida se limitou a extrair periculosidade da gravidade do delito ou da quantidade apreendida, sem apontar dados objetivos e atuais (como reiteração recente, vínculo formal com organização criminosa, uso de arma de fogo ou modus operandi especialmente gravoso), a ilegalidade é manifesta, tornando legítima e urgente a intervenção liminar para restabelecer a liberdade.</w:t>
      </w:r>
    </w:p>
    <w:p w14:paraId="16C0495C" w14:textId="77777777" w:rsidR="002C610B" w:rsidRPr="002C610B" w:rsidRDefault="002C610B" w:rsidP="002C610B">
      <w:pPr>
        <w:pStyle w:val="SemEspaamento"/>
        <w:rPr>
          <w:rFonts w:cstheme="minorHAnsi"/>
          <w:bCs/>
        </w:rPr>
      </w:pPr>
      <w:r w:rsidRPr="002C610B">
        <w:rPr>
          <w:rFonts w:cstheme="minorHAnsi"/>
          <w:bCs/>
        </w:rPr>
        <w:t xml:space="preserve">O periculum in mora é evidente porque o paciente se encontra privado de liberdade (ou com liberdade indevidamente negada) por decisão cujo suporte cautelar é frágil, o que gera constrangimento ilegal contínuo e dano irreparável: cada dia de encarceramento indevido não pode ser restituído, além de intensificar prejuízos </w:t>
      </w:r>
      <w:r w:rsidRPr="002C610B">
        <w:rPr>
          <w:rFonts w:cstheme="minorHAnsi"/>
          <w:bCs/>
        </w:rPr>
        <w:lastRenderedPageBreak/>
        <w:t>pessoais, familiares, psicológicos e laborais que se agravam com a tramitação do writ.</w:t>
      </w:r>
    </w:p>
    <w:p w14:paraId="69CAFDED" w14:textId="77777777" w:rsidR="002C610B" w:rsidRPr="002C610B" w:rsidRDefault="002C610B" w:rsidP="002C610B">
      <w:pPr>
        <w:pStyle w:val="SemEspaamento"/>
        <w:rPr>
          <w:rFonts w:cstheme="minorHAnsi"/>
          <w:bCs/>
        </w:rPr>
      </w:pPr>
      <w:r w:rsidRPr="002C610B">
        <w:rPr>
          <w:rFonts w:cstheme="minorHAnsi"/>
          <w:bCs/>
        </w:rPr>
        <w:t xml:space="preserve">Por fim, a urgência da liminar é ainda maior porque, no próprio raciocínio do STJ no </w:t>
      </w:r>
      <w:proofErr w:type="spellStart"/>
      <w:r w:rsidRPr="002C610B">
        <w:rPr>
          <w:rFonts w:cstheme="minorHAnsi"/>
          <w:bCs/>
        </w:rPr>
        <w:t>AgRg</w:t>
      </w:r>
      <w:proofErr w:type="spellEnd"/>
      <w:r w:rsidRPr="002C610B">
        <w:rPr>
          <w:rFonts w:cstheme="minorHAnsi"/>
          <w:bCs/>
        </w:rPr>
        <w:t xml:space="preserve"> no HC n. 989.760/MG, a custódia não pode funcionar como “resposta automática” à apreensão expressiva; exige-se risco concreto contemporâneo, sob pena de antecipação de pena e inversão do caráter excepcional da medida. Desse modo, a concessão imediata da liminar é necessária para impedir que o paciente permaneça preso durante o processamento do habeas corpus com base em motivação que esta Corte já reputou insuficiente em hipótese análoga, garantindo a efetividade do provimento final.</w:t>
      </w:r>
    </w:p>
    <w:p w14:paraId="721C8D8E" w14:textId="4A1756E4" w:rsidR="00435014" w:rsidRPr="002A4C6E" w:rsidRDefault="00435014" w:rsidP="002A4C6E">
      <w:pPr>
        <w:pStyle w:val="SemEspaamento"/>
        <w:rPr>
          <w:rFonts w:cstheme="minorHAnsi"/>
          <w:bCs/>
        </w:rPr>
      </w:pPr>
    </w:p>
    <w:bookmarkEnd w:id="1"/>
    <w:p w14:paraId="0D9CD480" w14:textId="77777777" w:rsidR="00435014" w:rsidRDefault="00435014" w:rsidP="00435014">
      <w:pPr>
        <w:pStyle w:val="Ttulo1"/>
        <w:spacing w:before="0" w:after="0" w:line="240" w:lineRule="auto"/>
      </w:pPr>
      <w:r w:rsidRPr="00E71747">
        <w:t>NECESSIDADE DE DISTINGUISHING</w:t>
      </w:r>
    </w:p>
    <w:p w14:paraId="5490F4BC" w14:textId="77777777"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Teses apresentadas que se adequam ao entendimento do STJ</w:t>
      </w:r>
    </w:p>
    <w:p w14:paraId="5809C004" w14:textId="7BC6BE41" w:rsidR="00435014" w:rsidRPr="00150C5B" w:rsidRDefault="00435014" w:rsidP="00435014">
      <w:pPr>
        <w:pStyle w:val="SemEspaamento"/>
      </w:pPr>
      <w:r w:rsidRPr="00150C5B">
        <w:t xml:space="preserve">O patrono do </w:t>
      </w:r>
      <w:r w:rsidR="00733EEB">
        <w:t>paciente</w:t>
      </w:r>
      <w:r w:rsidRPr="00150C5B">
        <w:t xml:space="preserve"> apresent</w:t>
      </w:r>
      <w:r>
        <w:t>ou</w:t>
      </w:r>
      <w:r w:rsidRPr="00150C5B">
        <w:t xml:space="preserve"> julgados e decisões dos tribunais superiores para corroborar as teses defensivas lançadas na presente peça.</w:t>
      </w:r>
    </w:p>
    <w:p w14:paraId="09182CA1" w14:textId="77777777" w:rsidR="00435014" w:rsidRPr="00150C5B" w:rsidRDefault="00435014" w:rsidP="00435014">
      <w:pPr>
        <w:pStyle w:val="SemEspaamento"/>
      </w:pPr>
      <w:r w:rsidRPr="00150C5B">
        <w:t xml:space="preserve">Em todas há similitude fática e jurídica com o caso em apreço. Contudo, caso o juízo entenda de maneira diversa, </w:t>
      </w:r>
      <w:r>
        <w:t>requer que elucide na decisão a ser proferida</w:t>
      </w:r>
      <w:r w:rsidRPr="00150C5B">
        <w:t xml:space="preserve"> a diferença entre o presente caso e o</w:t>
      </w:r>
      <w:r>
        <w:t>s</w:t>
      </w:r>
      <w:r w:rsidRPr="00150C5B">
        <w:t xml:space="preserve"> precedente</w:t>
      </w:r>
      <w:r>
        <w:t>s</w:t>
      </w:r>
      <w:r w:rsidRPr="00150C5B">
        <w:t xml:space="preserve"> </w:t>
      </w:r>
      <w:r>
        <w:t>apontados na peça</w:t>
      </w:r>
      <w:r w:rsidRPr="00150C5B">
        <w:t xml:space="preserve">, bem como </w:t>
      </w:r>
      <w:r>
        <w:t xml:space="preserve">que </w:t>
      </w:r>
      <w:r w:rsidRPr="00150C5B">
        <w:t xml:space="preserve">demonstre o motivo pela qual aquele entendimento não se aplica ao presente caso. </w:t>
      </w:r>
    </w:p>
    <w:p w14:paraId="7F74C16D" w14:textId="77777777" w:rsidR="00435014" w:rsidRDefault="00435014" w:rsidP="00435014">
      <w:pPr>
        <w:pStyle w:val="SemEspaamento"/>
      </w:pPr>
      <w:r w:rsidRPr="00150C5B">
        <w:t>Deve ser ressaltado que eventual decisão que não faça essa distinção não poderá ser considerada como suficientemente fundamentada nos termos do art. 315, §2º, VI, gerando vício insuperável.</w:t>
      </w:r>
    </w:p>
    <w:p w14:paraId="3D2D617E" w14:textId="77777777" w:rsidR="00435014" w:rsidRDefault="00435014" w:rsidP="00435014">
      <w:pPr>
        <w:pStyle w:val="SemEspaamento"/>
        <w:pBdr>
          <w:bottom w:val="single" w:sz="4" w:space="1" w:color="auto"/>
        </w:pBdr>
        <w:spacing w:before="60" w:after="60" w:line="240" w:lineRule="auto"/>
        <w:ind w:left="2268" w:firstLine="0"/>
      </w:pPr>
      <w:r>
        <w:rPr>
          <w:b/>
          <w:bCs/>
          <w:sz w:val="36"/>
          <w:szCs w:val="36"/>
        </w:rPr>
        <w:t>CPP</w:t>
      </w:r>
      <w:r>
        <w:t xml:space="preserve"> </w:t>
      </w:r>
      <w:r w:rsidRPr="00ED0C3A">
        <w:rPr>
          <w:color w:val="808080" w:themeColor="background1" w:themeShade="80"/>
        </w:rPr>
        <w:t xml:space="preserve">– </w:t>
      </w:r>
      <w:r>
        <w:rPr>
          <w:color w:val="808080" w:themeColor="background1" w:themeShade="80"/>
        </w:rPr>
        <w:t>art. 315, §2º, VI</w:t>
      </w:r>
      <w:r w:rsidRPr="00580B73">
        <w:rPr>
          <w:color w:val="808080" w:themeColor="background1" w:themeShade="80"/>
        </w:rPr>
        <w:t>.</w:t>
      </w:r>
    </w:p>
    <w:p w14:paraId="1101F206" w14:textId="77777777" w:rsidR="00435014" w:rsidRPr="00E71747" w:rsidRDefault="00435014" w:rsidP="00435014">
      <w:pPr>
        <w:pStyle w:val="SemEspaamento"/>
        <w:spacing w:before="0" w:after="0" w:line="240" w:lineRule="auto"/>
        <w:ind w:left="2268" w:firstLine="0"/>
        <w:rPr>
          <w:i/>
          <w:iCs/>
        </w:rPr>
      </w:pPr>
      <w:r w:rsidRPr="00E71747">
        <w:rPr>
          <w:i/>
          <w:iCs/>
        </w:rPr>
        <w:t>Art. 315. A decisão que decretar, substituir ou denegar a prisão preventiva será sempre motivada e fundamentada.</w:t>
      </w:r>
    </w:p>
    <w:p w14:paraId="12AE7C17" w14:textId="77777777" w:rsidR="00435014" w:rsidRPr="00E71747" w:rsidRDefault="00435014" w:rsidP="00435014">
      <w:pPr>
        <w:pStyle w:val="SemEspaamento"/>
        <w:spacing w:before="0" w:after="0" w:line="240" w:lineRule="auto"/>
        <w:ind w:left="2268" w:firstLine="0"/>
        <w:rPr>
          <w:i/>
          <w:iCs/>
        </w:rPr>
      </w:pPr>
      <w:r w:rsidRPr="00E71747">
        <w:rPr>
          <w:i/>
          <w:iCs/>
        </w:rPr>
        <w:t>§ 2º Não se considera fundamentada qualquer decisão judicial, seja ela interlocutória, sentença ou acórdão, que:</w:t>
      </w:r>
    </w:p>
    <w:p w14:paraId="4ADB42C4" w14:textId="77777777" w:rsidR="00435014" w:rsidRDefault="00435014" w:rsidP="00435014">
      <w:pPr>
        <w:pStyle w:val="SemEspaamento"/>
        <w:spacing w:before="0" w:after="0" w:line="240" w:lineRule="auto"/>
        <w:ind w:left="2268" w:firstLine="0"/>
        <w:rPr>
          <w:i/>
          <w:iCs/>
        </w:rPr>
      </w:pPr>
      <w:r w:rsidRPr="00E71747">
        <w:rPr>
          <w:i/>
          <w:iCs/>
        </w:rPr>
        <w:t xml:space="preserve">VI - </w:t>
      </w:r>
      <w:proofErr w:type="gramStart"/>
      <w:r w:rsidRPr="00E71747">
        <w:rPr>
          <w:i/>
          <w:iCs/>
        </w:rPr>
        <w:t>deixar</w:t>
      </w:r>
      <w:proofErr w:type="gramEnd"/>
      <w:r w:rsidRPr="00E71747">
        <w:rPr>
          <w:i/>
          <w:iCs/>
        </w:rPr>
        <w:t xml:space="preserve"> de seguir enunciado de súmula, jurisprudência ou precedente invocado pela parte, sem demonstrar a existência de distinção no caso em julgamento ou a superação do entendimento.</w:t>
      </w:r>
    </w:p>
    <w:p w14:paraId="26539F40" w14:textId="77777777" w:rsidR="002A4C6E" w:rsidRDefault="002A4C6E" w:rsidP="00435014">
      <w:pPr>
        <w:pStyle w:val="SemEspaamento"/>
        <w:spacing w:before="0" w:after="0" w:line="240" w:lineRule="auto"/>
        <w:ind w:left="2268" w:firstLine="0"/>
        <w:rPr>
          <w:i/>
          <w:iCs/>
        </w:rPr>
      </w:pPr>
    </w:p>
    <w:p w14:paraId="53A0CDED" w14:textId="77777777" w:rsidR="00A108DD" w:rsidRDefault="00A108DD" w:rsidP="00435014">
      <w:pPr>
        <w:pStyle w:val="SemEspaamento"/>
        <w:spacing w:before="0" w:after="0" w:line="240" w:lineRule="auto"/>
        <w:ind w:left="2268" w:firstLine="0"/>
        <w:rPr>
          <w:i/>
          <w:iCs/>
        </w:rPr>
      </w:pPr>
    </w:p>
    <w:p w14:paraId="7C3911B8" w14:textId="77777777" w:rsidR="00A108DD" w:rsidRDefault="00A108DD" w:rsidP="00435014">
      <w:pPr>
        <w:pStyle w:val="SemEspaamento"/>
        <w:spacing w:before="0" w:after="0" w:line="240" w:lineRule="auto"/>
        <w:ind w:left="2268" w:firstLine="0"/>
        <w:rPr>
          <w:i/>
          <w:iCs/>
        </w:rPr>
      </w:pPr>
    </w:p>
    <w:p w14:paraId="210167B6" w14:textId="77777777" w:rsidR="002C610B" w:rsidRDefault="002C610B" w:rsidP="00435014">
      <w:pPr>
        <w:pStyle w:val="SemEspaamento"/>
        <w:spacing w:before="0" w:after="0" w:line="240" w:lineRule="auto"/>
        <w:ind w:left="2268" w:firstLine="0"/>
        <w:rPr>
          <w:i/>
          <w:iCs/>
        </w:rPr>
      </w:pPr>
    </w:p>
    <w:p w14:paraId="38AEF43F" w14:textId="77777777" w:rsidR="002C610B" w:rsidRDefault="002C610B" w:rsidP="00435014">
      <w:pPr>
        <w:pStyle w:val="SemEspaamento"/>
        <w:spacing w:before="0" w:after="0" w:line="240" w:lineRule="auto"/>
        <w:ind w:left="2268" w:firstLine="0"/>
        <w:rPr>
          <w:i/>
          <w:iCs/>
        </w:rPr>
      </w:pPr>
    </w:p>
    <w:p w14:paraId="78632B61" w14:textId="77777777" w:rsidR="002C610B" w:rsidRDefault="002C610B" w:rsidP="00435014">
      <w:pPr>
        <w:pStyle w:val="SemEspaamento"/>
        <w:spacing w:before="0" w:after="0" w:line="240" w:lineRule="auto"/>
        <w:ind w:left="2268" w:firstLine="0"/>
        <w:rPr>
          <w:i/>
          <w:iCs/>
        </w:rPr>
      </w:pPr>
    </w:p>
    <w:p w14:paraId="58C32ED1" w14:textId="77777777" w:rsidR="002C610B" w:rsidRDefault="002C610B" w:rsidP="00435014">
      <w:pPr>
        <w:pStyle w:val="SemEspaamento"/>
        <w:spacing w:before="0" w:after="0" w:line="240" w:lineRule="auto"/>
        <w:ind w:left="2268" w:firstLine="0"/>
        <w:rPr>
          <w:i/>
          <w:iCs/>
        </w:rPr>
      </w:pPr>
    </w:p>
    <w:p w14:paraId="73E39172" w14:textId="0BA79212" w:rsidR="00B85546" w:rsidRPr="008A42DE" w:rsidRDefault="002D3115" w:rsidP="008A42DE">
      <w:pPr>
        <w:pStyle w:val="Ttulo1"/>
        <w:spacing w:before="0" w:after="0" w:line="240" w:lineRule="auto"/>
      </w:pPr>
      <w:r>
        <w:t>DO PEDIDO</w:t>
      </w:r>
    </w:p>
    <w:p w14:paraId="262ABB1F" w14:textId="77777777" w:rsidR="00015D08" w:rsidRDefault="00015D08" w:rsidP="00015D08">
      <w:pPr>
        <w:spacing w:before="120" w:after="120" w:line="312" w:lineRule="auto"/>
        <w:ind w:firstLine="567"/>
        <w:jc w:val="both"/>
        <w:rPr>
          <w:rFonts w:ascii="Source Serif Pro" w:hAnsi="Source Serif Pro"/>
        </w:rPr>
      </w:pPr>
    </w:p>
    <w:p w14:paraId="511C90C6" w14:textId="1295BF38" w:rsidR="00733EEB" w:rsidRPr="00733EEB" w:rsidRDefault="00733EEB" w:rsidP="00733EEB">
      <w:pPr>
        <w:spacing w:before="120" w:after="120" w:line="312" w:lineRule="auto"/>
        <w:ind w:firstLine="567"/>
        <w:jc w:val="both"/>
        <w:rPr>
          <w:rFonts w:ascii="Source Serif Pro" w:hAnsi="Source Serif Pro"/>
        </w:rPr>
      </w:pPr>
      <w:r w:rsidRPr="00733EEB">
        <w:rPr>
          <w:rFonts w:ascii="Source Serif Pro" w:hAnsi="Source Serif Pro"/>
        </w:rPr>
        <w:t>Diante do exposto, requer:</w:t>
      </w:r>
    </w:p>
    <w:p w14:paraId="4FEAD7CB" w14:textId="03CEA8A4" w:rsidR="00733EEB" w:rsidRPr="00733EEB" w:rsidRDefault="00733EEB" w:rsidP="00733EEB">
      <w:pPr>
        <w:pStyle w:val="PargrafodaLista"/>
        <w:numPr>
          <w:ilvl w:val="0"/>
          <w:numId w:val="40"/>
        </w:numPr>
        <w:spacing w:before="120" w:after="120" w:line="312" w:lineRule="auto"/>
        <w:jc w:val="both"/>
        <w:rPr>
          <w:rFonts w:ascii="Source Serif Pro" w:hAnsi="Source Serif Pro"/>
        </w:rPr>
      </w:pPr>
      <w:r w:rsidRPr="00733EEB">
        <w:rPr>
          <w:rFonts w:ascii="Source Serif Pro" w:hAnsi="Source Serif Pro"/>
          <w:b/>
          <w:bCs/>
        </w:rPr>
        <w:t>O recebimento e processamento do presente Habeas Corpus</w:t>
      </w:r>
      <w:r w:rsidRPr="00733EEB">
        <w:rPr>
          <w:rFonts w:ascii="Source Serif Pro" w:hAnsi="Source Serif Pro"/>
        </w:rPr>
        <w:t>, com a juntada dos documentos que o instruem, por se tratar de constrangimento ilegal atual e devidamente demonstrado por prova pré-constituída;</w:t>
      </w:r>
    </w:p>
    <w:p w14:paraId="7F6554BE" w14:textId="16DC3E32" w:rsidR="00733EEB" w:rsidRPr="00733EEB" w:rsidRDefault="00733EEB" w:rsidP="00733EEB">
      <w:pPr>
        <w:pStyle w:val="PargrafodaLista"/>
        <w:numPr>
          <w:ilvl w:val="0"/>
          <w:numId w:val="40"/>
        </w:numPr>
        <w:spacing w:before="120" w:after="120" w:line="312" w:lineRule="auto"/>
        <w:jc w:val="both"/>
        <w:rPr>
          <w:rFonts w:ascii="Source Serif Pro" w:hAnsi="Source Serif Pro"/>
        </w:rPr>
      </w:pPr>
      <w:r w:rsidRPr="00733EEB">
        <w:rPr>
          <w:rFonts w:ascii="Source Serif Pro" w:hAnsi="Source Serif Pro"/>
          <w:b/>
          <w:bCs/>
        </w:rPr>
        <w:t>A concessão da medida liminar</w:t>
      </w:r>
      <w:r w:rsidRPr="00733EEB">
        <w:rPr>
          <w:rFonts w:ascii="Source Serif Pro" w:hAnsi="Source Serif Pro"/>
        </w:rPr>
        <w:t xml:space="preserve">, para que seja imediatamente assegurada a </w:t>
      </w:r>
      <w:r w:rsidRPr="00733EEB">
        <w:rPr>
          <w:rFonts w:ascii="Source Serif Pro" w:hAnsi="Source Serif Pro"/>
          <w:b/>
          <w:bCs/>
        </w:rPr>
        <w:t>liberdade provisória do Paciente</w:t>
      </w:r>
      <w:r w:rsidRPr="00733EEB">
        <w:rPr>
          <w:rFonts w:ascii="Source Serif Pro" w:hAnsi="Source Serif Pro"/>
        </w:rPr>
        <w:t xml:space="preserve">, com a expedição de </w:t>
      </w:r>
      <w:r w:rsidRPr="00733EEB">
        <w:rPr>
          <w:rFonts w:ascii="Source Serif Pro" w:hAnsi="Source Serif Pro"/>
          <w:b/>
          <w:bCs/>
        </w:rPr>
        <w:t>alvará de soltura</w:t>
      </w:r>
      <w:r w:rsidRPr="00733EEB">
        <w:rPr>
          <w:rFonts w:ascii="Source Serif Pro" w:hAnsi="Source Serif Pro"/>
        </w:rPr>
        <w:t>, se por outro motivo não estiver preso, diante da plausibilidade jurídica do pedido e do risco concreto decorrente da manutenção indevida da custódia;</w:t>
      </w:r>
    </w:p>
    <w:p w14:paraId="5F89B9B4" w14:textId="77777777" w:rsidR="00733EEB" w:rsidRPr="00733EEB" w:rsidRDefault="00733EEB" w:rsidP="00733EEB">
      <w:pPr>
        <w:pStyle w:val="PargrafodaLista"/>
        <w:numPr>
          <w:ilvl w:val="0"/>
          <w:numId w:val="40"/>
        </w:numPr>
        <w:spacing w:before="120" w:after="120" w:line="312" w:lineRule="auto"/>
        <w:jc w:val="both"/>
        <w:rPr>
          <w:rFonts w:ascii="Source Serif Pro" w:hAnsi="Source Serif Pro"/>
        </w:rPr>
      </w:pPr>
      <w:r w:rsidRPr="00733EEB">
        <w:rPr>
          <w:rFonts w:ascii="Source Serif Pro" w:hAnsi="Source Serif Pro"/>
          <w:b/>
          <w:bCs/>
        </w:rPr>
        <w:t>Subsidiariamente</w:t>
      </w:r>
      <w:r w:rsidRPr="00733EEB">
        <w:rPr>
          <w:rFonts w:ascii="Source Serif Pro" w:hAnsi="Source Serif Pro"/>
        </w:rPr>
        <w:t xml:space="preserve">, caso Vossa Excelência entenda pela necessidade de cautela, que a liminar seja deferida mediante a imposição de </w:t>
      </w:r>
      <w:r w:rsidRPr="00733EEB">
        <w:rPr>
          <w:rFonts w:ascii="Source Serif Pro" w:hAnsi="Source Serif Pro"/>
          <w:b/>
          <w:bCs/>
        </w:rPr>
        <w:t>medidas cautelares diversas da prisão</w:t>
      </w:r>
      <w:r w:rsidRPr="00733EEB">
        <w:rPr>
          <w:rFonts w:ascii="Source Serif Pro" w:hAnsi="Source Serif Pro"/>
        </w:rPr>
        <w:t>, em especial:</w:t>
      </w:r>
    </w:p>
    <w:p w14:paraId="709C2333" w14:textId="77777777" w:rsidR="00733EEB" w:rsidRPr="00733EEB" w:rsidRDefault="00733EEB" w:rsidP="00733EEB">
      <w:pPr>
        <w:pStyle w:val="PargrafodaLista"/>
        <w:numPr>
          <w:ilvl w:val="1"/>
          <w:numId w:val="40"/>
        </w:numPr>
        <w:spacing w:before="120" w:after="120" w:line="312" w:lineRule="auto"/>
        <w:jc w:val="both"/>
        <w:rPr>
          <w:rFonts w:ascii="Source Serif Pro" w:hAnsi="Source Serif Pro"/>
        </w:rPr>
      </w:pPr>
      <w:r w:rsidRPr="00733EEB">
        <w:rPr>
          <w:rFonts w:ascii="Source Serif Pro" w:hAnsi="Source Serif Pro"/>
        </w:rPr>
        <w:t xml:space="preserve">Com </w:t>
      </w:r>
      <w:proofErr w:type="spellStart"/>
      <w:r w:rsidRPr="00733EEB">
        <w:rPr>
          <w:rFonts w:ascii="Source Serif Pro" w:hAnsi="Source Serif Pro"/>
        </w:rPr>
        <w:t>parecimento</w:t>
      </w:r>
      <w:proofErr w:type="spellEnd"/>
      <w:r w:rsidRPr="00733EEB">
        <w:rPr>
          <w:rFonts w:ascii="Source Serif Pro" w:hAnsi="Source Serif Pro"/>
        </w:rPr>
        <w:t xml:space="preserve"> periódico em juízo;</w:t>
      </w:r>
    </w:p>
    <w:p w14:paraId="57504FB0" w14:textId="77777777" w:rsidR="00733EEB" w:rsidRPr="00733EEB" w:rsidRDefault="00733EEB" w:rsidP="00733EEB">
      <w:pPr>
        <w:pStyle w:val="PargrafodaLista"/>
        <w:numPr>
          <w:ilvl w:val="1"/>
          <w:numId w:val="40"/>
        </w:numPr>
        <w:spacing w:before="120" w:after="120" w:line="312" w:lineRule="auto"/>
        <w:jc w:val="both"/>
        <w:rPr>
          <w:rFonts w:ascii="Source Serif Pro" w:hAnsi="Source Serif Pro"/>
        </w:rPr>
      </w:pPr>
      <w:r w:rsidRPr="00733EEB">
        <w:rPr>
          <w:rFonts w:ascii="Source Serif Pro" w:hAnsi="Source Serif Pro"/>
        </w:rPr>
        <w:t>proibição de ausentar-se da comarca sem autorização judicial;</w:t>
      </w:r>
    </w:p>
    <w:p w14:paraId="7B4328E3" w14:textId="77777777" w:rsidR="00733EEB" w:rsidRPr="00733EEB" w:rsidRDefault="00733EEB" w:rsidP="00733EEB">
      <w:pPr>
        <w:pStyle w:val="PargrafodaLista"/>
        <w:numPr>
          <w:ilvl w:val="1"/>
          <w:numId w:val="40"/>
        </w:numPr>
        <w:spacing w:before="120" w:after="120" w:line="312" w:lineRule="auto"/>
        <w:jc w:val="both"/>
        <w:rPr>
          <w:rFonts w:ascii="Source Serif Pro" w:hAnsi="Source Serif Pro"/>
        </w:rPr>
      </w:pPr>
      <w:r w:rsidRPr="00733EEB">
        <w:rPr>
          <w:rFonts w:ascii="Source Serif Pro" w:hAnsi="Source Serif Pro"/>
        </w:rPr>
        <w:t>obrigação de manter endereço atualizado;</w:t>
      </w:r>
    </w:p>
    <w:p w14:paraId="6D710098" w14:textId="1A855D99" w:rsidR="00733EEB" w:rsidRPr="00733EEB" w:rsidRDefault="00733EEB" w:rsidP="00733EEB">
      <w:pPr>
        <w:pStyle w:val="PargrafodaLista"/>
        <w:numPr>
          <w:ilvl w:val="1"/>
          <w:numId w:val="40"/>
        </w:numPr>
        <w:spacing w:before="120" w:after="120" w:line="312" w:lineRule="auto"/>
        <w:jc w:val="both"/>
        <w:rPr>
          <w:rFonts w:ascii="Source Serif Pro" w:hAnsi="Source Serif Pro"/>
        </w:rPr>
      </w:pPr>
      <w:r w:rsidRPr="00733EEB">
        <w:rPr>
          <w:rFonts w:ascii="Source Serif Pro" w:hAnsi="Source Serif Pro"/>
        </w:rPr>
        <w:t>recolhimento domiciliar noturno e nos dias de folga, se reputado necessário;</w:t>
      </w:r>
    </w:p>
    <w:p w14:paraId="2330C5ED" w14:textId="2CD1FF7B" w:rsidR="00733EEB" w:rsidRPr="00733EEB" w:rsidRDefault="00733EEB" w:rsidP="00733EEB">
      <w:pPr>
        <w:pStyle w:val="PargrafodaLista"/>
        <w:numPr>
          <w:ilvl w:val="0"/>
          <w:numId w:val="40"/>
        </w:numPr>
        <w:spacing w:before="120" w:after="120" w:line="312" w:lineRule="auto"/>
        <w:jc w:val="both"/>
        <w:rPr>
          <w:rFonts w:ascii="Source Serif Pro" w:hAnsi="Source Serif Pro"/>
        </w:rPr>
      </w:pPr>
      <w:r w:rsidRPr="00733EEB">
        <w:rPr>
          <w:rFonts w:ascii="Source Serif Pro" w:hAnsi="Source Serif Pro"/>
          <w:b/>
          <w:bCs/>
        </w:rPr>
        <w:t>No mérito</w:t>
      </w:r>
      <w:r w:rsidRPr="00733EEB">
        <w:rPr>
          <w:rFonts w:ascii="Source Serif Pro" w:hAnsi="Source Serif Pro"/>
        </w:rPr>
        <w:t xml:space="preserve">, a concessão definitiva da ordem para </w:t>
      </w:r>
      <w:r w:rsidRPr="00733EEB">
        <w:rPr>
          <w:rFonts w:ascii="Source Serif Pro" w:hAnsi="Source Serif Pro"/>
          <w:b/>
          <w:bCs/>
        </w:rPr>
        <w:t>cassação da decisão que negou a liberdade provisória</w:t>
      </w:r>
      <w:r w:rsidRPr="00733EEB">
        <w:rPr>
          <w:rFonts w:ascii="Source Serif Pro" w:hAnsi="Source Serif Pro"/>
        </w:rPr>
        <w:t xml:space="preserve"> (e/ou manteve a custódia cautelar), reconhecendo-se a </w:t>
      </w:r>
      <w:r w:rsidRPr="00733EEB">
        <w:rPr>
          <w:rFonts w:ascii="Source Serif Pro" w:hAnsi="Source Serif Pro"/>
          <w:b/>
          <w:bCs/>
        </w:rPr>
        <w:t>ausência de fundamentação idônea</w:t>
      </w:r>
      <w:r w:rsidRPr="00733EEB">
        <w:rPr>
          <w:rFonts w:ascii="Source Serif Pro" w:hAnsi="Source Serif Pro"/>
        </w:rPr>
        <w:t xml:space="preserve"> por se apoiar em </w:t>
      </w:r>
      <w:r w:rsidRPr="00733EEB">
        <w:rPr>
          <w:rFonts w:ascii="Source Serif Pro" w:hAnsi="Source Serif Pro"/>
          <w:b/>
          <w:bCs/>
        </w:rPr>
        <w:t>gravidade abstrata</w:t>
      </w:r>
      <w:r w:rsidRPr="00733EEB">
        <w:rPr>
          <w:rFonts w:ascii="Source Serif Pro" w:hAnsi="Source Serif Pro"/>
        </w:rPr>
        <w:t xml:space="preserve"> e inexistirem elementos concretos aptos a demonstrar periculosidade real, garantindo-se ao Paciente o direito de </w:t>
      </w:r>
      <w:r w:rsidRPr="00733EEB">
        <w:rPr>
          <w:rFonts w:ascii="Source Serif Pro" w:hAnsi="Source Serif Pro"/>
          <w:b/>
          <w:bCs/>
        </w:rPr>
        <w:t>responder ao processo em liberdade</w:t>
      </w:r>
      <w:r w:rsidRPr="00733EEB">
        <w:rPr>
          <w:rFonts w:ascii="Source Serif Pro" w:hAnsi="Source Serif Pro"/>
        </w:rPr>
        <w:t>;</w:t>
      </w:r>
    </w:p>
    <w:p w14:paraId="191844BF" w14:textId="394FF0A0"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62436F66"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834BE1">
        <w:rPr>
          <w:rFonts w:ascii="Source Serif Pro" w:hAnsi="Source Serif Pro"/>
          <w:noProof/>
        </w:rPr>
        <w:t>25 de dezembro de 2025</w:t>
      </w:r>
      <w:r w:rsidR="0015581C">
        <w:rPr>
          <w:rFonts w:ascii="Source Serif Pro" w:hAnsi="Source Serif Pro"/>
        </w:rPr>
        <w:fldChar w:fldCharType="end"/>
      </w:r>
      <w:r w:rsidR="0015581C" w:rsidRPr="0015581C">
        <w:rPr>
          <w:rFonts w:ascii="Source Serif Pro" w:hAnsi="Source Serif Pro"/>
        </w:rPr>
        <w:t>.</w:t>
      </w:r>
    </w:p>
    <w:p w14:paraId="2DA090D7" w14:textId="533CF80C"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sectPr w:rsidR="0015581C" w:rsidSect="00D9239D">
      <w:headerReference w:type="default" r:id="rId8"/>
      <w:footerReference w:type="default" r:id="rId9"/>
      <w:headerReference w:type="first" r:id="rId10"/>
      <w:footerReference w:type="first" r:id="rId11"/>
      <w:pgSz w:w="11906" w:h="16838"/>
      <w:pgMar w:top="1778"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EAB91" w14:textId="77777777" w:rsidR="000305F0" w:rsidRDefault="000305F0" w:rsidP="00BA1F94">
      <w:pPr>
        <w:spacing w:after="0" w:line="240" w:lineRule="auto"/>
      </w:pPr>
      <w:r>
        <w:separator/>
      </w:r>
    </w:p>
  </w:endnote>
  <w:endnote w:type="continuationSeparator" w:id="0">
    <w:p w14:paraId="2FA87A4A" w14:textId="77777777" w:rsidR="000305F0" w:rsidRDefault="000305F0"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32A23E0" w:rsidR="001E7DF5" w:rsidRPr="00D14593" w:rsidRDefault="00860199"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2114489095"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32A6B654"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proofErr w:type="gramStart"/>
    <w:r w:rsidRPr="00A97C42">
      <w:rPr>
        <w:rFonts w:ascii="Source Sans Pro" w:hAnsi="Source Sans Pro"/>
        <w:color w:val="0B0F23"/>
        <w:sz w:val="20"/>
        <w:szCs w:val="20"/>
      </w:rPr>
      <w:t>www.guarnierimartins.com.br</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 xml:space="preserve"> contato@guarnierimartins.com.br</w:t>
    </w:r>
    <w:proofErr w:type="gramEnd"/>
  </w:p>
  <w:p w14:paraId="1E5600C1" w14:textId="5A722ACD"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(67)9.9624-9366</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497AA" w14:textId="77777777" w:rsidR="000305F0" w:rsidRDefault="000305F0" w:rsidP="00BA1F94">
      <w:pPr>
        <w:spacing w:after="0" w:line="240" w:lineRule="auto"/>
      </w:pPr>
      <w:r>
        <w:separator/>
      </w:r>
    </w:p>
  </w:footnote>
  <w:footnote w:type="continuationSeparator" w:id="0">
    <w:p w14:paraId="50C267E1" w14:textId="77777777" w:rsidR="000305F0" w:rsidRDefault="000305F0"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33351E06" w:rsidR="00585236" w:rsidRDefault="00470C2A" w:rsidP="00585236">
    <w:pPr>
      <w:pStyle w:val="Cabealho"/>
      <w:jc w:val="center"/>
    </w:pPr>
    <w:r>
      <w:rPr>
        <w:noProof/>
      </w:rPr>
      <w:drawing>
        <wp:inline distT="0" distB="0" distL="0" distR="0" wp14:anchorId="17CDA9D8" wp14:editId="3826484A">
          <wp:extent cx="1904762" cy="800000"/>
          <wp:effectExtent l="0" t="0" r="635" b="635"/>
          <wp:docPr id="204057992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79922" name="Imagem 1" descr="Texto&#10;&#10;O conteúdo gerado por IA pode estar incorreto."/>
                  <pic:cNvPicPr/>
                </pic:nvPicPr>
                <pic:blipFill>
                  <a:blip r:embed="rId1"/>
                  <a:stretch>
                    <a:fillRect/>
                  </a:stretch>
                </pic:blipFill>
                <pic:spPr>
                  <a:xfrm>
                    <a:off x="0" y="0"/>
                    <a:ext cx="1904762" cy="80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75358267"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3777119"/>
    <w:multiLevelType w:val="hybridMultilevel"/>
    <w:tmpl w:val="DE66975C"/>
    <w:lvl w:ilvl="0" w:tplc="496E87F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14CC7B9E"/>
    <w:multiLevelType w:val="hybridMultilevel"/>
    <w:tmpl w:val="C3F0437C"/>
    <w:lvl w:ilvl="0" w:tplc="4EAC98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155178C9"/>
    <w:multiLevelType w:val="hybridMultilevel"/>
    <w:tmpl w:val="1FF0C500"/>
    <w:lvl w:ilvl="0" w:tplc="04160019">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62B22D5"/>
    <w:multiLevelType w:val="hybridMultilevel"/>
    <w:tmpl w:val="9A3A1EFE"/>
    <w:lvl w:ilvl="0" w:tplc="F146C3D4">
      <w:start w:val="1"/>
      <w:numFmt w:val="decimal"/>
      <w:pStyle w:val="Ttulo1"/>
      <w:lvlText w:val="%1."/>
      <w:lvlJc w:val="left"/>
      <w:pPr>
        <w:ind w:left="3479"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9" w15:restartNumberingAfterBreak="0">
    <w:nsid w:val="19B56DA4"/>
    <w:multiLevelType w:val="hybridMultilevel"/>
    <w:tmpl w:val="9AEAB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2"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4"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16528"/>
    <w:multiLevelType w:val="hybridMultilevel"/>
    <w:tmpl w:val="05AABD4C"/>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6"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7"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0"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1"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2"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3"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4"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DD57AA"/>
    <w:multiLevelType w:val="hybridMultilevel"/>
    <w:tmpl w:val="9744B53C"/>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6" w15:restartNumberingAfterBreak="0">
    <w:nsid w:val="61524E9E"/>
    <w:multiLevelType w:val="hybridMultilevel"/>
    <w:tmpl w:val="A18AB8A6"/>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7" w15:restartNumberingAfterBreak="0">
    <w:nsid w:val="61BC3635"/>
    <w:multiLevelType w:val="hybridMultilevel"/>
    <w:tmpl w:val="5C12B40E"/>
    <w:lvl w:ilvl="0" w:tplc="0416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30"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68648E4"/>
    <w:multiLevelType w:val="hybridMultilevel"/>
    <w:tmpl w:val="2110CD96"/>
    <w:lvl w:ilvl="0" w:tplc="8B7480CC">
      <w:start w:val="1"/>
      <w:numFmt w:val="decimal"/>
      <w:lvlText w:val="%1."/>
      <w:lvlJc w:val="left"/>
      <w:pPr>
        <w:ind w:left="1211" w:hanging="360"/>
      </w:pPr>
      <w:rPr>
        <w:rFonts w:hint="default"/>
        <w:b w:val="0"/>
        <w:bCs/>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6"/>
  </w:num>
  <w:num w:numId="2" w16cid:durableId="1455253303">
    <w:abstractNumId w:val="16"/>
  </w:num>
  <w:num w:numId="3" w16cid:durableId="555554971">
    <w:abstractNumId w:val="6"/>
  </w:num>
  <w:num w:numId="4" w16cid:durableId="1971129295">
    <w:abstractNumId w:val="6"/>
  </w:num>
  <w:num w:numId="5" w16cid:durableId="555433521">
    <w:abstractNumId w:val="6"/>
  </w:num>
  <w:num w:numId="6" w16cid:durableId="376053507">
    <w:abstractNumId w:val="6"/>
  </w:num>
  <w:num w:numId="7" w16cid:durableId="1819492703">
    <w:abstractNumId w:val="1"/>
  </w:num>
  <w:num w:numId="8" w16cid:durableId="214002896">
    <w:abstractNumId w:val="12"/>
  </w:num>
  <w:num w:numId="9" w16cid:durableId="1186557910">
    <w:abstractNumId w:val="20"/>
  </w:num>
  <w:num w:numId="10" w16cid:durableId="45959775">
    <w:abstractNumId w:val="6"/>
  </w:num>
  <w:num w:numId="11" w16cid:durableId="698555142">
    <w:abstractNumId w:val="6"/>
  </w:num>
  <w:num w:numId="12" w16cid:durableId="169760788">
    <w:abstractNumId w:val="17"/>
  </w:num>
  <w:num w:numId="13" w16cid:durableId="1542085398">
    <w:abstractNumId w:val="13"/>
  </w:num>
  <w:num w:numId="14" w16cid:durableId="1800220788">
    <w:abstractNumId w:val="32"/>
  </w:num>
  <w:num w:numId="15" w16cid:durableId="189689990">
    <w:abstractNumId w:val="24"/>
  </w:num>
  <w:num w:numId="16" w16cid:durableId="106320463">
    <w:abstractNumId w:val="29"/>
  </w:num>
  <w:num w:numId="17" w16cid:durableId="757795001">
    <w:abstractNumId w:val="8"/>
  </w:num>
  <w:num w:numId="18" w16cid:durableId="507915239">
    <w:abstractNumId w:val="28"/>
  </w:num>
  <w:num w:numId="19" w16cid:durableId="985084700">
    <w:abstractNumId w:val="23"/>
  </w:num>
  <w:num w:numId="20" w16cid:durableId="700283364">
    <w:abstractNumId w:val="21"/>
  </w:num>
  <w:num w:numId="21" w16cid:durableId="895627114">
    <w:abstractNumId w:val="11"/>
  </w:num>
  <w:num w:numId="22" w16cid:durableId="2089496448">
    <w:abstractNumId w:val="6"/>
  </w:num>
  <w:num w:numId="23" w16cid:durableId="561600074">
    <w:abstractNumId w:val="0"/>
  </w:num>
  <w:num w:numId="24" w16cid:durableId="278606713">
    <w:abstractNumId w:val="22"/>
  </w:num>
  <w:num w:numId="25" w16cid:durableId="556820897">
    <w:abstractNumId w:val="7"/>
  </w:num>
  <w:num w:numId="26" w16cid:durableId="648704854">
    <w:abstractNumId w:val="3"/>
  </w:num>
  <w:num w:numId="27" w16cid:durableId="1146168893">
    <w:abstractNumId w:val="18"/>
  </w:num>
  <w:num w:numId="28" w16cid:durableId="1280070271">
    <w:abstractNumId w:val="10"/>
  </w:num>
  <w:num w:numId="29" w16cid:durableId="1163280356">
    <w:abstractNumId w:val="14"/>
  </w:num>
  <w:num w:numId="30" w16cid:durableId="1479685322">
    <w:abstractNumId w:val="30"/>
  </w:num>
  <w:num w:numId="31" w16cid:durableId="939022436">
    <w:abstractNumId w:val="19"/>
  </w:num>
  <w:num w:numId="32" w16cid:durableId="1358387731">
    <w:abstractNumId w:val="31"/>
  </w:num>
  <w:num w:numId="33" w16cid:durableId="1918588421">
    <w:abstractNumId w:val="15"/>
  </w:num>
  <w:num w:numId="34" w16cid:durableId="508368672">
    <w:abstractNumId w:val="9"/>
  </w:num>
  <w:num w:numId="35" w16cid:durableId="997265681">
    <w:abstractNumId w:val="26"/>
  </w:num>
  <w:num w:numId="36" w16cid:durableId="1900631713">
    <w:abstractNumId w:val="4"/>
  </w:num>
  <w:num w:numId="37" w16cid:durableId="2024433701">
    <w:abstractNumId w:val="2"/>
  </w:num>
  <w:num w:numId="38" w16cid:durableId="1840001282">
    <w:abstractNumId w:val="25"/>
  </w:num>
  <w:num w:numId="39" w16cid:durableId="1933540667">
    <w:abstractNumId w:val="5"/>
  </w:num>
  <w:num w:numId="40" w16cid:durableId="12066048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15D08"/>
    <w:rsid w:val="00021F5D"/>
    <w:rsid w:val="000305F0"/>
    <w:rsid w:val="000447DD"/>
    <w:rsid w:val="00045565"/>
    <w:rsid w:val="000633B8"/>
    <w:rsid w:val="000765C6"/>
    <w:rsid w:val="000911F8"/>
    <w:rsid w:val="000A234B"/>
    <w:rsid w:val="000B1C85"/>
    <w:rsid w:val="000B2591"/>
    <w:rsid w:val="000B5216"/>
    <w:rsid w:val="000D6878"/>
    <w:rsid w:val="0011164C"/>
    <w:rsid w:val="001153D8"/>
    <w:rsid w:val="00133E06"/>
    <w:rsid w:val="00144A4B"/>
    <w:rsid w:val="00151D12"/>
    <w:rsid w:val="0015581C"/>
    <w:rsid w:val="00163268"/>
    <w:rsid w:val="0018525B"/>
    <w:rsid w:val="001C6CDD"/>
    <w:rsid w:val="001C6CE0"/>
    <w:rsid w:val="001D0EC8"/>
    <w:rsid w:val="001E64BE"/>
    <w:rsid w:val="001E7DF5"/>
    <w:rsid w:val="001F2F1D"/>
    <w:rsid w:val="001F3409"/>
    <w:rsid w:val="001F36B6"/>
    <w:rsid w:val="00202E8F"/>
    <w:rsid w:val="00205995"/>
    <w:rsid w:val="0021210F"/>
    <w:rsid w:val="0021462C"/>
    <w:rsid w:val="0023351C"/>
    <w:rsid w:val="00244EEE"/>
    <w:rsid w:val="00255925"/>
    <w:rsid w:val="00265B72"/>
    <w:rsid w:val="002731A1"/>
    <w:rsid w:val="002731A6"/>
    <w:rsid w:val="002A18AC"/>
    <w:rsid w:val="002A4C6E"/>
    <w:rsid w:val="002A79CB"/>
    <w:rsid w:val="002C012C"/>
    <w:rsid w:val="002C610B"/>
    <w:rsid w:val="002C7BE1"/>
    <w:rsid w:val="002D3115"/>
    <w:rsid w:val="002D79D9"/>
    <w:rsid w:val="002E0484"/>
    <w:rsid w:val="002F00FD"/>
    <w:rsid w:val="002F4394"/>
    <w:rsid w:val="00307183"/>
    <w:rsid w:val="0032114D"/>
    <w:rsid w:val="003224CD"/>
    <w:rsid w:val="00323708"/>
    <w:rsid w:val="00332135"/>
    <w:rsid w:val="00334B83"/>
    <w:rsid w:val="00335715"/>
    <w:rsid w:val="0035269F"/>
    <w:rsid w:val="003602F7"/>
    <w:rsid w:val="00377552"/>
    <w:rsid w:val="00383D06"/>
    <w:rsid w:val="00385345"/>
    <w:rsid w:val="003970B0"/>
    <w:rsid w:val="003A171C"/>
    <w:rsid w:val="003A1DD2"/>
    <w:rsid w:val="003A4B72"/>
    <w:rsid w:val="003A76A4"/>
    <w:rsid w:val="003A7CB9"/>
    <w:rsid w:val="003B706F"/>
    <w:rsid w:val="003C4652"/>
    <w:rsid w:val="0041600B"/>
    <w:rsid w:val="00421C44"/>
    <w:rsid w:val="00435014"/>
    <w:rsid w:val="0044781C"/>
    <w:rsid w:val="004526A3"/>
    <w:rsid w:val="00460C3B"/>
    <w:rsid w:val="00462A1D"/>
    <w:rsid w:val="00466093"/>
    <w:rsid w:val="00470C2A"/>
    <w:rsid w:val="00473494"/>
    <w:rsid w:val="00483C5B"/>
    <w:rsid w:val="00497AA0"/>
    <w:rsid w:val="004A1397"/>
    <w:rsid w:val="004B23AC"/>
    <w:rsid w:val="004C2B0E"/>
    <w:rsid w:val="004C78F2"/>
    <w:rsid w:val="004E1F61"/>
    <w:rsid w:val="004E32D6"/>
    <w:rsid w:val="004F6860"/>
    <w:rsid w:val="00502064"/>
    <w:rsid w:val="00510D1D"/>
    <w:rsid w:val="005271CA"/>
    <w:rsid w:val="00547988"/>
    <w:rsid w:val="00552F50"/>
    <w:rsid w:val="0056423A"/>
    <w:rsid w:val="005701F5"/>
    <w:rsid w:val="005702CF"/>
    <w:rsid w:val="00575469"/>
    <w:rsid w:val="00576D3A"/>
    <w:rsid w:val="005811CD"/>
    <w:rsid w:val="00585236"/>
    <w:rsid w:val="005926D6"/>
    <w:rsid w:val="00596D6C"/>
    <w:rsid w:val="005A01D2"/>
    <w:rsid w:val="005A6E55"/>
    <w:rsid w:val="005C54F8"/>
    <w:rsid w:val="005C7877"/>
    <w:rsid w:val="005E2F23"/>
    <w:rsid w:val="005F47A7"/>
    <w:rsid w:val="00617C7C"/>
    <w:rsid w:val="00636660"/>
    <w:rsid w:val="00636D00"/>
    <w:rsid w:val="006419C1"/>
    <w:rsid w:val="0064461A"/>
    <w:rsid w:val="0066103B"/>
    <w:rsid w:val="00672F34"/>
    <w:rsid w:val="00673A8C"/>
    <w:rsid w:val="006916BF"/>
    <w:rsid w:val="006A3AEB"/>
    <w:rsid w:val="006B1A62"/>
    <w:rsid w:val="006B1C85"/>
    <w:rsid w:val="006C5729"/>
    <w:rsid w:val="006D5BE0"/>
    <w:rsid w:val="006E26AE"/>
    <w:rsid w:val="006F33DE"/>
    <w:rsid w:val="007020CA"/>
    <w:rsid w:val="00703D38"/>
    <w:rsid w:val="00714F6F"/>
    <w:rsid w:val="00716747"/>
    <w:rsid w:val="00716815"/>
    <w:rsid w:val="00720D57"/>
    <w:rsid w:val="00724E8D"/>
    <w:rsid w:val="00733EEB"/>
    <w:rsid w:val="00746620"/>
    <w:rsid w:val="0075224F"/>
    <w:rsid w:val="00763304"/>
    <w:rsid w:val="007666DF"/>
    <w:rsid w:val="007952F5"/>
    <w:rsid w:val="007A0B17"/>
    <w:rsid w:val="007B7295"/>
    <w:rsid w:val="007C0711"/>
    <w:rsid w:val="007C53FC"/>
    <w:rsid w:val="007C59F9"/>
    <w:rsid w:val="007E3DC1"/>
    <w:rsid w:val="007F0F05"/>
    <w:rsid w:val="00802A06"/>
    <w:rsid w:val="0081592C"/>
    <w:rsid w:val="00821F7B"/>
    <w:rsid w:val="008235F0"/>
    <w:rsid w:val="00834BE1"/>
    <w:rsid w:val="0084651A"/>
    <w:rsid w:val="00860199"/>
    <w:rsid w:val="00870DC9"/>
    <w:rsid w:val="00880278"/>
    <w:rsid w:val="00884412"/>
    <w:rsid w:val="008A0FB6"/>
    <w:rsid w:val="008A42DE"/>
    <w:rsid w:val="008A5E1E"/>
    <w:rsid w:val="008B00B1"/>
    <w:rsid w:val="008B03CF"/>
    <w:rsid w:val="008B41F3"/>
    <w:rsid w:val="008F0F7D"/>
    <w:rsid w:val="00902436"/>
    <w:rsid w:val="00915234"/>
    <w:rsid w:val="00916E64"/>
    <w:rsid w:val="00923F88"/>
    <w:rsid w:val="00924899"/>
    <w:rsid w:val="00933297"/>
    <w:rsid w:val="00964DE7"/>
    <w:rsid w:val="009825A3"/>
    <w:rsid w:val="00983A54"/>
    <w:rsid w:val="0099073D"/>
    <w:rsid w:val="0099435F"/>
    <w:rsid w:val="00996DA0"/>
    <w:rsid w:val="009A601B"/>
    <w:rsid w:val="009D129F"/>
    <w:rsid w:val="009D178E"/>
    <w:rsid w:val="009D22A7"/>
    <w:rsid w:val="009E098F"/>
    <w:rsid w:val="009E6E78"/>
    <w:rsid w:val="009F161E"/>
    <w:rsid w:val="009F311E"/>
    <w:rsid w:val="00A01420"/>
    <w:rsid w:val="00A108DD"/>
    <w:rsid w:val="00A22EBA"/>
    <w:rsid w:val="00A432E2"/>
    <w:rsid w:val="00A43376"/>
    <w:rsid w:val="00A447FD"/>
    <w:rsid w:val="00A47F27"/>
    <w:rsid w:val="00A67F26"/>
    <w:rsid w:val="00A73B53"/>
    <w:rsid w:val="00A82AD8"/>
    <w:rsid w:val="00A8787D"/>
    <w:rsid w:val="00A87D34"/>
    <w:rsid w:val="00A97C42"/>
    <w:rsid w:val="00AA08C3"/>
    <w:rsid w:val="00AA226A"/>
    <w:rsid w:val="00AA31B3"/>
    <w:rsid w:val="00AB2011"/>
    <w:rsid w:val="00AB3E64"/>
    <w:rsid w:val="00AC0BB4"/>
    <w:rsid w:val="00B0317F"/>
    <w:rsid w:val="00B04357"/>
    <w:rsid w:val="00B24A33"/>
    <w:rsid w:val="00B36DE2"/>
    <w:rsid w:val="00B57D96"/>
    <w:rsid w:val="00B7307A"/>
    <w:rsid w:val="00B77BFB"/>
    <w:rsid w:val="00B77E49"/>
    <w:rsid w:val="00B85546"/>
    <w:rsid w:val="00B85981"/>
    <w:rsid w:val="00B87032"/>
    <w:rsid w:val="00B92FD1"/>
    <w:rsid w:val="00B968CC"/>
    <w:rsid w:val="00BA1F94"/>
    <w:rsid w:val="00BA5370"/>
    <w:rsid w:val="00BC28F2"/>
    <w:rsid w:val="00BC6F5E"/>
    <w:rsid w:val="00BC781A"/>
    <w:rsid w:val="00BD229E"/>
    <w:rsid w:val="00BE6274"/>
    <w:rsid w:val="00BF19AB"/>
    <w:rsid w:val="00BF64DD"/>
    <w:rsid w:val="00C04F56"/>
    <w:rsid w:val="00C05AC4"/>
    <w:rsid w:val="00C061A6"/>
    <w:rsid w:val="00C12FC6"/>
    <w:rsid w:val="00C1367E"/>
    <w:rsid w:val="00C30B7B"/>
    <w:rsid w:val="00C34436"/>
    <w:rsid w:val="00C42738"/>
    <w:rsid w:val="00C56908"/>
    <w:rsid w:val="00C86BDE"/>
    <w:rsid w:val="00C925C7"/>
    <w:rsid w:val="00C9595C"/>
    <w:rsid w:val="00CA2809"/>
    <w:rsid w:val="00CA3287"/>
    <w:rsid w:val="00CB50FF"/>
    <w:rsid w:val="00CE6C3F"/>
    <w:rsid w:val="00CF11A1"/>
    <w:rsid w:val="00D14593"/>
    <w:rsid w:val="00D343B2"/>
    <w:rsid w:val="00D37B62"/>
    <w:rsid w:val="00D45C54"/>
    <w:rsid w:val="00D75D54"/>
    <w:rsid w:val="00D7692D"/>
    <w:rsid w:val="00D8503E"/>
    <w:rsid w:val="00D9239D"/>
    <w:rsid w:val="00D934F0"/>
    <w:rsid w:val="00D94708"/>
    <w:rsid w:val="00D972AE"/>
    <w:rsid w:val="00DB0C17"/>
    <w:rsid w:val="00DB287D"/>
    <w:rsid w:val="00DB7797"/>
    <w:rsid w:val="00DD04F4"/>
    <w:rsid w:val="00DE193B"/>
    <w:rsid w:val="00DE3694"/>
    <w:rsid w:val="00DE43FF"/>
    <w:rsid w:val="00E15CB7"/>
    <w:rsid w:val="00E260D2"/>
    <w:rsid w:val="00E70A06"/>
    <w:rsid w:val="00E70C92"/>
    <w:rsid w:val="00E939CA"/>
    <w:rsid w:val="00E93C31"/>
    <w:rsid w:val="00E97D85"/>
    <w:rsid w:val="00EA061D"/>
    <w:rsid w:val="00EB0207"/>
    <w:rsid w:val="00ED0C3A"/>
    <w:rsid w:val="00EE0ABC"/>
    <w:rsid w:val="00F10092"/>
    <w:rsid w:val="00F248EB"/>
    <w:rsid w:val="00F3233A"/>
    <w:rsid w:val="00F37C97"/>
    <w:rsid w:val="00F46652"/>
    <w:rsid w:val="00F53D0B"/>
    <w:rsid w:val="00F57C02"/>
    <w:rsid w:val="00F81339"/>
    <w:rsid w:val="00F84566"/>
    <w:rsid w:val="00F85AD9"/>
    <w:rsid w:val="00F961EF"/>
    <w:rsid w:val="00FD13CA"/>
    <w:rsid w:val="00FF33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014"/>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 w:type="paragraph" w:styleId="NormalWeb">
    <w:name w:val="Normal (Web)"/>
    <w:basedOn w:val="Normal"/>
    <w:uiPriority w:val="99"/>
    <w:semiHidden/>
    <w:unhideWhenUsed/>
    <w:rsid w:val="002A79C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2A79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1732</Words>
  <Characters>9701</Characters>
  <Application>Microsoft Office Word</Application>
  <DocSecurity>0</DocSecurity>
  <Lines>190</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5</cp:revision>
  <cp:lastPrinted>2025-10-14T13:26:00Z</cp:lastPrinted>
  <dcterms:created xsi:type="dcterms:W3CDTF">2025-12-25T21:08:00Z</dcterms:created>
  <dcterms:modified xsi:type="dcterms:W3CDTF">2025-12-25T21:15:00Z</dcterms:modified>
</cp:coreProperties>
</file>