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6FF3FD10" w14:textId="77777777" w:rsidR="007E2672" w:rsidRDefault="007E2672" w:rsidP="007E2672">
      <w:pPr>
        <w:pStyle w:val="SemEspaamento"/>
      </w:pPr>
      <w:r>
        <w:t>No dia e horário constantes do Auto de Prisão em Flagrante, o paciente foi abordado e preso sob imputação relacionada ao art. 33 da Lei n. 11.343/06, após diligência policial que resultou na apreensão de substâncias entorpecentes, além de objetos usualmente mencionados como indicativos de traficância (conforme descrito nos documentos do flagrante).</w:t>
      </w:r>
    </w:p>
    <w:p w14:paraId="04F03519" w14:textId="77777777" w:rsidR="007E2672" w:rsidRDefault="007E2672" w:rsidP="007E2672">
      <w:pPr>
        <w:pStyle w:val="SemEspaamento"/>
      </w:pPr>
      <w:r>
        <w:t>Submetido o flagrante à apreciação judicial, o Juízo de origem indeferiu a liberdade provisória e manteve a custódia cautelar, fundamentando a necessidade da prisão, em síntese, na “garantia da ordem pública” e na suposta gravidade do delito, valendo-se de argumentos associados à reprovabilidade do tráfico e a circunstâncias que se confundem com elementos próprios do tipo penal.</w:t>
      </w:r>
    </w:p>
    <w:p w14:paraId="2DA54DAD" w14:textId="222FD8BB" w:rsidR="004E1F61" w:rsidRDefault="007E2672" w:rsidP="007E2672">
      <w:pPr>
        <w:pStyle w:val="SemEspaamento"/>
      </w:pPr>
      <w:r>
        <w:t xml:space="preserve">Ocorre que a decisão não individualizou, com base em fatos concretos e contemporâneos, qualquer risco real decorrente da liberdade do paciente (como reiteração delitiva atual, ameaça à instrução ou intento de fuga), limitando-se a justificar </w:t>
      </w:r>
      <w:r>
        <w:lastRenderedPageBreak/>
        <w:t>o encarceramento pela gravidade em abstrato, razão pela qual a Defesa impetra o presente habeas corpus para ver reconhecido o constrangimento ilegal e assegurada a liberdade do paciente (com ou sem cautelares, se o Juízo entender estritamente necessário).</w:t>
      </w:r>
    </w:p>
    <w:p w14:paraId="1D445A7D" w14:textId="77777777" w:rsidR="00A22EBA" w:rsidRDefault="00A22EBA" w:rsidP="00A22EBA">
      <w:pPr>
        <w:pStyle w:val="SemEspaamento"/>
      </w:pPr>
    </w:p>
    <w:p w14:paraId="4415EA65" w14:textId="77777777" w:rsidR="00834BE1" w:rsidRDefault="00834BE1" w:rsidP="00834BE1">
      <w:pPr>
        <w:pStyle w:val="Ttulo1"/>
        <w:spacing w:before="0" w:after="0" w:line="240" w:lineRule="auto"/>
      </w:pPr>
      <w:r>
        <w:t xml:space="preserve">AUSÊNCIA DE REQUISITO AUTORIZADOR </w:t>
      </w:r>
    </w:p>
    <w:p w14:paraId="17CDF744" w14:textId="359C4F78" w:rsidR="00834BE1" w:rsidRPr="00547988" w:rsidRDefault="00F72477" w:rsidP="00834BE1">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Elementos inerentes ao próprio tipo penal – </w:t>
      </w:r>
      <w:r w:rsidRPr="00F94532">
        <w:rPr>
          <w:rFonts w:ascii="Source Sans Pro" w:hAnsi="Source Sans Pro"/>
          <w:i/>
          <w:iCs/>
          <w:shd w:val="clear" w:color="auto" w:fill="FFFFFF" w:themeFill="background1"/>
        </w:rPr>
        <w:t>AgRg no RHC n. 194.750/CE</w:t>
      </w:r>
    </w:p>
    <w:p w14:paraId="5F108766" w14:textId="77777777" w:rsidR="00F72477" w:rsidRPr="00F72477" w:rsidRDefault="00F72477" w:rsidP="00F72477">
      <w:pPr>
        <w:pStyle w:val="SemEspaamento"/>
      </w:pPr>
      <w:r w:rsidRPr="00F72477">
        <w:t>A prisão preventiva é providência excepcional e somente pode ser decretada ou mantida quando demonstrados, de forma concreta, os requisitos do art. 312 do CPP, notadamente o perigo gerado pelo estado de liberdade do imputado, não se prestando a custódia a funcionar como resposta automática à imputação do tráfico.</w:t>
      </w:r>
    </w:p>
    <w:p w14:paraId="18274CD8" w14:textId="77777777" w:rsidR="00F72477" w:rsidRPr="00F72477" w:rsidRDefault="00F72477" w:rsidP="00F72477">
      <w:pPr>
        <w:pStyle w:val="SemEspaamento"/>
      </w:pPr>
      <w:r w:rsidRPr="00F72477">
        <w:t>O art. 312 do CPP exige, além de prova da existência do crime e indícios de autoria, a demonstração de necessidade cautelar vinculada à garantia da ordem pública, conveniência da instrução ou assegurar a aplicação da lei penal, com indicação de elementos reais que revelem risco atual; por isso, expressões genéricas como “gravidade do delito”, “reprovabilidade social” ou “nocividade das drogas” não suprem o ônus de demonstrar periculum libertatis.</w:t>
      </w:r>
    </w:p>
    <w:p w14:paraId="36BBA674" w14:textId="77777777" w:rsidR="00F72477" w:rsidRPr="00F72477" w:rsidRDefault="00F72477" w:rsidP="00F72477">
      <w:pPr>
        <w:pStyle w:val="SemEspaamento"/>
      </w:pPr>
      <w:r w:rsidRPr="00F72477">
        <w:t>Nessa mesma linha, o art. 315 do CPP impõe que a decisão que decreta ou mantém a preventiva seja motivada e fundamentada, vedando-se fundamentação padronizada e exigindo-se lastro fático idôneo, com referência a elementos concretos do caso, o que impede que o julgador utilize apenas circunstâncias inerentes ao próprio tipo penal para sustentar a cautelar extrema.</w:t>
      </w:r>
    </w:p>
    <w:p w14:paraId="6B196711" w14:textId="3DDA29D1" w:rsidR="002C610B" w:rsidRPr="002C610B" w:rsidRDefault="00F72477" w:rsidP="00F72477">
      <w:pPr>
        <w:pStyle w:val="SemEspaamento"/>
      </w:pPr>
      <w:r w:rsidRPr="00F72477">
        <w:t>No tráfico, é comum que o decreto prisional tente extrair “gravidade concreta” de elementos que, na verdade, compõem o próprio núcleo típico (existência de droga, natureza do entorpecente, potencial difusor, risco social genérico, necessidade de “dar resposta” ao crime), mas isso traduz gravidade em abstrato, pois tais razões serviriam igualmente para qualquer imputação do art. 33 e, justamente por isso, não individualizam a necessidade da prisão.</w:t>
      </w:r>
    </w:p>
    <w:p w14:paraId="4E6DED15" w14:textId="0785BD43" w:rsidR="009D22A7" w:rsidRPr="009D22A7" w:rsidRDefault="00733EEB" w:rsidP="009D22A7">
      <w:pPr>
        <w:pStyle w:val="SemEspaamento"/>
      </w:pPr>
      <w:r>
        <w:t>Nesse sentido tem decidido o Superior Tribunal de Justiça:</w:t>
      </w:r>
    </w:p>
    <w:p w14:paraId="2C448DA6" w14:textId="77777777" w:rsidR="00F72477" w:rsidRDefault="00F72477" w:rsidP="00F72477">
      <w:pPr>
        <w:pStyle w:val="SemEspaamento"/>
        <w:pBdr>
          <w:bottom w:val="single" w:sz="4" w:space="1" w:color="auto"/>
        </w:pBdr>
        <w:spacing w:before="60" w:after="60" w:line="240" w:lineRule="auto"/>
        <w:ind w:left="2268" w:firstLine="0"/>
      </w:pPr>
      <w:bookmarkStart w:id="0" w:name="_Hlk214458189"/>
      <w:r w:rsidRPr="00ED0C3A">
        <w:rPr>
          <w:b/>
          <w:bCs/>
          <w:sz w:val="36"/>
          <w:szCs w:val="36"/>
        </w:rPr>
        <w:lastRenderedPageBreak/>
        <w:t>STJ</w:t>
      </w:r>
      <w:r>
        <w:t xml:space="preserve"> </w:t>
      </w:r>
      <w:r w:rsidRPr="00ED0C3A">
        <w:rPr>
          <w:color w:val="808080" w:themeColor="background1" w:themeShade="80"/>
        </w:rPr>
        <w:t xml:space="preserve">– </w:t>
      </w:r>
      <w:bookmarkEnd w:id="0"/>
      <w:r w:rsidRPr="00E60E76">
        <w:rPr>
          <w:color w:val="808080" w:themeColor="background1" w:themeShade="80"/>
        </w:rPr>
        <w:t>AgRg no RHC n. 194.750/CE, relator Ministro Ribeiro Dantas, Quinta Turma, julgado em 17/6/2024</w:t>
      </w:r>
    </w:p>
    <w:p w14:paraId="5CFAF158" w14:textId="77777777" w:rsidR="00F72477" w:rsidRDefault="00F72477" w:rsidP="00F72477">
      <w:pPr>
        <w:pStyle w:val="SemEspaamento"/>
        <w:spacing w:before="60" w:after="60" w:line="276" w:lineRule="auto"/>
        <w:ind w:left="2268" w:firstLine="0"/>
        <w:rPr>
          <w:i/>
          <w:iCs/>
        </w:rPr>
      </w:pPr>
      <w:r w:rsidRPr="00E60E76">
        <w:rPr>
          <w:i/>
          <w:iCs/>
        </w:rPr>
        <w:t>Na hipótese, o decreto preventivo está fundamentado apenas na gravidade abstrata do delito e em elementos inerentes ao próprio tipo penal. Ademais, nem mesmo a quantidade de droga apreendida (13g de crack, 14g de cocaína e 1kg de maconha), aliada às circunstâncias do delito (apreensão de balança de precisão, rolo de plástico insulfilm, duas lâminas de estilete e R$ 602,00, em espécie), autorizaria o encarceramento cautelar, sobretudo quando considerada a primariedade do agente.</w:t>
      </w:r>
    </w:p>
    <w:p w14:paraId="760EA30C" w14:textId="6364C774" w:rsidR="00733EEB" w:rsidRDefault="00733EEB" w:rsidP="002C610B">
      <w:pPr>
        <w:pStyle w:val="SemEspaamento"/>
        <w:spacing w:before="60" w:after="60" w:line="276" w:lineRule="auto"/>
        <w:ind w:left="2268" w:firstLine="0"/>
        <w:rPr>
          <w:i/>
          <w:iCs/>
        </w:rPr>
      </w:pPr>
    </w:p>
    <w:p w14:paraId="5E5814F6" w14:textId="77777777" w:rsidR="007E2672" w:rsidRPr="007E2672" w:rsidRDefault="007E2672" w:rsidP="007E2672">
      <w:pPr>
        <w:pStyle w:val="SemEspaamento"/>
      </w:pPr>
      <w:r w:rsidRPr="007E2672">
        <w:t>Esse precedente revela um ponto decisivo: quantidade e natureza da droga, embora sejam dados do caso, não podem ser convertidos em presunção automática de periculosidade; é indispensável que o decreto apresente “ponte lógica” entre esses elementos e um risco real e atual, sob pena de a preventiva transformar-se em punição antecipada travestida de cautelar.</w:t>
      </w:r>
    </w:p>
    <w:p w14:paraId="74291D25" w14:textId="77777777" w:rsidR="007E2672" w:rsidRPr="007E2672" w:rsidRDefault="007E2672" w:rsidP="007E2672">
      <w:pPr>
        <w:pStyle w:val="SemEspaamento"/>
      </w:pPr>
      <w:r w:rsidRPr="007E2672">
        <w:t>O STJ também foi explícito ao afirmar que a jurisprudência “rechaça a utilização de fundamentação genérica ou desprovida de base empírica” como razão suficiente para impor ou manter prisão preventiva; logo, quando a decisão usa fórmulas como “garantia da ordem pública” sem apontar fatos contemporâneos verificáveis (reiteração recente, modus operandi excepcional, ameaça a testemunhas, uso de arma, vínculo formal com organização criminosa, tentativa de evasão, interferência na instrução), há déficit de fundamentação e constrangimento ilegal.</w:t>
      </w:r>
    </w:p>
    <w:p w14:paraId="68501757" w14:textId="77777777" w:rsidR="007E2672" w:rsidRPr="007E2672" w:rsidRDefault="007E2672" w:rsidP="007E2672">
      <w:pPr>
        <w:pStyle w:val="SemEspaamento"/>
      </w:pPr>
      <w:r w:rsidRPr="007E2672">
        <w:t>Nesse sentido, a gravidade “em concreto” não se confunde com a mera descrição do tipo penal: não basta afirmar que o tráfico é grave ou que a droga causa dano social; é necessário demonstrar por que, naquele caso, a liberdade do paciente representa risco atual, o que não se satisfaz com elementos que seriam repetíveis em qualquer decreto de prisão por tráfico.</w:t>
      </w:r>
    </w:p>
    <w:p w14:paraId="639C4B08" w14:textId="77777777" w:rsidR="007E2672" w:rsidRPr="007E2672" w:rsidRDefault="007E2672" w:rsidP="007E2672">
      <w:pPr>
        <w:pStyle w:val="SemEspaamento"/>
      </w:pPr>
      <w:r w:rsidRPr="007E2672">
        <w:t xml:space="preserve">Além disso, o próprio sistema cautelar exige exame de adequação e necessidade, de modo que, ausente risco concreto contemporâneo, a prisão não pode ser mantida como primeira opção. A conversão/manutenção da custódia depende de </w:t>
      </w:r>
      <w:r w:rsidRPr="007E2672">
        <w:lastRenderedPageBreak/>
        <w:t>fundamentação idônea que demonstre também a insuficiência de medidas menos gravosas, sob pena de violação da lógica de excepcionalidade da cautelar extrema.</w:t>
      </w:r>
    </w:p>
    <w:p w14:paraId="7DF7575B" w14:textId="77777777" w:rsidR="007E2672" w:rsidRPr="007E2672" w:rsidRDefault="007E2672" w:rsidP="007E2672">
      <w:pPr>
        <w:pStyle w:val="SemEspaamento"/>
      </w:pPr>
      <w:r w:rsidRPr="007E2672">
        <w:t>Assim, à luz do AgRg no HC n. 989.760/MG, conclui-se que, se a decisão atacada extrai “gravidade” apenas de elementos inerentes ao tipo penal (e de ilações genéricas), sem apontar base empírica contemporânea do risco, a prisão preventiva carece de motivação válida, devendo ser afastada para que o paciente responda ao processo em liberdade (com cautelares proporcionais, se o Juízo entender estritamente necessário), por inexistir gravidade concreta apta a justificar o encarceramento cautelar.</w:t>
      </w:r>
    </w:p>
    <w:p w14:paraId="37FB3C55" w14:textId="3C9F6237" w:rsidR="00435014" w:rsidRDefault="00435014" w:rsidP="00435014">
      <w:pPr>
        <w:pStyle w:val="Ttulo1"/>
        <w:spacing w:before="0" w:after="0" w:line="240" w:lineRule="auto"/>
      </w:pPr>
      <w:bookmarkStart w:id="1" w:name="_Hlk214783665"/>
      <w:r>
        <w:t xml:space="preserve">NECESSIDADE DE CONCESSÃO DA LIMINAR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34B1D126" w14:textId="77777777" w:rsidR="007E2672" w:rsidRPr="007E2672" w:rsidRDefault="007E2672" w:rsidP="007E2672">
      <w:pPr>
        <w:pStyle w:val="SemEspaamento"/>
        <w:rPr>
          <w:rFonts w:cstheme="minorHAnsi"/>
          <w:bCs/>
        </w:rPr>
      </w:pPr>
      <w:r w:rsidRPr="007E2672">
        <w:rPr>
          <w:rFonts w:cstheme="minorHAnsi"/>
          <w:bCs/>
        </w:rPr>
        <w:t>Evidencia-se o fumus boni iuris porque a decisão combatida (ao manter a prisão/indeferir a liberdade) repete exatamente o vício rechaçado pelo STJ: sustenta a custódia em gravidade abstrata e em elementos inerentes ao próprio tipo penal, sem demonstrar, com base empírica, qualquer circunstância contemporânea que revele risco concreto decorrente da liberdade do paciente. Essa forma de fundamentação, por ser genérica e replicável a qualquer caso de tráfico, não individualiza o periculum libertatis e indica, com alta probabilidade, a existência de constrangimento ilegal.</w:t>
      </w:r>
    </w:p>
    <w:p w14:paraId="24B17367" w14:textId="77777777" w:rsidR="007E2672" w:rsidRPr="007E2672" w:rsidRDefault="007E2672" w:rsidP="007E2672">
      <w:pPr>
        <w:pStyle w:val="SemEspaamento"/>
        <w:rPr>
          <w:rFonts w:cstheme="minorHAnsi"/>
          <w:bCs/>
        </w:rPr>
      </w:pPr>
      <w:r w:rsidRPr="007E2672">
        <w:rPr>
          <w:rFonts w:cstheme="minorHAnsi"/>
          <w:bCs/>
        </w:rPr>
        <w:t>A plausibilidade jurídica se robustece porque, no AgRg no RHC n. 194.750/CE (Quinta Turma, rel. Min. Ribeiro Dantas, j. 17/6/2024), o STJ foi categórico ao afirmar que o decreto preventivo baseado apenas na gravidade abstrata e em elementos típicos é insuficiente e, mais: consignou que nem mesmo a apreensão de 13g de crack, 14g de cocaína e 1kg de maconha, somada a circunstâncias frequentemente invocadas como “indícios de traficância” (balança, insulfilm, estilete e dinheiro), autorizaria por si só o encarceramento cautelar, sobretudo diante da primariedade. Ou seja, o precedente desautoriza justamente o raciocínio “automático” de prender porque é tráfico e porque há objetos que, em tese, se conectam ao tipo.</w:t>
      </w:r>
    </w:p>
    <w:p w14:paraId="46A4ECAA" w14:textId="77777777" w:rsidR="007E2672" w:rsidRPr="007E2672" w:rsidRDefault="007E2672" w:rsidP="007E2672">
      <w:pPr>
        <w:pStyle w:val="SemEspaamento"/>
        <w:rPr>
          <w:rFonts w:cstheme="minorHAnsi"/>
          <w:bCs/>
        </w:rPr>
      </w:pPr>
      <w:r w:rsidRPr="007E2672">
        <w:rPr>
          <w:rFonts w:cstheme="minorHAnsi"/>
          <w:bCs/>
        </w:rPr>
        <w:t xml:space="preserve">O periculum in mora é evidente porque o paciente permanece submetido a privação de liberdade (ou à sua indevida manutenção) com base em decisão cuja fundamentação, segundo o padrão fixado no precedente citado, tende a ser </w:t>
      </w:r>
      <w:r w:rsidRPr="007E2672">
        <w:rPr>
          <w:rFonts w:cstheme="minorHAnsi"/>
          <w:bCs/>
        </w:rPr>
        <w:lastRenderedPageBreak/>
        <w:t>considerada inidônea. A cada dia de encarceramento, agrava-se um dano irreversível ao direito de locomoção, com repercussões concretas na vida familiar, laboral e psíquica do paciente, tornando indispensável a tutela urgente para impedir que a ilegalidade se prolongue durante o trâmite do writ.</w:t>
      </w:r>
    </w:p>
    <w:p w14:paraId="40182314" w14:textId="77777777" w:rsidR="007E2672" w:rsidRPr="007E2672" w:rsidRDefault="007E2672" w:rsidP="007E2672">
      <w:pPr>
        <w:pStyle w:val="SemEspaamento"/>
        <w:rPr>
          <w:rFonts w:cstheme="minorHAnsi"/>
          <w:bCs/>
        </w:rPr>
      </w:pPr>
      <w:r w:rsidRPr="007E2672">
        <w:rPr>
          <w:rFonts w:cstheme="minorHAnsi"/>
          <w:bCs/>
        </w:rPr>
        <w:t>Por fim, a urgência da liminar decorre do risco de esvaziamento da própria prestação jurisdicional: se o STJ já reconheceu que mesmo com quantidade e circunstâncias típicas do tráfico não se legitima a preventiva quando fundada em gravidade abstrata, manter o paciente preso até o julgamento final significa permitir que a cautelar funcione como antecipação de pena, em contradição direta com o entendimento firmado no AgRg no RHC n. 194.750/CE. Assim, presentes a plausibilidade do direito e o risco da demora, impõe-se a concessão da liminar para colocá-lo em liberdade (com cautelares, se necessário).</w:t>
      </w:r>
    </w:p>
    <w:bookmarkEnd w:id="1"/>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BC6BE41" w:rsidR="00435014" w:rsidRPr="00150C5B" w:rsidRDefault="00435014" w:rsidP="00435014">
      <w:pPr>
        <w:pStyle w:val="SemEspaamento"/>
      </w:pPr>
      <w:r w:rsidRPr="00150C5B">
        <w:t xml:space="preserve">O patrono do </w:t>
      </w:r>
      <w:r w:rsidR="00733EEB">
        <w:t>paciente</w:t>
      </w:r>
      <w:r w:rsidRPr="00150C5B">
        <w:t xml:space="preserv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VI - deixar de seguir enunciado de súmula, jurisprudência ou precedente invocado pela parte, sem demonstrar a existência de distinção no caso em julgamento ou a superação do entendimento.</w:t>
      </w:r>
    </w:p>
    <w:p w14:paraId="26539F40" w14:textId="77777777" w:rsidR="002A4C6E" w:rsidRDefault="002A4C6E"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511C90C6" w14:textId="1295BF38" w:rsidR="00733EEB" w:rsidRPr="00733EEB" w:rsidRDefault="00733EEB" w:rsidP="00733EEB">
      <w:pPr>
        <w:spacing w:before="120" w:after="120" w:line="312" w:lineRule="auto"/>
        <w:ind w:firstLine="567"/>
        <w:jc w:val="both"/>
        <w:rPr>
          <w:rFonts w:ascii="Source Serif Pro" w:hAnsi="Source Serif Pro"/>
        </w:rPr>
      </w:pPr>
      <w:r w:rsidRPr="00733EEB">
        <w:rPr>
          <w:rFonts w:ascii="Source Serif Pro" w:hAnsi="Source Serif Pro"/>
        </w:rPr>
        <w:t>Diante do exposto, requer:</w:t>
      </w:r>
    </w:p>
    <w:p w14:paraId="4FEAD7CB" w14:textId="03CEA8A4" w:rsidR="00733EEB" w:rsidRPr="00733EEB" w:rsidRDefault="00733EEB" w:rsidP="00733EEB">
      <w:pPr>
        <w:pStyle w:val="PargrafodaLista"/>
        <w:numPr>
          <w:ilvl w:val="0"/>
          <w:numId w:val="40"/>
        </w:numPr>
        <w:spacing w:before="120" w:after="120" w:line="312" w:lineRule="auto"/>
        <w:jc w:val="both"/>
        <w:rPr>
          <w:rFonts w:ascii="Source Serif Pro" w:hAnsi="Source Serif Pro"/>
        </w:rPr>
      </w:pPr>
      <w:r w:rsidRPr="00733EEB">
        <w:rPr>
          <w:rFonts w:ascii="Source Serif Pro" w:hAnsi="Source Serif Pro"/>
          <w:b/>
          <w:bCs/>
        </w:rPr>
        <w:t>O recebimento e processamento do presente Habeas Corpus</w:t>
      </w:r>
      <w:r w:rsidRPr="00733EEB">
        <w:rPr>
          <w:rFonts w:ascii="Source Serif Pro" w:hAnsi="Source Serif Pro"/>
        </w:rPr>
        <w:t>, com a juntada dos documentos que o instruem, por se tratar de constrangimento ilegal atual e devidamente demonstrado por prova pré-constituída;</w:t>
      </w:r>
    </w:p>
    <w:p w14:paraId="7F6554BE" w14:textId="16DC3E32" w:rsidR="00733EEB" w:rsidRPr="00733EEB" w:rsidRDefault="00733EEB" w:rsidP="00733EEB">
      <w:pPr>
        <w:pStyle w:val="PargrafodaLista"/>
        <w:numPr>
          <w:ilvl w:val="0"/>
          <w:numId w:val="40"/>
        </w:numPr>
        <w:spacing w:before="120" w:after="120" w:line="312" w:lineRule="auto"/>
        <w:jc w:val="both"/>
        <w:rPr>
          <w:rFonts w:ascii="Source Serif Pro" w:hAnsi="Source Serif Pro"/>
        </w:rPr>
      </w:pPr>
      <w:r w:rsidRPr="00733EEB">
        <w:rPr>
          <w:rFonts w:ascii="Source Serif Pro" w:hAnsi="Source Serif Pro"/>
          <w:b/>
          <w:bCs/>
        </w:rPr>
        <w:t>A concessão da medida liminar</w:t>
      </w:r>
      <w:r w:rsidRPr="00733EEB">
        <w:rPr>
          <w:rFonts w:ascii="Source Serif Pro" w:hAnsi="Source Serif Pro"/>
        </w:rPr>
        <w:t xml:space="preserve">, para que seja imediatamente assegurada a </w:t>
      </w:r>
      <w:r w:rsidRPr="00733EEB">
        <w:rPr>
          <w:rFonts w:ascii="Source Serif Pro" w:hAnsi="Source Serif Pro"/>
          <w:b/>
          <w:bCs/>
        </w:rPr>
        <w:t>liberdade provisória do Paciente</w:t>
      </w:r>
      <w:r w:rsidRPr="00733EEB">
        <w:rPr>
          <w:rFonts w:ascii="Source Serif Pro" w:hAnsi="Source Serif Pro"/>
        </w:rPr>
        <w:t xml:space="preserve">, com a expedição de </w:t>
      </w:r>
      <w:r w:rsidRPr="00733EEB">
        <w:rPr>
          <w:rFonts w:ascii="Source Serif Pro" w:hAnsi="Source Serif Pro"/>
          <w:b/>
          <w:bCs/>
        </w:rPr>
        <w:t>alvará de soltura</w:t>
      </w:r>
      <w:r w:rsidRPr="00733EEB">
        <w:rPr>
          <w:rFonts w:ascii="Source Serif Pro" w:hAnsi="Source Serif Pro"/>
        </w:rPr>
        <w:t>, se por outro motivo não estiver preso, diante da plausibilidade jurídica do pedido e do risco concreto decorrente da manutenção indevida da custódia;</w:t>
      </w:r>
    </w:p>
    <w:p w14:paraId="5F89B9B4" w14:textId="77777777" w:rsidR="00733EEB" w:rsidRPr="00733EEB" w:rsidRDefault="00733EEB" w:rsidP="00733EEB">
      <w:pPr>
        <w:pStyle w:val="PargrafodaLista"/>
        <w:numPr>
          <w:ilvl w:val="0"/>
          <w:numId w:val="40"/>
        </w:numPr>
        <w:spacing w:before="120" w:after="120" w:line="312" w:lineRule="auto"/>
        <w:jc w:val="both"/>
        <w:rPr>
          <w:rFonts w:ascii="Source Serif Pro" w:hAnsi="Source Serif Pro"/>
        </w:rPr>
      </w:pPr>
      <w:r w:rsidRPr="00733EEB">
        <w:rPr>
          <w:rFonts w:ascii="Source Serif Pro" w:hAnsi="Source Serif Pro"/>
          <w:b/>
          <w:bCs/>
        </w:rPr>
        <w:t>Subsidiariamente</w:t>
      </w:r>
      <w:r w:rsidRPr="00733EEB">
        <w:rPr>
          <w:rFonts w:ascii="Source Serif Pro" w:hAnsi="Source Serif Pro"/>
        </w:rPr>
        <w:t xml:space="preserve">, caso Vossa Excelência entenda pela necessidade de cautela, que a liminar seja deferida mediante a imposição de </w:t>
      </w:r>
      <w:r w:rsidRPr="00733EEB">
        <w:rPr>
          <w:rFonts w:ascii="Source Serif Pro" w:hAnsi="Source Serif Pro"/>
          <w:b/>
          <w:bCs/>
        </w:rPr>
        <w:t>medidas cautelares diversas da prisão</w:t>
      </w:r>
      <w:r w:rsidRPr="00733EEB">
        <w:rPr>
          <w:rFonts w:ascii="Source Serif Pro" w:hAnsi="Source Serif Pro"/>
        </w:rPr>
        <w:t>, em especial:</w:t>
      </w:r>
    </w:p>
    <w:p w14:paraId="709C2333" w14:textId="61C4B40A" w:rsidR="00733EEB" w:rsidRPr="00733EEB" w:rsidRDefault="00733EEB" w:rsidP="00733EEB">
      <w:pPr>
        <w:pStyle w:val="PargrafodaLista"/>
        <w:numPr>
          <w:ilvl w:val="1"/>
          <w:numId w:val="40"/>
        </w:numPr>
        <w:spacing w:before="120" w:after="120" w:line="312" w:lineRule="auto"/>
        <w:jc w:val="both"/>
        <w:rPr>
          <w:rFonts w:ascii="Source Serif Pro" w:hAnsi="Source Serif Pro"/>
        </w:rPr>
      </w:pPr>
      <w:r w:rsidRPr="00733EEB">
        <w:rPr>
          <w:rFonts w:ascii="Source Serif Pro" w:hAnsi="Source Serif Pro"/>
        </w:rPr>
        <w:t>Comparecimento periódico em juízo;</w:t>
      </w:r>
    </w:p>
    <w:p w14:paraId="57504FB0" w14:textId="77777777" w:rsidR="00733EEB" w:rsidRPr="00733EEB" w:rsidRDefault="00733EEB" w:rsidP="00733EEB">
      <w:pPr>
        <w:pStyle w:val="PargrafodaLista"/>
        <w:numPr>
          <w:ilvl w:val="1"/>
          <w:numId w:val="40"/>
        </w:numPr>
        <w:spacing w:before="120" w:after="120" w:line="312" w:lineRule="auto"/>
        <w:jc w:val="both"/>
        <w:rPr>
          <w:rFonts w:ascii="Source Serif Pro" w:hAnsi="Source Serif Pro"/>
        </w:rPr>
      </w:pPr>
      <w:r w:rsidRPr="00733EEB">
        <w:rPr>
          <w:rFonts w:ascii="Source Serif Pro" w:hAnsi="Source Serif Pro"/>
        </w:rPr>
        <w:t>proibição de ausentar-se da comarca sem autorização judicial;</w:t>
      </w:r>
    </w:p>
    <w:p w14:paraId="7B4328E3" w14:textId="77777777" w:rsidR="00733EEB" w:rsidRPr="00733EEB" w:rsidRDefault="00733EEB" w:rsidP="00733EEB">
      <w:pPr>
        <w:pStyle w:val="PargrafodaLista"/>
        <w:numPr>
          <w:ilvl w:val="1"/>
          <w:numId w:val="40"/>
        </w:numPr>
        <w:spacing w:before="120" w:after="120" w:line="312" w:lineRule="auto"/>
        <w:jc w:val="both"/>
        <w:rPr>
          <w:rFonts w:ascii="Source Serif Pro" w:hAnsi="Source Serif Pro"/>
        </w:rPr>
      </w:pPr>
      <w:r w:rsidRPr="00733EEB">
        <w:rPr>
          <w:rFonts w:ascii="Source Serif Pro" w:hAnsi="Source Serif Pro"/>
        </w:rPr>
        <w:t>obrigação de manter endereço atualizado;</w:t>
      </w:r>
    </w:p>
    <w:p w14:paraId="6D710098" w14:textId="1A855D99" w:rsidR="00733EEB" w:rsidRPr="00733EEB" w:rsidRDefault="00733EEB" w:rsidP="00733EEB">
      <w:pPr>
        <w:pStyle w:val="PargrafodaLista"/>
        <w:numPr>
          <w:ilvl w:val="1"/>
          <w:numId w:val="40"/>
        </w:numPr>
        <w:spacing w:before="120" w:after="120" w:line="312" w:lineRule="auto"/>
        <w:jc w:val="both"/>
        <w:rPr>
          <w:rFonts w:ascii="Source Serif Pro" w:hAnsi="Source Serif Pro"/>
        </w:rPr>
      </w:pPr>
      <w:r w:rsidRPr="00733EEB">
        <w:rPr>
          <w:rFonts w:ascii="Source Serif Pro" w:hAnsi="Source Serif Pro"/>
        </w:rPr>
        <w:t>recolhimento domiciliar noturno e nos dias de folga, se reputado necessário;</w:t>
      </w:r>
    </w:p>
    <w:p w14:paraId="2330C5ED" w14:textId="2CD1FF7B" w:rsidR="00733EEB" w:rsidRPr="00733EEB" w:rsidRDefault="00733EEB" w:rsidP="00733EEB">
      <w:pPr>
        <w:pStyle w:val="PargrafodaLista"/>
        <w:numPr>
          <w:ilvl w:val="0"/>
          <w:numId w:val="40"/>
        </w:numPr>
        <w:spacing w:before="120" w:after="120" w:line="312" w:lineRule="auto"/>
        <w:jc w:val="both"/>
        <w:rPr>
          <w:rFonts w:ascii="Source Serif Pro" w:hAnsi="Source Serif Pro"/>
        </w:rPr>
      </w:pPr>
      <w:r w:rsidRPr="00733EEB">
        <w:rPr>
          <w:rFonts w:ascii="Source Serif Pro" w:hAnsi="Source Serif Pro"/>
          <w:b/>
          <w:bCs/>
        </w:rPr>
        <w:t>No mérito</w:t>
      </w:r>
      <w:r w:rsidRPr="00733EEB">
        <w:rPr>
          <w:rFonts w:ascii="Source Serif Pro" w:hAnsi="Source Serif Pro"/>
        </w:rPr>
        <w:t xml:space="preserve">, a concessão definitiva da ordem para </w:t>
      </w:r>
      <w:r w:rsidRPr="00733EEB">
        <w:rPr>
          <w:rFonts w:ascii="Source Serif Pro" w:hAnsi="Source Serif Pro"/>
          <w:b/>
          <w:bCs/>
        </w:rPr>
        <w:t>cassação da decisão que negou a liberdade provisória</w:t>
      </w:r>
      <w:r w:rsidRPr="00733EEB">
        <w:rPr>
          <w:rFonts w:ascii="Source Serif Pro" w:hAnsi="Source Serif Pro"/>
        </w:rPr>
        <w:t xml:space="preserve"> (e/ou manteve a custódia cautelar), reconhecendo-se a </w:t>
      </w:r>
      <w:r w:rsidRPr="00733EEB">
        <w:rPr>
          <w:rFonts w:ascii="Source Serif Pro" w:hAnsi="Source Serif Pro"/>
          <w:b/>
          <w:bCs/>
        </w:rPr>
        <w:t>ausência de fundamentação idônea</w:t>
      </w:r>
      <w:r w:rsidRPr="00733EEB">
        <w:rPr>
          <w:rFonts w:ascii="Source Serif Pro" w:hAnsi="Source Serif Pro"/>
        </w:rPr>
        <w:t xml:space="preserve"> por se apoiar em </w:t>
      </w:r>
      <w:r w:rsidRPr="00733EEB">
        <w:rPr>
          <w:rFonts w:ascii="Source Serif Pro" w:hAnsi="Source Serif Pro"/>
          <w:b/>
          <w:bCs/>
        </w:rPr>
        <w:t>gravidade abstrata</w:t>
      </w:r>
      <w:r w:rsidRPr="00733EEB">
        <w:rPr>
          <w:rFonts w:ascii="Source Serif Pro" w:hAnsi="Source Serif Pro"/>
        </w:rPr>
        <w:t xml:space="preserve"> e inexistirem elementos concretos aptos a demonstrar periculosidade real, garantindo-se ao Paciente o direito de </w:t>
      </w:r>
      <w:r w:rsidRPr="00733EEB">
        <w:rPr>
          <w:rFonts w:ascii="Source Serif Pro" w:hAnsi="Source Serif Pro"/>
          <w:b/>
          <w:bCs/>
        </w:rPr>
        <w:t>responder ao processo em liberdade</w:t>
      </w:r>
      <w:r w:rsidRPr="00733EEB">
        <w:rPr>
          <w:rFonts w:ascii="Source Serif Pro" w:hAnsi="Source Serif Pro"/>
        </w:rPr>
        <w:t>;</w:t>
      </w: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62436F66"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834BE1">
        <w:rPr>
          <w:rFonts w:ascii="Source Serif Pro" w:hAnsi="Source Serif Pro"/>
          <w:noProof/>
        </w:rPr>
        <w:t>25 de dezembro de 2025</w:t>
      </w:r>
      <w:r w:rsidR="0015581C">
        <w:rPr>
          <w:rFonts w:ascii="Source Serif Pro" w:hAnsi="Source Serif Pro"/>
        </w:rPr>
        <w:fldChar w:fldCharType="end"/>
      </w:r>
      <w:r w:rsidR="0015581C" w:rsidRPr="0015581C">
        <w:rPr>
          <w:rFonts w:ascii="Source Serif Pro" w:hAnsi="Source Serif Pro"/>
        </w:rPr>
        <w:t>.</w:t>
      </w: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C9994" w14:textId="77777777" w:rsidR="00D81690" w:rsidRDefault="00D81690" w:rsidP="00BA1F94">
      <w:pPr>
        <w:spacing w:after="0" w:line="240" w:lineRule="auto"/>
      </w:pPr>
      <w:r>
        <w:separator/>
      </w:r>
    </w:p>
  </w:endnote>
  <w:endnote w:type="continuationSeparator" w:id="0">
    <w:p w14:paraId="42C78D56" w14:textId="77777777" w:rsidR="00D81690" w:rsidRDefault="00D81690"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9F23E" w14:textId="77777777" w:rsidR="00D81690" w:rsidRDefault="00D81690" w:rsidP="00BA1F94">
      <w:pPr>
        <w:spacing w:after="0" w:line="240" w:lineRule="auto"/>
      </w:pPr>
      <w:r>
        <w:separator/>
      </w:r>
    </w:p>
  </w:footnote>
  <w:footnote w:type="continuationSeparator" w:id="0">
    <w:p w14:paraId="4189E2D7" w14:textId="77777777" w:rsidR="00D81690" w:rsidRDefault="00D81690"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33351E06" w:rsidR="00585236" w:rsidRDefault="00470C2A" w:rsidP="00585236">
    <w:pPr>
      <w:pStyle w:val="Cabealho"/>
      <w:jc w:val="center"/>
    </w:pPr>
    <w:r>
      <w:rPr>
        <w:noProof/>
      </w:rPr>
      <w:drawing>
        <wp:inline distT="0" distB="0" distL="0" distR="0" wp14:anchorId="17CDA9D8" wp14:editId="3826484A">
          <wp:extent cx="1904762" cy="800000"/>
          <wp:effectExtent l="0" t="0" r="635" b="635"/>
          <wp:docPr id="204057992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79922" name="Imagem 1" descr="Texto&#10;&#10;O conteúdo gerado por IA pode estar incorreto."/>
                  <pic:cNvPicPr/>
                </pic:nvPicPr>
                <pic:blipFill>
                  <a:blip r:embed="rId1"/>
                  <a:stretch>
                    <a:fillRect/>
                  </a:stretch>
                </pic:blipFill>
                <pic:spPr>
                  <a:xfrm>
                    <a:off x="0" y="0"/>
                    <a:ext cx="1904762" cy="80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55178C9"/>
    <w:multiLevelType w:val="hybridMultilevel"/>
    <w:tmpl w:val="1FF0C500"/>
    <w:lvl w:ilvl="0" w:tplc="04160019">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9"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2"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0"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2"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3"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4"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61BC3635"/>
    <w:multiLevelType w:val="hybridMultilevel"/>
    <w:tmpl w:val="5C12B40E"/>
    <w:lvl w:ilvl="0" w:tplc="0416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30"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6"/>
  </w:num>
  <w:num w:numId="2" w16cid:durableId="1455253303">
    <w:abstractNumId w:val="16"/>
  </w:num>
  <w:num w:numId="3" w16cid:durableId="555554971">
    <w:abstractNumId w:val="6"/>
  </w:num>
  <w:num w:numId="4" w16cid:durableId="1971129295">
    <w:abstractNumId w:val="6"/>
  </w:num>
  <w:num w:numId="5" w16cid:durableId="555433521">
    <w:abstractNumId w:val="6"/>
  </w:num>
  <w:num w:numId="6" w16cid:durableId="376053507">
    <w:abstractNumId w:val="6"/>
  </w:num>
  <w:num w:numId="7" w16cid:durableId="1819492703">
    <w:abstractNumId w:val="1"/>
  </w:num>
  <w:num w:numId="8" w16cid:durableId="214002896">
    <w:abstractNumId w:val="12"/>
  </w:num>
  <w:num w:numId="9" w16cid:durableId="1186557910">
    <w:abstractNumId w:val="20"/>
  </w:num>
  <w:num w:numId="10" w16cid:durableId="45959775">
    <w:abstractNumId w:val="6"/>
  </w:num>
  <w:num w:numId="11" w16cid:durableId="698555142">
    <w:abstractNumId w:val="6"/>
  </w:num>
  <w:num w:numId="12" w16cid:durableId="169760788">
    <w:abstractNumId w:val="17"/>
  </w:num>
  <w:num w:numId="13" w16cid:durableId="1542085398">
    <w:abstractNumId w:val="13"/>
  </w:num>
  <w:num w:numId="14" w16cid:durableId="1800220788">
    <w:abstractNumId w:val="32"/>
  </w:num>
  <w:num w:numId="15" w16cid:durableId="189689990">
    <w:abstractNumId w:val="24"/>
  </w:num>
  <w:num w:numId="16" w16cid:durableId="106320463">
    <w:abstractNumId w:val="29"/>
  </w:num>
  <w:num w:numId="17" w16cid:durableId="757795001">
    <w:abstractNumId w:val="8"/>
  </w:num>
  <w:num w:numId="18" w16cid:durableId="507915239">
    <w:abstractNumId w:val="28"/>
  </w:num>
  <w:num w:numId="19" w16cid:durableId="985084700">
    <w:abstractNumId w:val="23"/>
  </w:num>
  <w:num w:numId="20" w16cid:durableId="700283364">
    <w:abstractNumId w:val="21"/>
  </w:num>
  <w:num w:numId="21" w16cid:durableId="895627114">
    <w:abstractNumId w:val="11"/>
  </w:num>
  <w:num w:numId="22" w16cid:durableId="2089496448">
    <w:abstractNumId w:val="6"/>
  </w:num>
  <w:num w:numId="23" w16cid:durableId="561600074">
    <w:abstractNumId w:val="0"/>
  </w:num>
  <w:num w:numId="24" w16cid:durableId="278606713">
    <w:abstractNumId w:val="22"/>
  </w:num>
  <w:num w:numId="25" w16cid:durableId="556820897">
    <w:abstractNumId w:val="7"/>
  </w:num>
  <w:num w:numId="26" w16cid:durableId="648704854">
    <w:abstractNumId w:val="3"/>
  </w:num>
  <w:num w:numId="27" w16cid:durableId="1146168893">
    <w:abstractNumId w:val="18"/>
  </w:num>
  <w:num w:numId="28" w16cid:durableId="1280070271">
    <w:abstractNumId w:val="10"/>
  </w:num>
  <w:num w:numId="29" w16cid:durableId="1163280356">
    <w:abstractNumId w:val="14"/>
  </w:num>
  <w:num w:numId="30" w16cid:durableId="1479685322">
    <w:abstractNumId w:val="30"/>
  </w:num>
  <w:num w:numId="31" w16cid:durableId="939022436">
    <w:abstractNumId w:val="19"/>
  </w:num>
  <w:num w:numId="32" w16cid:durableId="1358387731">
    <w:abstractNumId w:val="31"/>
  </w:num>
  <w:num w:numId="33" w16cid:durableId="1918588421">
    <w:abstractNumId w:val="15"/>
  </w:num>
  <w:num w:numId="34" w16cid:durableId="508368672">
    <w:abstractNumId w:val="9"/>
  </w:num>
  <w:num w:numId="35" w16cid:durableId="997265681">
    <w:abstractNumId w:val="26"/>
  </w:num>
  <w:num w:numId="36" w16cid:durableId="1900631713">
    <w:abstractNumId w:val="4"/>
  </w:num>
  <w:num w:numId="37" w16cid:durableId="2024433701">
    <w:abstractNumId w:val="2"/>
  </w:num>
  <w:num w:numId="38" w16cid:durableId="1840001282">
    <w:abstractNumId w:val="25"/>
  </w:num>
  <w:num w:numId="39" w16cid:durableId="1933540667">
    <w:abstractNumId w:val="5"/>
  </w:num>
  <w:num w:numId="40" w16cid:durableId="12066048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47DD"/>
    <w:rsid w:val="00045565"/>
    <w:rsid w:val="000633B8"/>
    <w:rsid w:val="000765C6"/>
    <w:rsid w:val="000911F8"/>
    <w:rsid w:val="000A234B"/>
    <w:rsid w:val="000B1C85"/>
    <w:rsid w:val="000B2591"/>
    <w:rsid w:val="000B5216"/>
    <w:rsid w:val="000D6878"/>
    <w:rsid w:val="0011164C"/>
    <w:rsid w:val="001153D8"/>
    <w:rsid w:val="00133E06"/>
    <w:rsid w:val="00144A4B"/>
    <w:rsid w:val="00151D12"/>
    <w:rsid w:val="0015581C"/>
    <w:rsid w:val="00163268"/>
    <w:rsid w:val="0018525B"/>
    <w:rsid w:val="001C6CDD"/>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A18AC"/>
    <w:rsid w:val="002A4C6E"/>
    <w:rsid w:val="002A79CB"/>
    <w:rsid w:val="002C012C"/>
    <w:rsid w:val="002C610B"/>
    <w:rsid w:val="002C7BE1"/>
    <w:rsid w:val="002D3115"/>
    <w:rsid w:val="002D79D9"/>
    <w:rsid w:val="002E0484"/>
    <w:rsid w:val="002F00FD"/>
    <w:rsid w:val="002F4394"/>
    <w:rsid w:val="00307183"/>
    <w:rsid w:val="0032114D"/>
    <w:rsid w:val="003224CD"/>
    <w:rsid w:val="00323708"/>
    <w:rsid w:val="00332135"/>
    <w:rsid w:val="00334B83"/>
    <w:rsid w:val="00335715"/>
    <w:rsid w:val="0035269F"/>
    <w:rsid w:val="003602F7"/>
    <w:rsid w:val="00377552"/>
    <w:rsid w:val="00383D06"/>
    <w:rsid w:val="00385345"/>
    <w:rsid w:val="003970B0"/>
    <w:rsid w:val="003A171C"/>
    <w:rsid w:val="003A1DD2"/>
    <w:rsid w:val="003A4B72"/>
    <w:rsid w:val="003A76A4"/>
    <w:rsid w:val="003A7CB9"/>
    <w:rsid w:val="003B706F"/>
    <w:rsid w:val="003C4652"/>
    <w:rsid w:val="00414C78"/>
    <w:rsid w:val="0041600B"/>
    <w:rsid w:val="00421C44"/>
    <w:rsid w:val="00435014"/>
    <w:rsid w:val="0044781C"/>
    <w:rsid w:val="004526A3"/>
    <w:rsid w:val="00460C3B"/>
    <w:rsid w:val="00462A1D"/>
    <w:rsid w:val="00466093"/>
    <w:rsid w:val="00470C2A"/>
    <w:rsid w:val="00473494"/>
    <w:rsid w:val="00483C5B"/>
    <w:rsid w:val="00497AA0"/>
    <w:rsid w:val="004A1397"/>
    <w:rsid w:val="004B23AC"/>
    <w:rsid w:val="004C2B0E"/>
    <w:rsid w:val="004C78F2"/>
    <w:rsid w:val="004E1F61"/>
    <w:rsid w:val="004E32D6"/>
    <w:rsid w:val="004F6860"/>
    <w:rsid w:val="00502064"/>
    <w:rsid w:val="00510D1D"/>
    <w:rsid w:val="005271CA"/>
    <w:rsid w:val="00547988"/>
    <w:rsid w:val="00552F50"/>
    <w:rsid w:val="0056423A"/>
    <w:rsid w:val="005701F5"/>
    <w:rsid w:val="005702CF"/>
    <w:rsid w:val="00575469"/>
    <w:rsid w:val="00576D3A"/>
    <w:rsid w:val="005811CD"/>
    <w:rsid w:val="00585236"/>
    <w:rsid w:val="005926D6"/>
    <w:rsid w:val="00596D6C"/>
    <w:rsid w:val="005A01D2"/>
    <w:rsid w:val="005A6E55"/>
    <w:rsid w:val="005C54F8"/>
    <w:rsid w:val="005C7877"/>
    <w:rsid w:val="005E2F23"/>
    <w:rsid w:val="005F47A7"/>
    <w:rsid w:val="00617C7C"/>
    <w:rsid w:val="00636660"/>
    <w:rsid w:val="00636D00"/>
    <w:rsid w:val="006419C1"/>
    <w:rsid w:val="0064461A"/>
    <w:rsid w:val="0066103B"/>
    <w:rsid w:val="00672F34"/>
    <w:rsid w:val="00673A8C"/>
    <w:rsid w:val="006916BF"/>
    <w:rsid w:val="006A3AEB"/>
    <w:rsid w:val="006B1A62"/>
    <w:rsid w:val="006B1C85"/>
    <w:rsid w:val="006C4FA4"/>
    <w:rsid w:val="006C5729"/>
    <w:rsid w:val="006D5BE0"/>
    <w:rsid w:val="006E26AE"/>
    <w:rsid w:val="006F33DE"/>
    <w:rsid w:val="007020CA"/>
    <w:rsid w:val="00703D38"/>
    <w:rsid w:val="00714F6F"/>
    <w:rsid w:val="00716747"/>
    <w:rsid w:val="00716815"/>
    <w:rsid w:val="00720D57"/>
    <w:rsid w:val="00724E8D"/>
    <w:rsid w:val="00733EEB"/>
    <w:rsid w:val="00746620"/>
    <w:rsid w:val="0075224F"/>
    <w:rsid w:val="00763304"/>
    <w:rsid w:val="007666DF"/>
    <w:rsid w:val="007952F5"/>
    <w:rsid w:val="007A0B17"/>
    <w:rsid w:val="007B7295"/>
    <w:rsid w:val="007C0711"/>
    <w:rsid w:val="007C53FC"/>
    <w:rsid w:val="007C59F9"/>
    <w:rsid w:val="007E2672"/>
    <w:rsid w:val="007E3DC1"/>
    <w:rsid w:val="007F0F05"/>
    <w:rsid w:val="00802A06"/>
    <w:rsid w:val="0081592C"/>
    <w:rsid w:val="00821F7B"/>
    <w:rsid w:val="008235F0"/>
    <w:rsid w:val="00834BE1"/>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A54"/>
    <w:rsid w:val="0099073D"/>
    <w:rsid w:val="0099435F"/>
    <w:rsid w:val="00996DA0"/>
    <w:rsid w:val="009A601B"/>
    <w:rsid w:val="009D129F"/>
    <w:rsid w:val="009D178E"/>
    <w:rsid w:val="009D22A7"/>
    <w:rsid w:val="009E098F"/>
    <w:rsid w:val="009E6E78"/>
    <w:rsid w:val="009F161E"/>
    <w:rsid w:val="009F311E"/>
    <w:rsid w:val="00A01420"/>
    <w:rsid w:val="00A108DD"/>
    <w:rsid w:val="00A22EBA"/>
    <w:rsid w:val="00A432E2"/>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B0317F"/>
    <w:rsid w:val="00B04357"/>
    <w:rsid w:val="00B24A33"/>
    <w:rsid w:val="00B36DE2"/>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19AB"/>
    <w:rsid w:val="00BF64DD"/>
    <w:rsid w:val="00C04F56"/>
    <w:rsid w:val="00C05AC4"/>
    <w:rsid w:val="00C061A6"/>
    <w:rsid w:val="00C12FC6"/>
    <w:rsid w:val="00C1367E"/>
    <w:rsid w:val="00C30B7B"/>
    <w:rsid w:val="00C34436"/>
    <w:rsid w:val="00C42738"/>
    <w:rsid w:val="00C56908"/>
    <w:rsid w:val="00C86BDE"/>
    <w:rsid w:val="00C925C7"/>
    <w:rsid w:val="00C9595C"/>
    <w:rsid w:val="00CA2809"/>
    <w:rsid w:val="00CA3287"/>
    <w:rsid w:val="00CB50FF"/>
    <w:rsid w:val="00CE6C3F"/>
    <w:rsid w:val="00CF11A1"/>
    <w:rsid w:val="00D14593"/>
    <w:rsid w:val="00D16022"/>
    <w:rsid w:val="00D343B2"/>
    <w:rsid w:val="00D37B62"/>
    <w:rsid w:val="00D45C54"/>
    <w:rsid w:val="00D75D54"/>
    <w:rsid w:val="00D7692D"/>
    <w:rsid w:val="00D81690"/>
    <w:rsid w:val="00D8503E"/>
    <w:rsid w:val="00D9239D"/>
    <w:rsid w:val="00D934F0"/>
    <w:rsid w:val="00D94708"/>
    <w:rsid w:val="00D972AE"/>
    <w:rsid w:val="00DB0C17"/>
    <w:rsid w:val="00DB287D"/>
    <w:rsid w:val="00DB7797"/>
    <w:rsid w:val="00DD04F4"/>
    <w:rsid w:val="00DE193B"/>
    <w:rsid w:val="00DE3694"/>
    <w:rsid w:val="00DE43FF"/>
    <w:rsid w:val="00E15CB7"/>
    <w:rsid w:val="00E260D2"/>
    <w:rsid w:val="00E70A06"/>
    <w:rsid w:val="00E70C92"/>
    <w:rsid w:val="00E939CA"/>
    <w:rsid w:val="00E93C31"/>
    <w:rsid w:val="00E97D85"/>
    <w:rsid w:val="00EA061D"/>
    <w:rsid w:val="00EB0207"/>
    <w:rsid w:val="00ED0C3A"/>
    <w:rsid w:val="00EE0ABC"/>
    <w:rsid w:val="00F10092"/>
    <w:rsid w:val="00F248EB"/>
    <w:rsid w:val="00F3233A"/>
    <w:rsid w:val="00F37C97"/>
    <w:rsid w:val="00F46652"/>
    <w:rsid w:val="00F53D0B"/>
    <w:rsid w:val="00F57C02"/>
    <w:rsid w:val="00F72477"/>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1741</Words>
  <Characters>9751</Characters>
  <Application>Microsoft Office Word</Application>
  <DocSecurity>0</DocSecurity>
  <Lines>191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4</cp:revision>
  <cp:lastPrinted>2025-10-14T13:26:00Z</cp:lastPrinted>
  <dcterms:created xsi:type="dcterms:W3CDTF">2025-12-25T21:15:00Z</dcterms:created>
  <dcterms:modified xsi:type="dcterms:W3CDTF">2025-12-25T21:22:00Z</dcterms:modified>
</cp:coreProperties>
</file>