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0EA9F1A8"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B52E9D">
        <w:rPr>
          <w:rFonts w:ascii="Source Serif Pro" w:hAnsi="Source Serif Pro"/>
          <w:b/>
          <w:bCs/>
          <w:sz w:val="26"/>
          <w:szCs w:val="28"/>
        </w:rPr>
        <w:t>mo</w:t>
      </w:r>
      <w:r w:rsidR="004B23AC">
        <w:rPr>
          <w:rFonts w:ascii="Source Serif Pro" w:hAnsi="Source Serif Pro"/>
          <w:b/>
          <w:bCs/>
          <w:sz w:val="26"/>
          <w:szCs w:val="28"/>
        </w:rPr>
        <w:t>. Juiz de Direito</w:t>
      </w:r>
      <w:r w:rsidRPr="0015581C">
        <w:rPr>
          <w:rFonts w:ascii="Source Serif Pro" w:hAnsi="Source Serif Pro"/>
          <w:b/>
          <w:bCs/>
          <w:sz w:val="26"/>
          <w:szCs w:val="28"/>
        </w:rPr>
        <w:t xml:space="preserve"> </w:t>
      </w:r>
    </w:p>
    <w:p w14:paraId="0BE51421" w14:textId="0D59464B" w:rsidR="00B968CC" w:rsidRPr="00B24A33" w:rsidRDefault="004B23AC" w:rsidP="00AB2011">
      <w:pPr>
        <w:spacing w:after="0" w:line="240" w:lineRule="auto"/>
        <w:rPr>
          <w:rFonts w:ascii="Source Serif Pro" w:hAnsi="Source Serif Pro"/>
          <w:i/>
          <w:iCs/>
          <w:sz w:val="22"/>
          <w:szCs w:val="22"/>
        </w:rPr>
      </w:pPr>
      <w:r>
        <w:rPr>
          <w:rFonts w:ascii="Source Serif Pro" w:hAnsi="Source Serif Pro"/>
          <w:i/>
          <w:iCs/>
          <w:sz w:val="22"/>
          <w:szCs w:val="22"/>
        </w:rPr>
        <w:t>Audiência de custódia</w:t>
      </w:r>
    </w:p>
    <w:p w14:paraId="4834F39C" w14:textId="77777777" w:rsidR="006E26AE" w:rsidRPr="00B24A33" w:rsidRDefault="006E26AE" w:rsidP="00DB7797">
      <w:pPr>
        <w:spacing w:before="360" w:after="0"/>
        <w:rPr>
          <w:rFonts w:ascii="Source Serif Pro" w:hAnsi="Source Serif Pro" w:cs="Segoe UI Semibold"/>
          <w:spacing w:val="10"/>
          <w:sz w:val="21"/>
          <w:szCs w:val="21"/>
        </w:rPr>
      </w:pPr>
    </w:p>
    <w:p w14:paraId="07573816" w14:textId="73F8E7CC" w:rsidR="00DB7797" w:rsidRPr="00B24A33" w:rsidRDefault="00DB7797" w:rsidP="00DB7797">
      <w:pPr>
        <w:spacing w:before="360" w:after="0"/>
        <w:rPr>
          <w:rFonts w:ascii="Source Serif Pro" w:hAnsi="Source Serif Pro" w:cs="Segoe UI Semibold"/>
          <w:spacing w:val="10"/>
          <w:sz w:val="21"/>
          <w:szCs w:val="21"/>
        </w:rPr>
      </w:pPr>
      <w:r w:rsidRPr="00B24A33">
        <w:rPr>
          <w:rFonts w:ascii="Source Serif Pro" w:hAnsi="Source Serif Pro" w:cs="Segoe UI Semibold"/>
          <w:noProof/>
          <w:spacing w:val="10"/>
          <w:sz w:val="21"/>
          <w:szCs w:val="21"/>
        </w:rPr>
        <mc:AlternateContent>
          <mc:Choice Requires="wps">
            <w:drawing>
              <wp:anchor distT="0" distB="0" distL="114300" distR="114300" simplePos="0" relativeHeight="251659264" behindDoc="0" locked="0" layoutInCell="1" allowOverlap="1" wp14:anchorId="7CCB3D19" wp14:editId="1BF3D7E1">
                <wp:simplePos x="0" y="0"/>
                <wp:positionH relativeFrom="column">
                  <wp:posOffset>-683260</wp:posOffset>
                </wp:positionH>
                <wp:positionV relativeFrom="paragraph">
                  <wp:posOffset>343535</wp:posOffset>
                </wp:positionV>
                <wp:extent cx="623570" cy="491490"/>
                <wp:effectExtent l="0" t="0" r="0" b="3810"/>
                <wp:wrapNone/>
                <wp:docPr id="4" name="Caixa de Texto 4"/>
                <wp:cNvGraphicFramePr/>
                <a:graphic xmlns:a="http://schemas.openxmlformats.org/drawingml/2006/main">
                  <a:graphicData uri="http://schemas.microsoft.com/office/word/2010/wordprocessingShape">
                    <wps:wsp>
                      <wps:cNvSpPr txBox="1"/>
                      <wps:spPr>
                        <a:xfrm>
                          <a:off x="0" y="0"/>
                          <a:ext cx="623570" cy="491490"/>
                        </a:xfrm>
                        <a:prstGeom prst="rect">
                          <a:avLst/>
                        </a:prstGeom>
                        <a:noFill/>
                        <a:ln w="6350">
                          <a:noFill/>
                        </a:ln>
                      </wps:spPr>
                      <wps:txb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B3D19" id="_x0000_t202" coordsize="21600,21600" o:spt="202" path="m,l,21600r21600,l21600,xe">
                <v:stroke joinstyle="miter"/>
                <v:path gradientshapeok="t" o:connecttype="rect"/>
              </v:shapetype>
              <v:shape id="Caixa de Texto 4" o:spid="_x0000_s1026" type="#_x0000_t202" style="position:absolute;margin-left:-53.8pt;margin-top:27.05pt;width:49.1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" filled="f" stroked="f" strokeweight=".5pt">
                <v:textbo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v:textbox>
              </v:shape>
            </w:pict>
          </mc:Fallback>
        </mc:AlternateContent>
      </w:r>
      <w:r w:rsidR="004B23AC">
        <w:rPr>
          <w:rFonts w:ascii="Source Serif Pro" w:hAnsi="Source Serif Pro" w:cs="Segoe UI Semibold"/>
          <w:noProof/>
          <w:spacing w:val="10"/>
          <w:sz w:val="21"/>
          <w:szCs w:val="21"/>
        </w:rPr>
        <w:t xml:space="preserve">Autos n. </w:t>
      </w:r>
      <w:r w:rsidR="0015581C" w:rsidRPr="0015581C">
        <w:rPr>
          <w:rFonts w:ascii="Source Serif Pro" w:hAnsi="Source Serif Pro" w:cs="Segoe UI Semibold"/>
          <w:noProof/>
          <w:spacing w:val="10"/>
          <w:sz w:val="21"/>
          <w:szCs w:val="21"/>
        </w:rPr>
        <w:t>0001232-32.2013.403.6124</w:t>
      </w:r>
    </w:p>
    <w:p w14:paraId="41C34F6F" w14:textId="20132ED1" w:rsidR="00DB7797" w:rsidRPr="00B24A33" w:rsidRDefault="00B85546" w:rsidP="00DB7797">
      <w:pPr>
        <w:spacing w:before="40" w:after="0"/>
        <w:rPr>
          <w:rFonts w:ascii="Source Serif Pro" w:hAnsi="Source Serif Pro" w:cs="Segoe UI"/>
          <w:sz w:val="18"/>
          <w:szCs w:val="18"/>
        </w:rPr>
      </w:pPr>
      <w:r>
        <w:rPr>
          <w:rFonts w:ascii="Source Serif Pro" w:hAnsi="Source Serif Pro" w:cs="Segoe UI Semibold"/>
          <w:sz w:val="18"/>
          <w:szCs w:val="18"/>
        </w:rPr>
        <w:t>Requerente</w:t>
      </w:r>
      <w:r w:rsidR="00DB7797" w:rsidRPr="00B24A33">
        <w:rPr>
          <w:rFonts w:ascii="Source Serif Pro" w:hAnsi="Source Serif Pro" w:cs="Segoe UI Semibold"/>
          <w:sz w:val="18"/>
          <w:szCs w:val="18"/>
        </w:rPr>
        <w:t xml:space="preserve">: </w:t>
      </w:r>
      <w:r w:rsidR="001C6CE0">
        <w:rPr>
          <w:rFonts w:ascii="Source Serif Pro" w:hAnsi="Source Serif Pro" w:cs="Segoe UI"/>
          <w:sz w:val="18"/>
          <w:szCs w:val="18"/>
        </w:rPr>
        <w:t>Nome do Cliente</w:t>
      </w:r>
    </w:p>
    <w:p w14:paraId="5A87B2C6" w14:textId="17D198C5" w:rsidR="00EE0ABC" w:rsidRPr="00B24A33" w:rsidRDefault="00EE0ABC">
      <w:pPr>
        <w:rPr>
          <w:rFonts w:ascii="Source Serif Pro" w:hAnsi="Source Serif Pro"/>
        </w:rPr>
      </w:pPr>
    </w:p>
    <w:p w14:paraId="77A36274" w14:textId="77777777" w:rsidR="007020CA" w:rsidRDefault="007020CA" w:rsidP="00EE0ABC">
      <w:pPr>
        <w:ind w:firstLine="567"/>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6880E507" w:rsidR="00B57D96" w:rsidRPr="00B24A33" w:rsidRDefault="001C6CE0" w:rsidP="00163268">
      <w:pPr>
        <w:spacing w:before="120" w:after="120" w:line="312" w:lineRule="auto"/>
        <w:ind w:firstLine="567"/>
        <w:jc w:val="both"/>
        <w:rPr>
          <w:rFonts w:ascii="Source Serif Pro" w:hAnsi="Source Serif Pro"/>
        </w:rPr>
      </w:pPr>
      <w:r>
        <w:rPr>
          <w:rFonts w:ascii="Source Serif Pro" w:hAnsi="Source Serif Pro"/>
          <w:smallCaps/>
        </w:rPr>
        <w:t>NOME DO CLIENTE</w:t>
      </w:r>
      <w:r w:rsidR="00EE0ABC" w:rsidRPr="00B24A33">
        <w:rPr>
          <w:rFonts w:ascii="Source Serif Pro" w:hAnsi="Source Serif Pro"/>
          <w:smallCaps/>
        </w:rPr>
        <w:t xml:space="preserve">, </w:t>
      </w:r>
      <w:r w:rsidR="0015581C" w:rsidRPr="0015581C">
        <w:rPr>
          <w:rFonts w:ascii="Source Serif Pro" w:hAnsi="Source Serif Pro"/>
        </w:rPr>
        <w:t xml:space="preserve">já qualificado </w:t>
      </w:r>
      <w:r>
        <w:rPr>
          <w:rFonts w:ascii="Source Serif Pro" w:hAnsi="Source Serif Pro"/>
        </w:rPr>
        <w:t>no inquérito em epígrafe</w:t>
      </w:r>
      <w:r w:rsidR="0015581C" w:rsidRPr="0015581C">
        <w:rPr>
          <w:rFonts w:ascii="Source Serif Pro" w:hAnsi="Source Serif Pro"/>
        </w:rPr>
        <w:t xml:space="preserve">, por meio de seu advogado que esta subscreve, </w:t>
      </w:r>
      <w:r>
        <w:rPr>
          <w:rFonts w:ascii="Source Serif Pro" w:hAnsi="Source Serif Pro"/>
        </w:rPr>
        <w:t>vem a presença da autoridade policial requerer a</w:t>
      </w:r>
    </w:p>
    <w:p w14:paraId="2CD2B9C5" w14:textId="0CCB0F39" w:rsidR="00B57D96" w:rsidRPr="007A0B17" w:rsidRDefault="00045565"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LIBERDADE PROVISÓRIA</w:t>
      </w:r>
    </w:p>
    <w:p w14:paraId="46AE4AF2" w14:textId="22CD3315" w:rsidR="00EE0ABC" w:rsidRDefault="00045565" w:rsidP="00163268">
      <w:pPr>
        <w:spacing w:before="120" w:after="120" w:line="312" w:lineRule="auto"/>
        <w:ind w:firstLine="567"/>
        <w:jc w:val="both"/>
        <w:rPr>
          <w:rFonts w:ascii="Source Serif Pro" w:hAnsi="Source Serif Pro"/>
        </w:rPr>
      </w:pPr>
      <w:r w:rsidRPr="00045565">
        <w:rPr>
          <w:rFonts w:ascii="Source Serif Pro" w:hAnsi="Source Serif Pro"/>
        </w:rPr>
        <w:t>com fulcro no art. 310, III, do Código de Processo Penal e art. 5ª, LXVI, da Constituição Federal, 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6AC43093" w14:textId="5C6A3875" w:rsidR="00E61211" w:rsidRDefault="00E61211" w:rsidP="00E61211">
      <w:pPr>
        <w:pStyle w:val="SemEspaamento"/>
      </w:pPr>
      <w:r>
        <w:t>O Acautelado foi preso em flagrante no dia [inserir data], sob a acusação de ter agredido sua esposa no interior da residência do casal, situada no bairro [inserir bairro/cidade]. Segundo consta do boletim de ocorrência, a vítima acionou a Polícia Militar após o desentendimento com o companheiro, que teria desferido contra ela agressões físicas.</w:t>
      </w:r>
    </w:p>
    <w:p w14:paraId="03886986" w14:textId="0C82AFEA" w:rsidR="00E61211" w:rsidRDefault="00E61211" w:rsidP="00E61211">
      <w:pPr>
        <w:pStyle w:val="SemEspaamento"/>
      </w:pPr>
      <w:r>
        <w:t>A guarnição policial deslocou-se até o local e, ao encontrar a vítima e o Requerente ainda presente na residência, efetuou sua prisão em flagrante delito, nos termos do art. 301 do Código de Processo Penal. A autoridade policial lavrou o respectivo auto de prisão, registrando os relatos iniciais colhidos no local dos fatos.</w:t>
      </w:r>
    </w:p>
    <w:p w14:paraId="2344DF5F" w14:textId="7F29DF50" w:rsidR="00E61211" w:rsidRDefault="00E61211" w:rsidP="00E61211">
      <w:pPr>
        <w:pStyle w:val="SemEspaamento"/>
      </w:pPr>
      <w:r>
        <w:t>Após a comunicação do flagrante à autoridade judicial competente, foi realizada audiência de custódia, ocasião em que o juízo converteu a prisão em flagrante em prisão preventiva, com fundamento no art. 310, inciso II, do Código de Processo Penal, sob o argumento da necessidade de garantia da ordem pública e da integridade da vítima.</w:t>
      </w:r>
    </w:p>
    <w:p w14:paraId="025C3398" w14:textId="3EFC2E7D" w:rsidR="002D3115" w:rsidRDefault="00E61211" w:rsidP="00E61211">
      <w:pPr>
        <w:pStyle w:val="SemEspaamento"/>
      </w:pPr>
      <w:r>
        <w:lastRenderedPageBreak/>
        <w:t>Ocorre, contudo, que a manutenção da prisão cautelar se mostra desproporcional e desnecessária, especialmente diante da inexistência de elementos concretos que demonstrem que o Acautelado, em liberdade, comprometerá a instrução criminal, a aplicação da lei penal ou voltará a delinquir. A segregação provisória, neste contexto, revela-se medida extrema, que deve ceder espaço a medidas cautelares diversas da prisão, conforme preconiza o art. 319 do Código de Processo Penal, em consonância com o princípio da excepcionalidade da prisão preventiva.</w:t>
      </w:r>
    </w:p>
    <w:p w14:paraId="50F4A9D8" w14:textId="77777777" w:rsidR="002D3115" w:rsidRDefault="002D3115" w:rsidP="002D3115">
      <w:pPr>
        <w:pStyle w:val="SemEspaamento"/>
      </w:pPr>
    </w:p>
    <w:p w14:paraId="5087947A" w14:textId="2A728C16" w:rsidR="002D3115" w:rsidRDefault="00045565" w:rsidP="002D3115">
      <w:pPr>
        <w:pStyle w:val="Ttulo1"/>
        <w:spacing w:before="0" w:after="0" w:line="240" w:lineRule="auto"/>
      </w:pPr>
      <w:r>
        <w:t xml:space="preserve">AUSÊNCIA DOS REQUISITOS AUTORIZADORES </w:t>
      </w:r>
    </w:p>
    <w:p w14:paraId="7C57FDD5" w14:textId="3185C87A" w:rsidR="002D3115" w:rsidRPr="00547988" w:rsidRDefault="00045565" w:rsidP="002D3115">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Ausência requisitos do art. 312 – Impossibilidade conversão em prisão preventiva</w:t>
      </w:r>
    </w:p>
    <w:p w14:paraId="1A2199EB" w14:textId="2141BC4C" w:rsidR="0092219B" w:rsidRDefault="0092219B" w:rsidP="0092219B">
      <w:pPr>
        <w:pStyle w:val="SemEspaamento"/>
      </w:pPr>
      <w:r>
        <w:t>A prisão preventiva é medida de natureza excepcional e somente deve ser mantida quando comprovadamente indispensável à garantia da ordem pública, da instrução criminal ou da aplicação da lei penal, nos termos do art. 312 do Código de Processo Penal. No caso em apreço, contudo, não se verifica a presença de elementos concretos que justifiquem a manutenção da custódia cautelar, mostrando-se mais adequada, proporcional e suficiente a imposição de medidas cautelares diversas da prisão.</w:t>
      </w:r>
    </w:p>
    <w:p w14:paraId="161A8159" w14:textId="402AEB0D" w:rsidR="0092219B" w:rsidRDefault="0092219B" w:rsidP="0092219B">
      <w:pPr>
        <w:pStyle w:val="SemEspaamento"/>
      </w:pPr>
      <w:r>
        <w:t>O Código de Processo Penal, ao disciplinar a aplicação da prisão preventiva, exige a demonstração clara e objetiva do perigo concreto que a liberdade do réu representa à sociedade, à investigação ou à persecução penal. Ausente esse risco, como ocorre na presente hipótese, a prisão cautelar deixa de se justificar e passa a configurar medida excessiva, violadora do princípio da presunção de inocência.</w:t>
      </w:r>
    </w:p>
    <w:p w14:paraId="11E0F6EC" w14:textId="60592830" w:rsidR="0092219B" w:rsidRDefault="0092219B" w:rsidP="0092219B">
      <w:pPr>
        <w:pStyle w:val="SemEspaamento"/>
      </w:pPr>
      <w:r>
        <w:t>Mesmo em casos de violência doméstica, a prisão preventiva deve ser aplicada com extrema cautela, observando-se o princípio da proporcionalidade e a necessidade concreta da medida. A imposição da prisão preventiva imposta no caso é desproporcional diante da primariedade e bons antecedentes do requerente, medidas cautelares substitutivas são plenamente adequadas e suficientes ao caso.</w:t>
      </w:r>
    </w:p>
    <w:p w14:paraId="7E6D6910" w14:textId="3C3EF1D5" w:rsidR="0092219B" w:rsidRDefault="0092219B" w:rsidP="0092219B">
      <w:pPr>
        <w:pStyle w:val="SemEspaamento"/>
      </w:pPr>
      <w:r>
        <w:t xml:space="preserve">No caso em tela, o Acautelado ora defendido é primário, possui bons antecedentes e residência fixa, não havendo notícia de que, se agraciado com a liberdade, venha a atentar contra a instrução criminal, a ordem pública ou a integridade da </w:t>
      </w:r>
      <w:r>
        <w:lastRenderedPageBreak/>
        <w:t>suposta vítima. Dessa forma, a custódia se mostra desnecessária, devendo ser revogada com a imposição das medidas previstas no art. 319 do CPP.</w:t>
      </w:r>
    </w:p>
    <w:p w14:paraId="466486E5" w14:textId="438779D0" w:rsidR="0092219B" w:rsidRDefault="0092219B" w:rsidP="0092219B">
      <w:pPr>
        <w:pStyle w:val="SemEspaamento"/>
      </w:pPr>
      <w:r>
        <w:t>Importante destacar que o Supremo Tribunal Federal e o Superior Tribunal de Justiça vêm firmando entendimento no sentido de que a prisão preventiva deve ser decretada com base em fundamentos concretos, e não em meras suposições ou gravidade abstrata do delito. No caso em exame, a simples gravidade da imputação, por si só, não basta para justificar a manutenção da medida extrema.</w:t>
      </w:r>
    </w:p>
    <w:p w14:paraId="1997D13E" w14:textId="44CB16D2" w:rsidR="0092219B" w:rsidRDefault="0092219B" w:rsidP="0092219B">
      <w:pPr>
        <w:pStyle w:val="SemEspaamento"/>
      </w:pPr>
      <w:r>
        <w:t>Ainda que se trate de contexto de violência doméstica, o que demanda atenção redobrada do Judiciário na proteção da vítima, é preciso que se observe o devido processo legal e os limites constitucionais das medidas cautelares. A proteção à integridade da ofendida pode ser garantida por outros mecanismos igualmente eficazes, como o afastamento do lar, a proibição de contato e a vigilância eletrônica, se necessário.</w:t>
      </w:r>
    </w:p>
    <w:p w14:paraId="7042E706" w14:textId="26F8AF6A" w:rsidR="0092219B" w:rsidRDefault="0092219B" w:rsidP="0092219B">
      <w:pPr>
        <w:pStyle w:val="SemEspaamento"/>
      </w:pPr>
      <w:r>
        <w:t>O art. 282, §6º, do Código de Processo Penal impõe ao magistrado o dever de aplicar a prisão preventiva apenas quando as medidas cautelares diversas se mostrarem inadequadas ou insuficientes. No entanto, tal juízo de inadequação deve estar devidamente fundamentado nos autos, fato que não se verifica nos autos.</w:t>
      </w:r>
    </w:p>
    <w:p w14:paraId="51A5D786" w14:textId="00D6CFD7" w:rsidR="0092219B" w:rsidRDefault="0092219B" w:rsidP="0092219B">
      <w:pPr>
        <w:pStyle w:val="SemEspaamento"/>
      </w:pPr>
      <w:r>
        <w:t>A adoção da prisão como medida padrão, desconsiderando-se o contexto pessoal e processual do investigado, representa violação aos princípios da razoabilidade e da intervenção mínima que regem o direito penal e processual penal. A prisão cautelar deve ser o último recurso (</w:t>
      </w:r>
      <w:r w:rsidRPr="0092219B">
        <w:rPr>
          <w:i/>
          <w:iCs/>
        </w:rPr>
        <w:t>última ratio</w:t>
      </w:r>
      <w:r>
        <w:t>), não um reflexo automático diante da simples autuação em flagrante.</w:t>
      </w:r>
    </w:p>
    <w:p w14:paraId="624A23BE" w14:textId="2D6E4CE0" w:rsidR="0092219B" w:rsidRDefault="0092219B" w:rsidP="0092219B">
      <w:pPr>
        <w:pStyle w:val="SemEspaamento"/>
      </w:pPr>
      <w:r>
        <w:t xml:space="preserve">No caso concreto, não há elementos que indiquem risco de fuga, ameaça à vítima ou tentativa de obstrução à instrução processual. </w:t>
      </w:r>
    </w:p>
    <w:p w14:paraId="514A17B9" w14:textId="13CF5991" w:rsidR="0092219B" w:rsidRDefault="0092219B" w:rsidP="0092219B">
      <w:pPr>
        <w:pStyle w:val="SemEspaamento"/>
      </w:pPr>
      <w:r>
        <w:t>Rigorosamente nenhum dos requisitos do art. 312 do CPP se fazem presentes no caso para que o flagrante seja convertido em preventiva.</w:t>
      </w:r>
    </w:p>
    <w:p w14:paraId="227CFD09" w14:textId="24B7BEED" w:rsidR="0092219B" w:rsidRDefault="0092219B" w:rsidP="0092219B">
      <w:pPr>
        <w:pStyle w:val="SemEspaamento"/>
      </w:pPr>
      <w:r>
        <w:t xml:space="preserve">Ademais, a substituição da prisão por medidas cautelares como o comparecimento periódico em juízo, proibição de contato com a vítima e monitoramento por tornozeleira eletrônica, se necessário, representa solução equilibrada entre o </w:t>
      </w:r>
      <w:r>
        <w:lastRenderedPageBreak/>
        <w:t>direito de liberdade do Acautelado e a proteção da suposta vítima, preservando a efetividade da persecução penal sem o sacrifício desnecessário de garantias fundamentais.</w:t>
      </w:r>
    </w:p>
    <w:p w14:paraId="526C94F3" w14:textId="3C2FE011" w:rsidR="008235F0" w:rsidRDefault="0092219B" w:rsidP="0092219B">
      <w:pPr>
        <w:pStyle w:val="SemEspaamento"/>
      </w:pPr>
      <w:r>
        <w:t>Portanto, diante da primariedade, da ausência de risco concreto e da possibilidade de aplicação eficaz de medidas alternativas, impõe-se a concessão do presente pedido de Liberdade Provisória, com a substituição por medidas cautelares diversas como parâmetro de proporcionalidade e justiça.</w:t>
      </w:r>
      <w:r w:rsidR="008235F0">
        <w:t xml:space="preserve"> </w:t>
      </w:r>
    </w:p>
    <w:p w14:paraId="28F5471B" w14:textId="77777777" w:rsidR="00391994" w:rsidRDefault="00391994" w:rsidP="0092219B">
      <w:pPr>
        <w:pStyle w:val="SemEspaamento"/>
      </w:pPr>
    </w:p>
    <w:p w14:paraId="6064DD01" w14:textId="77777777" w:rsidR="00391994" w:rsidRDefault="00391994" w:rsidP="00391994">
      <w:pPr>
        <w:pStyle w:val="Ttulo1"/>
        <w:spacing w:before="0" w:after="0" w:line="240" w:lineRule="auto"/>
      </w:pPr>
      <w:r>
        <w:t xml:space="preserve">SUFICIÊNCIA DE MEDIDAS CAUTELARES DIVERSAS </w:t>
      </w:r>
    </w:p>
    <w:p w14:paraId="187F5D96" w14:textId="77777777" w:rsidR="00391994" w:rsidRPr="00547988" w:rsidRDefault="00391994" w:rsidP="0039199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Possibilidade - </w:t>
      </w:r>
      <w:r w:rsidRPr="00E71747">
        <w:rPr>
          <w:rFonts w:ascii="Source Sans Pro" w:hAnsi="Source Sans Pro"/>
          <w:i/>
          <w:iCs/>
          <w:shd w:val="clear" w:color="auto" w:fill="FFFFFF" w:themeFill="background1"/>
        </w:rPr>
        <w:t>STJ AGRG NO HC N. 792.114/SP</w:t>
      </w:r>
    </w:p>
    <w:p w14:paraId="6935FE62" w14:textId="77777777" w:rsidR="00391994" w:rsidRPr="00150C5B" w:rsidRDefault="00391994" w:rsidP="00391994">
      <w:pPr>
        <w:pStyle w:val="SemEspaamento"/>
      </w:pPr>
      <w:r w:rsidRPr="00150C5B">
        <w:t xml:space="preserve">Na nova ótica do direito processual penal, a prisão cautelar deve ser utilizada como último </w:t>
      </w:r>
      <w:r w:rsidRPr="00E71747">
        <w:t>ratio</w:t>
      </w:r>
      <w:r w:rsidRPr="00150C5B">
        <w:t>, caso a aplicação de medidas cautelares seja insuficiente.</w:t>
      </w:r>
    </w:p>
    <w:p w14:paraId="576CECF6" w14:textId="77777777" w:rsidR="00391994" w:rsidRPr="00150C5B" w:rsidRDefault="00391994" w:rsidP="00391994">
      <w:pPr>
        <w:pStyle w:val="SemEspaamento"/>
      </w:pPr>
      <w:r w:rsidRPr="00150C5B">
        <w:t>No caso em apreço, a aplicaç</w:t>
      </w:r>
      <w:r>
        <w:t>ão</w:t>
      </w:r>
      <w:r w:rsidRPr="00150C5B">
        <w:t xml:space="preserve"> de medidas cautelares seria suficiente ao caso que não denota periculosidade acentuada do requerente</w:t>
      </w:r>
      <w:r>
        <w:t>, tendo em vista a pouca quantidade de droga apreendia e o fato de ser o acautelado primário e de bons antecedentes</w:t>
      </w:r>
      <w:r w:rsidRPr="00150C5B">
        <w:t xml:space="preserve">. </w:t>
      </w:r>
    </w:p>
    <w:p w14:paraId="08CB80C6" w14:textId="77777777" w:rsidR="00391994" w:rsidRPr="00150C5B" w:rsidRDefault="00391994" w:rsidP="00391994">
      <w:pPr>
        <w:pStyle w:val="SemEspaamento"/>
      </w:pPr>
      <w:r>
        <w:t>Em casos análogos ao presente, e até mesmo em casos que há prova da contumácia no crime de tráfico de drogas, o Superior Tribunal de Justiça tem entendido ser suficiente a aplicação de medidas cautelares diversas da prisão, vejamos</w:t>
      </w:r>
      <w:r w:rsidRPr="00150C5B">
        <w:t>:</w:t>
      </w:r>
    </w:p>
    <w:p w14:paraId="0217D286" w14:textId="77777777" w:rsidR="00391994" w:rsidRDefault="00391994" w:rsidP="00391994">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r w:rsidRPr="00E71747">
        <w:rPr>
          <w:color w:val="808080" w:themeColor="background1" w:themeShade="80"/>
        </w:rPr>
        <w:t>AgRg no HC n. 792.114/SP, relator Ministro Ribeiro Dantas, Quinta Turma, julgado em 20/3/2023, DJe de 24/3/2023</w:t>
      </w:r>
      <w:r w:rsidRPr="00580B73">
        <w:rPr>
          <w:color w:val="808080" w:themeColor="background1" w:themeShade="80"/>
        </w:rPr>
        <w:t>.</w:t>
      </w:r>
    </w:p>
    <w:p w14:paraId="66F400B2" w14:textId="77777777" w:rsidR="00391994" w:rsidRDefault="00391994" w:rsidP="00391994">
      <w:pPr>
        <w:pStyle w:val="SemEspaamento"/>
        <w:spacing w:before="60" w:after="60" w:line="276" w:lineRule="auto"/>
        <w:ind w:left="2268" w:firstLine="0"/>
        <w:rPr>
          <w:i/>
          <w:iCs/>
        </w:rPr>
      </w:pPr>
      <w:r w:rsidRPr="00E71747">
        <w:rPr>
          <w:i/>
          <w:iCs/>
        </w:rPr>
        <w:t xml:space="preserve">O decreto cautelar fundou-se no risco concreto de reiteração delitiva, uma vez que o paciente responde a outro processo também pelo delito de tráfico de drogas. Todavia, embora tal circunstância seja elemento válido para se inferir a habitualidade delitiva do agente e, sendo assim, justificar a prisão cautelar com o fim de resguardar a ordem pública, observa-se, in casu, que a conduta a ele atribuída não se revela de maior periculosidade social - apreensão de 163,1g de maconha e R$57,00. 3. Nesse contexto, tem-se como suficiente ao acautelamento do meio social, a substituição da </w:t>
      </w:r>
      <w:r w:rsidRPr="00E71747">
        <w:rPr>
          <w:i/>
          <w:iCs/>
        </w:rPr>
        <w:lastRenderedPageBreak/>
        <w:t xml:space="preserve">prisão preventiva por </w:t>
      </w:r>
      <w:proofErr w:type="gramStart"/>
      <w:r w:rsidRPr="00E71747">
        <w:rPr>
          <w:i/>
          <w:iCs/>
        </w:rPr>
        <w:t>outra medidas cautelares</w:t>
      </w:r>
      <w:proofErr w:type="gramEnd"/>
      <w:r w:rsidRPr="00E71747">
        <w:rPr>
          <w:i/>
          <w:iCs/>
        </w:rPr>
        <w:t xml:space="preserve"> do art. 319 do CPP, sobretudo quando certificada a primariedade do acusado e a pequena quantidade de entorpecente não variado de menor potencial ofensivo, devendo responder o processo em liberdade</w:t>
      </w:r>
      <w:r>
        <w:rPr>
          <w:i/>
          <w:iCs/>
        </w:rPr>
        <w:t>.</w:t>
      </w:r>
    </w:p>
    <w:p w14:paraId="39CB9857" w14:textId="77777777" w:rsidR="00391994" w:rsidRDefault="00391994" w:rsidP="00391994">
      <w:pPr>
        <w:pStyle w:val="SemEspaamento"/>
      </w:pPr>
      <w:r>
        <w:t>Por ser o acautelado primário e de bons antecedentes, com amparo no precedente acima citado, o requerente pleiteia que, caso necessário, a preventiva seja substituição por medidas cautelares diversas da prisão</w:t>
      </w:r>
      <w:r w:rsidRPr="00150C5B">
        <w:t>.</w:t>
      </w:r>
    </w:p>
    <w:p w14:paraId="28AE48D5" w14:textId="77777777" w:rsidR="00391994" w:rsidRDefault="00391994" w:rsidP="00391994">
      <w:pPr>
        <w:pStyle w:val="SemEspaamento"/>
      </w:pPr>
    </w:p>
    <w:p w14:paraId="0B249507" w14:textId="77777777" w:rsidR="001B6561" w:rsidRDefault="001B6561" w:rsidP="001B6561">
      <w:pPr>
        <w:pStyle w:val="Ttulo1"/>
        <w:spacing w:before="0" w:after="0" w:line="240" w:lineRule="auto"/>
      </w:pPr>
      <w:r>
        <w:t>COMPROVANTE DE RESIDÊNCIA E RENDA LÍCITA</w:t>
      </w:r>
    </w:p>
    <w:p w14:paraId="1575D94E" w14:textId="77777777" w:rsidR="001B6561" w:rsidRPr="00547988" w:rsidRDefault="001B6561" w:rsidP="001B6561">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Condições pessoais favoráveis</w:t>
      </w:r>
    </w:p>
    <w:p w14:paraId="651E3BCF" w14:textId="77777777" w:rsidR="001B6561" w:rsidRPr="00150C5B" w:rsidRDefault="001B6561" w:rsidP="001B6561">
      <w:pPr>
        <w:pStyle w:val="SemEspaamento"/>
      </w:pPr>
      <w:r w:rsidRPr="00150C5B">
        <w:t>Conforme os documentos acostados nos autos, o requerente é aposentado, ou seja, tem como prover a própria subsistência além de ter residência fixa.</w:t>
      </w:r>
    </w:p>
    <w:p w14:paraId="53E9500F" w14:textId="77777777" w:rsidR="001B6561" w:rsidRDefault="001B6561" w:rsidP="001B6561">
      <w:pPr>
        <w:pStyle w:val="SemEspaamento"/>
      </w:pPr>
      <w:r w:rsidRPr="00150C5B">
        <w:t xml:space="preserve">Sabe-se que o emprego lícito e a residência fixa de per si não são requisitos que, de maneira automática, conduzem a liberdade do acutelado, contudo, esses fatos aliados a situação em que se deu o flagrante e a ausência dos demais requisitos para preventiva conduzem naturalmente a necessidade de concessão de liberdade provisória sem fiança, com a aplicação de medidas cautelares </w:t>
      </w:r>
      <w:r>
        <w:t xml:space="preserve">diversas </w:t>
      </w:r>
      <w:r w:rsidRPr="00150C5B">
        <w:t>da prisão, caso necessário.</w:t>
      </w:r>
    </w:p>
    <w:p w14:paraId="71C0C418" w14:textId="77777777" w:rsidR="00391994" w:rsidRDefault="00391994" w:rsidP="001B6561">
      <w:pPr>
        <w:pStyle w:val="SemEspaamento"/>
      </w:pPr>
    </w:p>
    <w:p w14:paraId="6623218C" w14:textId="77777777" w:rsidR="002D3115" w:rsidRDefault="002D3115" w:rsidP="002D3115">
      <w:pPr>
        <w:pStyle w:val="Ttulo1"/>
        <w:spacing w:before="0" w:after="0" w:line="240" w:lineRule="auto"/>
      </w:pPr>
      <w:r>
        <w:t>DO PEDIDO</w:t>
      </w:r>
    </w:p>
    <w:p w14:paraId="73E39172" w14:textId="77777777" w:rsidR="00B85546" w:rsidRDefault="00B85546" w:rsidP="008235F0">
      <w:pPr>
        <w:spacing w:before="120" w:after="120" w:line="312" w:lineRule="auto"/>
        <w:ind w:firstLine="567"/>
        <w:jc w:val="both"/>
        <w:rPr>
          <w:rFonts w:ascii="Source Serif Pro" w:hAnsi="Source Serif Pro"/>
        </w:rPr>
      </w:pPr>
    </w:p>
    <w:p w14:paraId="5CEEED79" w14:textId="127D81A7" w:rsidR="008235F0" w:rsidRPr="008235F0" w:rsidRDefault="008235F0" w:rsidP="008235F0">
      <w:pPr>
        <w:spacing w:before="120" w:after="120" w:line="312" w:lineRule="auto"/>
        <w:ind w:firstLine="567"/>
        <w:jc w:val="both"/>
        <w:rPr>
          <w:rFonts w:ascii="Source Serif Pro" w:hAnsi="Source Serif Pro"/>
        </w:rPr>
      </w:pPr>
      <w:r w:rsidRPr="008235F0">
        <w:rPr>
          <w:rFonts w:ascii="Source Serif Pro" w:hAnsi="Source Serif Pro"/>
        </w:rPr>
        <w:t xml:space="preserve">Diante de todo o exposto, restando ausentes os requisitos autorizadores da prisão preventiva, nos termos do artigo 312 do Código de Processo Penal, e diante da suficiência de aplicação de medidas cautelares diversas da prisão, </w:t>
      </w:r>
      <w:r w:rsidRPr="008235F0">
        <w:rPr>
          <w:rFonts w:ascii="Source Serif Pro" w:hAnsi="Source Serif Pro"/>
          <w:b/>
          <w:bCs/>
        </w:rPr>
        <w:t>requer a Vossa Excelência</w:t>
      </w:r>
      <w:r w:rsidRPr="008235F0">
        <w:rPr>
          <w:rFonts w:ascii="Source Serif Pro" w:hAnsi="Source Serif Pro"/>
        </w:rPr>
        <w:t>:</w:t>
      </w:r>
    </w:p>
    <w:p w14:paraId="55192DF9" w14:textId="34846F01" w:rsidR="008235F0" w:rsidRPr="008235F0" w:rsidRDefault="008235F0" w:rsidP="008235F0">
      <w:pPr>
        <w:pStyle w:val="PargrafodaLista"/>
        <w:numPr>
          <w:ilvl w:val="0"/>
          <w:numId w:val="31"/>
        </w:numPr>
        <w:spacing w:before="120" w:after="120" w:line="312" w:lineRule="auto"/>
        <w:jc w:val="both"/>
        <w:rPr>
          <w:rFonts w:ascii="Source Serif Pro" w:hAnsi="Source Serif Pro"/>
        </w:rPr>
      </w:pPr>
      <w:r w:rsidRPr="008235F0">
        <w:rPr>
          <w:rFonts w:ascii="Source Serif Pro" w:hAnsi="Source Serif Pro"/>
        </w:rPr>
        <w:t xml:space="preserve">Que se digne </w:t>
      </w:r>
      <w:r w:rsidRPr="008235F0">
        <w:rPr>
          <w:rFonts w:ascii="Source Serif Pro" w:hAnsi="Source Serif Pro"/>
          <w:b/>
          <w:bCs/>
        </w:rPr>
        <w:t>conceder a liberdade provisória</w:t>
      </w:r>
      <w:r w:rsidRPr="008235F0">
        <w:rPr>
          <w:rFonts w:ascii="Source Serif Pro" w:hAnsi="Source Serif Pro"/>
        </w:rPr>
        <w:t xml:space="preserve"> ao requerente, nos termos do artigo 310, inciso III, e artigo 321, ambos do Código de Processo Penal;</w:t>
      </w:r>
    </w:p>
    <w:p w14:paraId="42057C54" w14:textId="47E01930" w:rsidR="008235F0" w:rsidRDefault="008235F0" w:rsidP="008235F0">
      <w:pPr>
        <w:pStyle w:val="PargrafodaLista"/>
        <w:numPr>
          <w:ilvl w:val="0"/>
          <w:numId w:val="31"/>
        </w:numPr>
        <w:spacing w:before="120" w:after="120" w:line="312" w:lineRule="auto"/>
        <w:jc w:val="both"/>
        <w:rPr>
          <w:rFonts w:ascii="Source Serif Pro" w:hAnsi="Source Serif Pro"/>
        </w:rPr>
      </w:pPr>
      <w:r w:rsidRPr="008235F0">
        <w:rPr>
          <w:rFonts w:ascii="Source Serif Pro" w:hAnsi="Source Serif Pro"/>
        </w:rPr>
        <w:lastRenderedPageBreak/>
        <w:t xml:space="preserve">Subsidiariamente, caso Vossa Excelência entenda necessário, requer seja o requerente submetido a </w:t>
      </w:r>
      <w:r w:rsidRPr="008235F0">
        <w:rPr>
          <w:rFonts w:ascii="Source Serif Pro" w:hAnsi="Source Serif Pro"/>
          <w:b/>
          <w:bCs/>
        </w:rPr>
        <w:t>medidas cautelares diversas da prisão</w:t>
      </w:r>
      <w:r w:rsidRPr="008235F0">
        <w:rPr>
          <w:rFonts w:ascii="Source Serif Pro" w:hAnsi="Source Serif Pro"/>
        </w:rPr>
        <w:t>, previstas no artigo 319 do Código de Processo Penal</w:t>
      </w:r>
      <w:r>
        <w:rPr>
          <w:rFonts w:ascii="Source Serif Pro" w:hAnsi="Source Serif Pro"/>
        </w:rPr>
        <w:t>;</w:t>
      </w:r>
    </w:p>
    <w:p w14:paraId="191844BF" w14:textId="143B63BC"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6551D01E"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B52E9D">
        <w:rPr>
          <w:rFonts w:ascii="Source Serif Pro" w:hAnsi="Source Serif Pro"/>
          <w:noProof/>
        </w:rPr>
        <w:t>19 de novembro de 2025</w:t>
      </w:r>
      <w:r w:rsidR="0015581C">
        <w:rPr>
          <w:rFonts w:ascii="Source Serif Pro" w:hAnsi="Source Serif Pro"/>
        </w:rPr>
        <w:fldChar w:fldCharType="end"/>
      </w:r>
      <w:r w:rsidR="0015581C" w:rsidRPr="0015581C">
        <w:rPr>
          <w:rFonts w:ascii="Source Serif Pro" w:hAnsi="Source Serif Pro"/>
        </w:rPr>
        <w:t>.</w:t>
      </w:r>
    </w:p>
    <w:p w14:paraId="3BBA0EDB" w14:textId="77777777" w:rsidR="0015581C" w:rsidRPr="0015581C" w:rsidRDefault="0015581C" w:rsidP="0015581C">
      <w:pPr>
        <w:spacing w:before="120" w:after="120" w:line="312" w:lineRule="auto"/>
        <w:ind w:firstLine="567"/>
        <w:jc w:val="both"/>
        <w:rPr>
          <w:rFonts w:ascii="Source Serif Pro" w:hAnsi="Source Serif Pro"/>
        </w:rPr>
      </w:pPr>
    </w:p>
    <w:p w14:paraId="2DA090D7" w14:textId="2D38400E"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466093">
      <w:headerReference w:type="default" r:id="rId8"/>
      <w:footerReference w:type="default" r:id="rId9"/>
      <w:headerReference w:type="first" r:id="rId10"/>
      <w:footerReference w:type="first" r:id="rId11"/>
      <w:pgSz w:w="11906" w:h="16838"/>
      <w:pgMar w:top="1871"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BBD24" w14:textId="77777777" w:rsidR="00FC039D" w:rsidRDefault="00FC039D" w:rsidP="00BA1F94">
      <w:pPr>
        <w:spacing w:after="0" w:line="240" w:lineRule="auto"/>
      </w:pPr>
      <w:r>
        <w:separator/>
      </w:r>
    </w:p>
  </w:endnote>
  <w:endnote w:type="continuationSeparator" w:id="0">
    <w:p w14:paraId="5C580E14" w14:textId="77777777" w:rsidR="00FC039D" w:rsidRDefault="00FC039D"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Variable Display Semib">
    <w:panose1 w:val="00000000000000000000"/>
    <w:charset w:val="00"/>
    <w:family w:val="auto"/>
    <w:pitch w:val="variable"/>
    <w:sig w:usb0="A00002FF" w:usb1="0000000B"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BDC5DF6" w:rsidR="001E7DF5" w:rsidRPr="00D14593" w:rsidRDefault="00A8787D"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1359222494"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77777777"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r w:rsidRPr="00A97C42">
      <w:rPr>
        <w:rFonts w:ascii="Source Sans Pro" w:hAnsi="Source Sans Pro"/>
        <w:color w:val="0B0F23"/>
        <w:sz w:val="20"/>
        <w:szCs w:val="20"/>
      </w:rPr>
      <w:t>www.guarnierimartins.com.br   contato@guarnierimartins.com.br</w:t>
    </w:r>
  </w:p>
  <w:p w14:paraId="1E5600C1" w14:textId="77777777"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w:t>
    </w:r>
    <w:proofErr w:type="gramStart"/>
    <w:r w:rsidRPr="00A97C42">
      <w:rPr>
        <w:rFonts w:ascii="Source Sans Pro" w:hAnsi="Source Sans Pro"/>
        <w:color w:val="0B0F23"/>
        <w:sz w:val="20"/>
        <w:szCs w:val="20"/>
      </w:rPr>
      <w:t>9366  (</w:t>
    </w:r>
    <w:proofErr w:type="gramEnd"/>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098C1" w14:textId="77777777" w:rsidR="00FC039D" w:rsidRDefault="00FC039D" w:rsidP="00BA1F94">
      <w:pPr>
        <w:spacing w:after="0" w:line="240" w:lineRule="auto"/>
      </w:pPr>
      <w:r>
        <w:separator/>
      </w:r>
    </w:p>
  </w:footnote>
  <w:footnote w:type="continuationSeparator" w:id="0">
    <w:p w14:paraId="27A51999" w14:textId="77777777" w:rsidR="00FC039D" w:rsidRDefault="00FC039D"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3419882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56109678"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3" w15:restartNumberingAfterBreak="0">
    <w:nsid w:val="162B22D5"/>
    <w:multiLevelType w:val="hybridMultilevel"/>
    <w:tmpl w:val="9A3A1EFE"/>
    <w:lvl w:ilvl="0" w:tplc="F146C3D4">
      <w:start w:val="1"/>
      <w:numFmt w:val="decimal"/>
      <w:pStyle w:val="Ttulo1"/>
      <w:lvlText w:val="%1."/>
      <w:lvlJc w:val="left"/>
      <w:pPr>
        <w:ind w:left="6881"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6"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9"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17"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8"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19"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3"/>
  </w:num>
  <w:num w:numId="2" w16cid:durableId="1455253303">
    <w:abstractNumId w:val="11"/>
  </w:num>
  <w:num w:numId="3" w16cid:durableId="555554971">
    <w:abstractNumId w:val="3"/>
  </w:num>
  <w:num w:numId="4" w16cid:durableId="1971129295">
    <w:abstractNumId w:val="3"/>
  </w:num>
  <w:num w:numId="5" w16cid:durableId="555433521">
    <w:abstractNumId w:val="3"/>
  </w:num>
  <w:num w:numId="6" w16cid:durableId="376053507">
    <w:abstractNumId w:val="3"/>
  </w:num>
  <w:num w:numId="7" w16cid:durableId="1819492703">
    <w:abstractNumId w:val="1"/>
  </w:num>
  <w:num w:numId="8" w16cid:durableId="214002896">
    <w:abstractNumId w:val="8"/>
  </w:num>
  <w:num w:numId="9" w16cid:durableId="1186557910">
    <w:abstractNumId w:val="15"/>
  </w:num>
  <w:num w:numId="10" w16cid:durableId="45959775">
    <w:abstractNumId w:val="3"/>
  </w:num>
  <w:num w:numId="11" w16cid:durableId="698555142">
    <w:abstractNumId w:val="3"/>
  </w:num>
  <w:num w:numId="12" w16cid:durableId="169760788">
    <w:abstractNumId w:val="12"/>
  </w:num>
  <w:num w:numId="13" w16cid:durableId="1542085398">
    <w:abstractNumId w:val="9"/>
  </w:num>
  <w:num w:numId="14" w16cid:durableId="1800220788">
    <w:abstractNumId w:val="23"/>
  </w:num>
  <w:num w:numId="15" w16cid:durableId="189689990">
    <w:abstractNumId w:val="19"/>
  </w:num>
  <w:num w:numId="16" w16cid:durableId="106320463">
    <w:abstractNumId w:val="21"/>
  </w:num>
  <w:num w:numId="17" w16cid:durableId="757795001">
    <w:abstractNumId w:val="5"/>
  </w:num>
  <w:num w:numId="18" w16cid:durableId="507915239">
    <w:abstractNumId w:val="20"/>
  </w:num>
  <w:num w:numId="19" w16cid:durableId="985084700">
    <w:abstractNumId w:val="18"/>
  </w:num>
  <w:num w:numId="20" w16cid:durableId="700283364">
    <w:abstractNumId w:val="16"/>
  </w:num>
  <w:num w:numId="21" w16cid:durableId="895627114">
    <w:abstractNumId w:val="7"/>
  </w:num>
  <w:num w:numId="22" w16cid:durableId="2089496448">
    <w:abstractNumId w:val="3"/>
  </w:num>
  <w:num w:numId="23" w16cid:durableId="561600074">
    <w:abstractNumId w:val="0"/>
  </w:num>
  <w:num w:numId="24" w16cid:durableId="278606713">
    <w:abstractNumId w:val="17"/>
  </w:num>
  <w:num w:numId="25" w16cid:durableId="556820897">
    <w:abstractNumId w:val="4"/>
  </w:num>
  <w:num w:numId="26" w16cid:durableId="648704854">
    <w:abstractNumId w:val="2"/>
  </w:num>
  <w:num w:numId="27" w16cid:durableId="1146168893">
    <w:abstractNumId w:val="13"/>
  </w:num>
  <w:num w:numId="28" w16cid:durableId="1280070271">
    <w:abstractNumId w:val="6"/>
  </w:num>
  <w:num w:numId="29" w16cid:durableId="1163280356">
    <w:abstractNumId w:val="10"/>
  </w:num>
  <w:num w:numId="30" w16cid:durableId="1479685322">
    <w:abstractNumId w:val="22"/>
  </w:num>
  <w:num w:numId="31" w16cid:durableId="9390224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21F5D"/>
    <w:rsid w:val="00045565"/>
    <w:rsid w:val="000911F8"/>
    <w:rsid w:val="001153D8"/>
    <w:rsid w:val="00144A4B"/>
    <w:rsid w:val="0015581C"/>
    <w:rsid w:val="00163268"/>
    <w:rsid w:val="001B6561"/>
    <w:rsid w:val="001C6CE0"/>
    <w:rsid w:val="001E7DF5"/>
    <w:rsid w:val="001F3409"/>
    <w:rsid w:val="0021462C"/>
    <w:rsid w:val="00255925"/>
    <w:rsid w:val="00265B72"/>
    <w:rsid w:val="002731A1"/>
    <w:rsid w:val="002D3115"/>
    <w:rsid w:val="002D59D0"/>
    <w:rsid w:val="002E0484"/>
    <w:rsid w:val="002F00FD"/>
    <w:rsid w:val="00307183"/>
    <w:rsid w:val="00335715"/>
    <w:rsid w:val="0035269F"/>
    <w:rsid w:val="003602F7"/>
    <w:rsid w:val="00391994"/>
    <w:rsid w:val="003A76A4"/>
    <w:rsid w:val="00421C44"/>
    <w:rsid w:val="00462A1D"/>
    <w:rsid w:val="00466093"/>
    <w:rsid w:val="00473494"/>
    <w:rsid w:val="004A1397"/>
    <w:rsid w:val="004B23AC"/>
    <w:rsid w:val="004C2B0E"/>
    <w:rsid w:val="004F6860"/>
    <w:rsid w:val="00510D1D"/>
    <w:rsid w:val="00546E0C"/>
    <w:rsid w:val="00547988"/>
    <w:rsid w:val="0056423A"/>
    <w:rsid w:val="005702CF"/>
    <w:rsid w:val="00575469"/>
    <w:rsid w:val="00585236"/>
    <w:rsid w:val="005964D3"/>
    <w:rsid w:val="00596D6C"/>
    <w:rsid w:val="005C54F8"/>
    <w:rsid w:val="00636D00"/>
    <w:rsid w:val="006419C1"/>
    <w:rsid w:val="00673A8C"/>
    <w:rsid w:val="006A3AEB"/>
    <w:rsid w:val="006E26AE"/>
    <w:rsid w:val="006F33DE"/>
    <w:rsid w:val="007020CA"/>
    <w:rsid w:val="00716815"/>
    <w:rsid w:val="00720D57"/>
    <w:rsid w:val="007A0B17"/>
    <w:rsid w:val="007B7295"/>
    <w:rsid w:val="007E3DC1"/>
    <w:rsid w:val="007F0F05"/>
    <w:rsid w:val="00802A06"/>
    <w:rsid w:val="0081592C"/>
    <w:rsid w:val="008235F0"/>
    <w:rsid w:val="00902436"/>
    <w:rsid w:val="00915234"/>
    <w:rsid w:val="0092219B"/>
    <w:rsid w:val="00983A54"/>
    <w:rsid w:val="0099073D"/>
    <w:rsid w:val="009D0F55"/>
    <w:rsid w:val="009E098F"/>
    <w:rsid w:val="009F311E"/>
    <w:rsid w:val="00A01420"/>
    <w:rsid w:val="00A73B53"/>
    <w:rsid w:val="00A82AD8"/>
    <w:rsid w:val="00A8787D"/>
    <w:rsid w:val="00A87D34"/>
    <w:rsid w:val="00A97C42"/>
    <w:rsid w:val="00AA31B3"/>
    <w:rsid w:val="00AB2011"/>
    <w:rsid w:val="00B24A33"/>
    <w:rsid w:val="00B52E9D"/>
    <w:rsid w:val="00B57D96"/>
    <w:rsid w:val="00B77E49"/>
    <w:rsid w:val="00B85546"/>
    <w:rsid w:val="00B85981"/>
    <w:rsid w:val="00B968CC"/>
    <w:rsid w:val="00BA1F94"/>
    <w:rsid w:val="00BA5370"/>
    <w:rsid w:val="00BC6F5E"/>
    <w:rsid w:val="00BF64DD"/>
    <w:rsid w:val="00C56908"/>
    <w:rsid w:val="00C86BDE"/>
    <w:rsid w:val="00C925C7"/>
    <w:rsid w:val="00C9595C"/>
    <w:rsid w:val="00CA2809"/>
    <w:rsid w:val="00D14593"/>
    <w:rsid w:val="00D934F0"/>
    <w:rsid w:val="00DB7797"/>
    <w:rsid w:val="00DD1A71"/>
    <w:rsid w:val="00E260D2"/>
    <w:rsid w:val="00E61211"/>
    <w:rsid w:val="00ED0C3A"/>
    <w:rsid w:val="00EE0ABC"/>
    <w:rsid w:val="00F10092"/>
    <w:rsid w:val="00F37C97"/>
    <w:rsid w:val="00F53D0B"/>
    <w:rsid w:val="00F84566"/>
    <w:rsid w:val="00FC03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49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1451</Words>
  <Characters>8045</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6</cp:revision>
  <cp:lastPrinted>2025-10-14T13:26:00Z</cp:lastPrinted>
  <dcterms:created xsi:type="dcterms:W3CDTF">2025-11-17T14:51:00Z</dcterms:created>
  <dcterms:modified xsi:type="dcterms:W3CDTF">2025-11-19T21:21:00Z</dcterms:modified>
</cp:coreProperties>
</file>