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7D813964"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4B23AC">
        <w:rPr>
          <w:rFonts w:ascii="Source Serif Pro" w:hAnsi="Source Serif Pro"/>
          <w:b/>
          <w:bCs/>
          <w:sz w:val="26"/>
          <w:szCs w:val="28"/>
        </w:rPr>
        <w:t>Ex</w:t>
      </w:r>
      <w:r w:rsidR="00963BCB">
        <w:rPr>
          <w:rFonts w:ascii="Source Serif Pro" w:hAnsi="Source Serif Pro"/>
          <w:b/>
          <w:bCs/>
          <w:sz w:val="26"/>
          <w:szCs w:val="28"/>
        </w:rPr>
        <w:t>mo</w:t>
      </w:r>
      <w:r w:rsidR="004B23AC">
        <w:rPr>
          <w:rFonts w:ascii="Source Serif Pro" w:hAnsi="Source Serif Pro"/>
          <w:b/>
          <w:bCs/>
          <w:sz w:val="26"/>
          <w:szCs w:val="28"/>
        </w:rPr>
        <w:t>. Juiz de Direito</w:t>
      </w:r>
      <w:r w:rsidRPr="0015581C">
        <w:rPr>
          <w:rFonts w:ascii="Source Serif Pro" w:hAnsi="Source Serif Pro"/>
          <w:b/>
          <w:bCs/>
          <w:sz w:val="26"/>
          <w:szCs w:val="28"/>
        </w:rPr>
        <w:t xml:space="preserve"> </w:t>
      </w:r>
    </w:p>
    <w:p w14:paraId="0BE51421" w14:textId="0D59464B" w:rsidR="00B968CC" w:rsidRPr="00B24A33" w:rsidRDefault="004B23AC" w:rsidP="00AB2011">
      <w:pPr>
        <w:spacing w:after="0" w:line="240" w:lineRule="auto"/>
        <w:rPr>
          <w:rFonts w:ascii="Source Serif Pro" w:hAnsi="Source Serif Pro"/>
          <w:i/>
          <w:iCs/>
          <w:sz w:val="22"/>
          <w:szCs w:val="22"/>
        </w:rPr>
      </w:pPr>
      <w:r>
        <w:rPr>
          <w:rFonts w:ascii="Source Serif Pro" w:hAnsi="Source Serif Pro"/>
          <w:i/>
          <w:iCs/>
          <w:sz w:val="22"/>
          <w:szCs w:val="22"/>
        </w:rPr>
        <w:t>Audiência de custódia</w:t>
      </w:r>
    </w:p>
    <w:p w14:paraId="4834F39C" w14:textId="77777777" w:rsidR="006E26AE" w:rsidRPr="00B24A33" w:rsidRDefault="006E26AE" w:rsidP="00DB7797">
      <w:pPr>
        <w:spacing w:before="360" w:after="0"/>
        <w:rPr>
          <w:rFonts w:ascii="Source Serif Pro" w:hAnsi="Source Serif Pro" w:cs="Segoe UI Semibold"/>
          <w:spacing w:val="10"/>
          <w:sz w:val="21"/>
          <w:szCs w:val="21"/>
        </w:rPr>
      </w:pPr>
    </w:p>
    <w:p w14:paraId="71FEDA43" w14:textId="77777777" w:rsidR="00E71747" w:rsidRDefault="00DB7797" w:rsidP="00DB7797">
      <w:pPr>
        <w:spacing w:before="360" w:after="0"/>
        <w:rPr>
          <w:rFonts w:ascii="Source Serif Pro" w:hAnsi="Source Serif Pro" w:cs="Segoe UI Semibold"/>
          <w:noProof/>
          <w:spacing w:val="10"/>
          <w:sz w:val="21"/>
          <w:szCs w:val="21"/>
        </w:rPr>
      </w:pPr>
      <w:r w:rsidRPr="00B24A33">
        <w:rPr>
          <w:rFonts w:ascii="Source Serif Pro" w:hAnsi="Source Serif Pro" w:cs="Segoe UI Semibold"/>
          <w:noProof/>
          <w:spacing w:val="10"/>
          <w:sz w:val="21"/>
          <w:szCs w:val="21"/>
        </w:rPr>
        <mc:AlternateContent>
          <mc:Choice Requires="wps">
            <w:drawing>
              <wp:anchor distT="0" distB="0" distL="114300" distR="114300" simplePos="0" relativeHeight="251659264" behindDoc="0" locked="0" layoutInCell="1" allowOverlap="1" wp14:anchorId="7CCB3D19" wp14:editId="1BF3D7E1">
                <wp:simplePos x="0" y="0"/>
                <wp:positionH relativeFrom="column">
                  <wp:posOffset>-683260</wp:posOffset>
                </wp:positionH>
                <wp:positionV relativeFrom="paragraph">
                  <wp:posOffset>343535</wp:posOffset>
                </wp:positionV>
                <wp:extent cx="623570" cy="491490"/>
                <wp:effectExtent l="0" t="0" r="0" b="3810"/>
                <wp:wrapNone/>
                <wp:docPr id="4" name="Caixa de Texto 4"/>
                <wp:cNvGraphicFramePr/>
                <a:graphic xmlns:a="http://schemas.openxmlformats.org/drawingml/2006/main">
                  <a:graphicData uri="http://schemas.microsoft.com/office/word/2010/wordprocessingShape">
                    <wps:wsp>
                      <wps:cNvSpPr txBox="1"/>
                      <wps:spPr>
                        <a:xfrm>
                          <a:off x="0" y="0"/>
                          <a:ext cx="623570" cy="491490"/>
                        </a:xfrm>
                        <a:prstGeom prst="rect">
                          <a:avLst/>
                        </a:prstGeom>
                        <a:noFill/>
                        <a:ln w="6350">
                          <a:noFill/>
                        </a:ln>
                      </wps:spPr>
                      <wps:txb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CB3D19" id="_x0000_t202" coordsize="21600,21600" o:spt="202" path="m,l,21600r21600,l21600,xe">
                <v:stroke joinstyle="miter"/>
                <v:path gradientshapeok="t" o:connecttype="rect"/>
              </v:shapetype>
              <v:shape id="Caixa de Texto 4" o:spid="_x0000_s1026" type="#_x0000_t202" style="position:absolute;margin-left:-53.8pt;margin-top:27.05pt;width:49.1pt;height:3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" filled="f" stroked="f" strokeweight=".5pt">
                <v:textbo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v:textbox>
              </v:shape>
            </w:pict>
          </mc:Fallback>
        </mc:AlternateContent>
      </w:r>
      <w:r w:rsidR="004B23AC">
        <w:rPr>
          <w:rFonts w:ascii="Source Serif Pro" w:hAnsi="Source Serif Pro" w:cs="Segoe UI Semibold"/>
          <w:noProof/>
          <w:spacing w:val="10"/>
          <w:sz w:val="21"/>
          <w:szCs w:val="21"/>
        </w:rPr>
        <w:t xml:space="preserve">Autos n. </w:t>
      </w:r>
      <w:r w:rsidR="0015581C" w:rsidRPr="0015581C">
        <w:rPr>
          <w:rFonts w:ascii="Source Serif Pro" w:hAnsi="Source Serif Pro" w:cs="Segoe UI Semibold"/>
          <w:noProof/>
          <w:spacing w:val="10"/>
          <w:sz w:val="21"/>
          <w:szCs w:val="21"/>
        </w:rPr>
        <w:t>0001232-32.2013.403.6</w:t>
      </w:r>
    </w:p>
    <w:p w14:paraId="1D46FD50" w14:textId="77777777" w:rsidR="005C54F8" w:rsidRDefault="005C54F8" w:rsidP="00EE0ABC">
      <w:pPr>
        <w:ind w:firstLine="567"/>
        <w:rPr>
          <w:rFonts w:ascii="Source Serif Pro" w:hAnsi="Source Serif Pro"/>
        </w:rPr>
      </w:pPr>
    </w:p>
    <w:p w14:paraId="2902351C" w14:textId="77777777" w:rsidR="00E71747" w:rsidRPr="00B24A33" w:rsidRDefault="00E71747" w:rsidP="00EE0ABC">
      <w:pPr>
        <w:ind w:firstLine="567"/>
        <w:rPr>
          <w:rFonts w:ascii="Source Serif Pro" w:hAnsi="Source Serif Pro"/>
        </w:rPr>
      </w:pPr>
    </w:p>
    <w:p w14:paraId="1DE5A89B" w14:textId="1D42EC6E" w:rsidR="00B57D96" w:rsidRPr="00B24A33" w:rsidRDefault="001C6CE0" w:rsidP="00163268">
      <w:pPr>
        <w:spacing w:before="120" w:after="120" w:line="312" w:lineRule="auto"/>
        <w:ind w:firstLine="567"/>
        <w:jc w:val="both"/>
        <w:rPr>
          <w:rFonts w:ascii="Source Serif Pro" w:hAnsi="Source Serif Pro"/>
        </w:rPr>
      </w:pPr>
      <w:r>
        <w:rPr>
          <w:rFonts w:ascii="Source Serif Pro" w:hAnsi="Source Serif Pro"/>
          <w:smallCaps/>
        </w:rPr>
        <w:t>NOME DO CLIENTE</w:t>
      </w:r>
      <w:r w:rsidR="00EE0ABC" w:rsidRPr="00B24A33">
        <w:rPr>
          <w:rFonts w:ascii="Source Serif Pro" w:hAnsi="Source Serif Pro"/>
          <w:smallCaps/>
        </w:rPr>
        <w:t xml:space="preserve">, </w:t>
      </w:r>
      <w:r w:rsidR="008B03CF">
        <w:rPr>
          <w:rFonts w:ascii="Source Serif Pro" w:hAnsi="Source Serif Pro"/>
        </w:rPr>
        <w:t>[qualificação completa]</w:t>
      </w:r>
      <w:r w:rsidR="0015581C" w:rsidRPr="0015581C">
        <w:rPr>
          <w:rFonts w:ascii="Source Serif Pro" w:hAnsi="Source Serif Pro"/>
        </w:rPr>
        <w:t xml:space="preserve">, por meio de seu advogado que esta subscreve, </w:t>
      </w:r>
      <w:r>
        <w:rPr>
          <w:rFonts w:ascii="Source Serif Pro" w:hAnsi="Source Serif Pro"/>
        </w:rPr>
        <w:t xml:space="preserve">vem a presença </w:t>
      </w:r>
      <w:r w:rsidR="00E71747">
        <w:rPr>
          <w:rFonts w:ascii="Source Serif Pro" w:hAnsi="Source Serif Pro"/>
        </w:rPr>
        <w:t>de Vossa Excelência</w:t>
      </w:r>
      <w:r>
        <w:rPr>
          <w:rFonts w:ascii="Source Serif Pro" w:hAnsi="Source Serif Pro"/>
        </w:rPr>
        <w:t xml:space="preserve"> requerer a</w:t>
      </w:r>
    </w:p>
    <w:p w14:paraId="2CD2B9C5" w14:textId="5F8266FC" w:rsidR="00B57D96" w:rsidRPr="007A0B17" w:rsidRDefault="00045565" w:rsidP="00B57D96">
      <w:pPr>
        <w:shd w:val="clear" w:color="auto" w:fill="F2F2F2" w:themeFill="background1" w:themeFillShade="F2"/>
        <w:spacing w:before="120" w:after="120" w:line="240" w:lineRule="auto"/>
        <w:jc w:val="center"/>
        <w:rPr>
          <w:rFonts w:ascii="Georgia" w:hAnsi="Georgia"/>
          <w:b/>
          <w:bCs/>
          <w:sz w:val="32"/>
          <w:szCs w:val="32"/>
        </w:rPr>
      </w:pPr>
      <w:r>
        <w:rPr>
          <w:rFonts w:ascii="Georgia" w:hAnsi="Georgia"/>
          <w:b/>
          <w:bCs/>
          <w:sz w:val="32"/>
          <w:szCs w:val="32"/>
        </w:rPr>
        <w:t>LIBERDADE PROVISÓRIA</w:t>
      </w:r>
      <w:r w:rsidR="00E71747">
        <w:rPr>
          <w:rFonts w:ascii="Georgia" w:hAnsi="Georgia"/>
          <w:b/>
          <w:bCs/>
          <w:sz w:val="32"/>
          <w:szCs w:val="32"/>
        </w:rPr>
        <w:t xml:space="preserve"> SEM FIANÇA</w:t>
      </w:r>
    </w:p>
    <w:p w14:paraId="46AE4AF2" w14:textId="22CD3315" w:rsidR="00EE0ABC" w:rsidRDefault="00045565" w:rsidP="00163268">
      <w:pPr>
        <w:spacing w:before="120" w:after="120" w:line="312" w:lineRule="auto"/>
        <w:ind w:firstLine="567"/>
        <w:jc w:val="both"/>
        <w:rPr>
          <w:rFonts w:ascii="Source Serif Pro" w:hAnsi="Source Serif Pro"/>
        </w:rPr>
      </w:pPr>
      <w:r w:rsidRPr="00045565">
        <w:rPr>
          <w:rFonts w:ascii="Source Serif Pro" w:hAnsi="Source Serif Pro"/>
        </w:rPr>
        <w:t>com fulcro no art. 310, III, do Código de Processo Penal e art. 5ª, LXVI, da Constituição Federal, pelas razões de fato e de direito a seguir expostas</w:t>
      </w:r>
      <w:r w:rsidR="002D3115">
        <w:rPr>
          <w:rFonts w:ascii="Source Serif Pro" w:hAnsi="Source Serif Pro"/>
        </w:rPr>
        <w:t>:</w:t>
      </w:r>
    </w:p>
    <w:p w14:paraId="1E74CFFF" w14:textId="77777777" w:rsidR="002D3115" w:rsidRPr="007A0B17" w:rsidRDefault="002D3115" w:rsidP="002D3115">
      <w:pPr>
        <w:pStyle w:val="Ttulo1"/>
      </w:pPr>
      <w:r>
        <w:t>DOS FATOS</w:t>
      </w:r>
    </w:p>
    <w:p w14:paraId="44E0EC31" w14:textId="31560C6F" w:rsidR="00E71747" w:rsidRDefault="00E71747" w:rsidP="00E71747">
      <w:pPr>
        <w:pStyle w:val="SemEspaamento"/>
      </w:pPr>
      <w:r>
        <w:t>Segundo consta no auto de prisão em flagrante o custodiado foi surpreendido pela força policial na Av. …</w:t>
      </w:r>
      <w:proofErr w:type="gramStart"/>
      <w:r>
        <w:t>…..</w:t>
      </w:r>
      <w:proofErr w:type="gramEnd"/>
      <w:r>
        <w:t>, no dia ……</w:t>
      </w:r>
      <w:proofErr w:type="gramStart"/>
      <w:r>
        <w:t>…..</w:t>
      </w:r>
      <w:proofErr w:type="gramEnd"/>
      <w:r>
        <w:t xml:space="preserve">, por volta das 9 horas portando substância entorpecente análoga a maconha, razão pela qual foi preso em flagrante. </w:t>
      </w:r>
    </w:p>
    <w:p w14:paraId="03D1E819" w14:textId="4D27CE7F" w:rsidR="00E71747" w:rsidRDefault="00E71747" w:rsidP="00E71747">
      <w:pPr>
        <w:pStyle w:val="SemEspaamento"/>
      </w:pPr>
      <w:r>
        <w:t xml:space="preserve">Depois de receber voz de prisão, foi encaminhado a unidade policial para formalização do flagrante, com a consequente outiva dos condutores e interrogatório do acautelado. </w:t>
      </w:r>
    </w:p>
    <w:p w14:paraId="025C3398" w14:textId="0B29C59E" w:rsidR="002D3115" w:rsidRDefault="00E71747" w:rsidP="00E71747">
      <w:pPr>
        <w:pStyle w:val="SemEspaamento"/>
      </w:pPr>
      <w:r>
        <w:t>A autoridade policial ratificou a prisão e encaminhou o requerente para realização de audiência de custódia.</w:t>
      </w:r>
    </w:p>
    <w:p w14:paraId="50F4A9D8" w14:textId="77777777" w:rsidR="002D3115" w:rsidRDefault="002D3115" w:rsidP="002D3115">
      <w:pPr>
        <w:pStyle w:val="SemEspaamento"/>
      </w:pPr>
    </w:p>
    <w:p w14:paraId="5087947A" w14:textId="2A728C16" w:rsidR="002D3115" w:rsidRDefault="00045565" w:rsidP="002D3115">
      <w:pPr>
        <w:pStyle w:val="Ttulo1"/>
        <w:spacing w:before="0" w:after="0" w:line="240" w:lineRule="auto"/>
      </w:pPr>
      <w:r>
        <w:t xml:space="preserve">AUSÊNCIA DOS REQUISITOS AUTORIZADORES </w:t>
      </w:r>
    </w:p>
    <w:p w14:paraId="7C57FDD5" w14:textId="30488B10" w:rsidR="002D3115" w:rsidRPr="00547988" w:rsidRDefault="006232A3" w:rsidP="002D3115">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Ato infracional </w:t>
      </w:r>
      <w:proofErr w:type="gramStart"/>
      <w:r>
        <w:rPr>
          <w:rFonts w:ascii="Source Sans Pro" w:hAnsi="Source Sans Pro"/>
          <w:i/>
          <w:iCs/>
          <w:shd w:val="clear" w:color="auto" w:fill="FFFFFF" w:themeFill="background1"/>
        </w:rPr>
        <w:t xml:space="preserve">que </w:t>
      </w:r>
      <w:r w:rsidR="00045565">
        <w:rPr>
          <w:rFonts w:ascii="Source Sans Pro" w:hAnsi="Source Sans Pro"/>
          <w:i/>
          <w:iCs/>
          <w:shd w:val="clear" w:color="auto" w:fill="FFFFFF" w:themeFill="background1"/>
        </w:rPr>
        <w:t xml:space="preserve"> </w:t>
      </w:r>
      <w:r>
        <w:rPr>
          <w:rFonts w:ascii="Source Sans Pro" w:hAnsi="Source Sans Pro"/>
          <w:i/>
          <w:iCs/>
          <w:shd w:val="clear" w:color="auto" w:fill="FFFFFF" w:themeFill="background1"/>
        </w:rPr>
        <w:t>ocorreu</w:t>
      </w:r>
      <w:proofErr w:type="gramEnd"/>
      <w:r>
        <w:rPr>
          <w:rFonts w:ascii="Source Sans Pro" w:hAnsi="Source Sans Pro"/>
          <w:i/>
          <w:iCs/>
          <w:shd w:val="clear" w:color="auto" w:fill="FFFFFF" w:themeFill="background1"/>
        </w:rPr>
        <w:t xml:space="preserve"> há muito tempo </w:t>
      </w:r>
      <w:r w:rsidR="00045565">
        <w:rPr>
          <w:rFonts w:ascii="Source Sans Pro" w:hAnsi="Source Sans Pro"/>
          <w:i/>
          <w:iCs/>
          <w:shd w:val="clear" w:color="auto" w:fill="FFFFFF" w:themeFill="background1"/>
        </w:rPr>
        <w:t xml:space="preserve">– </w:t>
      </w:r>
      <w:r>
        <w:rPr>
          <w:rFonts w:ascii="Source Sans Pro" w:hAnsi="Source Sans Pro"/>
          <w:i/>
          <w:iCs/>
          <w:shd w:val="clear" w:color="auto" w:fill="FFFFFF" w:themeFill="background1"/>
        </w:rPr>
        <w:t>pouca quantidade de droga</w:t>
      </w:r>
    </w:p>
    <w:p w14:paraId="3BB31489" w14:textId="77777777" w:rsidR="006232A3" w:rsidRDefault="006232A3" w:rsidP="006232A3">
      <w:pPr>
        <w:pStyle w:val="SemEspaamento"/>
      </w:pPr>
      <w:r>
        <w:t xml:space="preserve">A conversão da prisão em flagrante em prisão preventiva constitui providência absolutamente excepcional e somente pode ocorrer quando, além da regularidade formal do flagrante, estiverem presentes os requisitos do art. 312 do CPP e, ainda, </w:t>
      </w:r>
      <w:r>
        <w:lastRenderedPageBreak/>
        <w:t>quando se demonstrarem inadequadas ou insuficientes as medidas cautelares diversas da prisão, nos termos do art. 310, II, do CPP.</w:t>
      </w:r>
    </w:p>
    <w:p w14:paraId="6265BE7C" w14:textId="77777777" w:rsidR="006232A3" w:rsidRDefault="006232A3" w:rsidP="006232A3">
      <w:pPr>
        <w:pStyle w:val="SemEspaamento"/>
      </w:pPr>
      <w:r>
        <w:t>O art. 312 do CPP exige prova da existência do crime, indícios suficientes de autoria e, sobretudo, a demonstração do perigo gerado pelo estado de liberdade do imputado, apto a justificar a custódia como garantia da ordem pública (ou econômica), conveniência da instrução criminal ou para assegurar a aplicação da lei penal. Trata-se, portanto, de juízo concreto sobre risco atual, e não de presunção fundada em elementos genéricos.</w:t>
      </w:r>
    </w:p>
    <w:p w14:paraId="69114D26" w14:textId="43C7C88E" w:rsidR="006232A3" w:rsidRDefault="006232A3" w:rsidP="006232A3">
      <w:pPr>
        <w:pStyle w:val="SemEspaamento"/>
      </w:pPr>
      <w:r>
        <w:t>Em reforço, o art. 315 do CPP determina que toda decisão que decrete, substitua ou denegue a preventiva seja motivada e fundamentada, devendo o magistrado indicar concretamente fatos novos ou contemporâneos que justifiquem a medida, afastando fundamentações abstratas e automáticas.</w:t>
      </w:r>
    </w:p>
    <w:p w14:paraId="10FD86FA" w14:textId="76A09BCB" w:rsidR="00E71747" w:rsidRDefault="006232A3" w:rsidP="006232A3">
      <w:pPr>
        <w:pStyle w:val="SemEspaamento"/>
      </w:pPr>
      <w:r>
        <w:t>Nesse contexto, a existência de passagem por ato infracional antigo não pode, por si só, ser convertida em “prova” de periculosidade atual ou risco concreto de reiteração delitiva, especialmente quando não há demonstração de contemporaneidade, de reiteração recente, nem de circunstâncias do caso que revelem maior gravidade real, sob pena de transformar o passado (e, muitas vezes, remoto) em justificativa permanente de encarceramento cautelar.</w:t>
      </w:r>
      <w:r w:rsidR="00E71747" w:rsidRPr="00150C5B">
        <w:t xml:space="preserve"> </w:t>
      </w:r>
    </w:p>
    <w:p w14:paraId="692FE149" w14:textId="4DDA23D1" w:rsidR="00E71747" w:rsidRDefault="006232A3" w:rsidP="00E71747">
      <w:pPr>
        <w:pStyle w:val="SemEspaamento"/>
      </w:pPr>
      <w:r>
        <w:t>Nesse mesmo sentido é a posição do Superior Tribunal de Justiça</w:t>
      </w:r>
      <w:r w:rsidR="00E71747">
        <w:t>:</w:t>
      </w:r>
    </w:p>
    <w:p w14:paraId="7DE26DB3" w14:textId="62B29FFC" w:rsidR="00E71747" w:rsidRDefault="00E71747" w:rsidP="00E71747">
      <w:pPr>
        <w:pStyle w:val="SemEspaamento"/>
        <w:pBdr>
          <w:bottom w:val="single" w:sz="4" w:space="1" w:color="auto"/>
        </w:pBdr>
        <w:spacing w:before="60" w:after="60" w:line="240" w:lineRule="auto"/>
        <w:ind w:left="2268" w:firstLine="0"/>
      </w:pPr>
      <w:r w:rsidRPr="00ED0C3A">
        <w:rPr>
          <w:b/>
          <w:bCs/>
          <w:sz w:val="36"/>
          <w:szCs w:val="36"/>
        </w:rPr>
        <w:t>STJ</w:t>
      </w:r>
      <w:r>
        <w:t xml:space="preserve"> </w:t>
      </w:r>
      <w:r w:rsidRPr="00ED0C3A">
        <w:rPr>
          <w:color w:val="808080" w:themeColor="background1" w:themeShade="80"/>
        </w:rPr>
        <w:t xml:space="preserve">– </w:t>
      </w:r>
      <w:r w:rsidR="006232A3" w:rsidRPr="006232A3">
        <w:rPr>
          <w:color w:val="808080" w:themeColor="background1" w:themeShade="80"/>
        </w:rPr>
        <w:t>HC n. 515.384/SP, relatora Ministra Laurita Vaz, Sexta Turma, julgado em 6/8/2019</w:t>
      </w:r>
      <w:r w:rsidRPr="00580B73">
        <w:rPr>
          <w:color w:val="808080" w:themeColor="background1" w:themeShade="80"/>
        </w:rPr>
        <w:t>.</w:t>
      </w:r>
    </w:p>
    <w:p w14:paraId="72976C3A" w14:textId="22AB5501" w:rsidR="00E71747" w:rsidRDefault="006232A3" w:rsidP="00E71747">
      <w:pPr>
        <w:pStyle w:val="SemEspaamento"/>
        <w:spacing w:before="60" w:after="60" w:line="276" w:lineRule="auto"/>
        <w:ind w:left="2268" w:firstLine="0"/>
        <w:rPr>
          <w:i/>
          <w:iCs/>
        </w:rPr>
      </w:pPr>
      <w:r w:rsidRPr="006232A3">
        <w:rPr>
          <w:i/>
          <w:iCs/>
        </w:rPr>
        <w:t xml:space="preserve">Embora a imposição da segregação cautelar esteja devidamente fundamentada na garantia da ordem pública, ante o risco concreto de reiteração delitiva, observo que, no caso, em razão da idade do Paciente (nascido em 17/09/1996), constata-se que a passagem por ato infracional, que foi citada pelas instâncias ordinárias para fundamentar a segregação cautelar, refere-se à conduta praticada há considerável interregno - ao menos 4 (quatro) anos. 2. Constatada, ainda, a apreensão de quantidade de drogas que não </w:t>
      </w:r>
      <w:proofErr w:type="gramStart"/>
      <w:r w:rsidRPr="006232A3">
        <w:rPr>
          <w:i/>
          <w:iCs/>
        </w:rPr>
        <w:t>evidencia</w:t>
      </w:r>
      <w:proofErr w:type="gramEnd"/>
      <w:r w:rsidRPr="006232A3">
        <w:rPr>
          <w:i/>
          <w:iCs/>
        </w:rPr>
        <w:t>, por si só, a especial gravidade dos fatos - "22 porções de maconha (28,5g) e 03 porções de cocaína (9,23g)" (fl. 150) -, a prisão preventiva mostra-se desproporcional na hipótese em apreço</w:t>
      </w:r>
      <w:r w:rsidR="00E71747">
        <w:rPr>
          <w:i/>
          <w:iCs/>
        </w:rPr>
        <w:t>.</w:t>
      </w:r>
    </w:p>
    <w:p w14:paraId="6EB5D755" w14:textId="77777777" w:rsidR="006232A3" w:rsidRDefault="006232A3" w:rsidP="006232A3">
      <w:pPr>
        <w:pStyle w:val="SemEspaamento"/>
      </w:pPr>
      <w:r>
        <w:lastRenderedPageBreak/>
        <w:t xml:space="preserve">Ainda no mesmo julgado, o STJ ponderou que a apreensão de quantidade de drogas que não </w:t>
      </w:r>
      <w:proofErr w:type="gramStart"/>
      <w:r>
        <w:t>evidencia</w:t>
      </w:r>
      <w:proofErr w:type="gramEnd"/>
      <w:r>
        <w:t>, por si só, especial gravidade (“22 porções de maconha — 28,5g — e 3 porções de cocaína — 9,23g”) torna a prisão preventiva desproporcional na hipótese, sinalizando que não basta invocar “ordem pública” em termos genéricos quando a materialidade apreendida é reduzida e não há elementos adicionais de periculosidade concreta.</w:t>
      </w:r>
    </w:p>
    <w:p w14:paraId="59B0BE1E" w14:textId="77777777" w:rsidR="006232A3" w:rsidRDefault="006232A3" w:rsidP="006232A3">
      <w:pPr>
        <w:pStyle w:val="SemEspaamento"/>
      </w:pPr>
      <w:r>
        <w:t xml:space="preserve">Transportando essa </w:t>
      </w:r>
      <w:proofErr w:type="spellStart"/>
      <w:r w:rsidRPr="006232A3">
        <w:rPr>
          <w:i/>
          <w:iCs/>
        </w:rPr>
        <w:t>ratio</w:t>
      </w:r>
      <w:proofErr w:type="spellEnd"/>
      <w:r>
        <w:t xml:space="preserve"> ao caso presente, se a conversão do flagrante em preventiva se apoiar, essencialmente, em ato infracional antigo e em pequena quantidade de droga, sem outros dados contemporâneos que demonstrem risco real, a fundamentação incorre no mesmo vício: substitui a análise do perigo atual por um atalho argumentativo baseado em histórico remoto, o que contraria a exigência legal de contemporaneidade e concretude.</w:t>
      </w:r>
    </w:p>
    <w:p w14:paraId="2FF58EC9" w14:textId="77777777" w:rsidR="006232A3" w:rsidRDefault="006232A3" w:rsidP="006232A3">
      <w:pPr>
        <w:pStyle w:val="SemEspaamento"/>
      </w:pPr>
      <w:r>
        <w:t>Além disso, o próprio desenho do art. 310, II, do CPP reforça a lógica da proporcionalidade e necessidade, pois condiciona a conversão não apenas aos requisitos do art. 312, mas também à demonstração de que medidas alternativas seriam inadequadas ou insuficientes; quando os elementos do caso apontam baixa gravidade concreta, a preventiva perde sentido como “primeira resposta” e revela-se excesso.</w:t>
      </w:r>
    </w:p>
    <w:p w14:paraId="37F212A0" w14:textId="4A1630FE" w:rsidR="00E71747" w:rsidRDefault="006232A3" w:rsidP="006232A3">
      <w:pPr>
        <w:pStyle w:val="SemEspaamento"/>
      </w:pPr>
      <w:r>
        <w:t>Assim, ausente base concreta contemporânea para sustentar risco de reiteração (porque o ato infracional é remoto) e inexistente gravidade real demonstrada pela quantidade apreendida, a conversão do flagrante em preventiva mostra-se indevida, devendo o Juízo optar pela solução legalmente adequada, seja relaxando eventual ilegalidade, seja concedendo liberdade provisória, conforme a moldura do art. 310 do CPP, sem prejuízo de cautelares menos gravosas se, excepcionalmente, forem justificadas por dados concretos do caso.</w:t>
      </w:r>
    </w:p>
    <w:p w14:paraId="69C009D7" w14:textId="77777777" w:rsidR="006232A3" w:rsidRDefault="006232A3" w:rsidP="006232A3">
      <w:pPr>
        <w:pStyle w:val="SemEspaamento"/>
      </w:pPr>
    </w:p>
    <w:p w14:paraId="34BB22F6" w14:textId="77777777" w:rsidR="006232A3" w:rsidRDefault="006232A3" w:rsidP="006232A3">
      <w:pPr>
        <w:pStyle w:val="SemEspaamento"/>
      </w:pPr>
    </w:p>
    <w:p w14:paraId="4805CA91" w14:textId="77777777" w:rsidR="006232A3" w:rsidRDefault="006232A3" w:rsidP="006232A3">
      <w:pPr>
        <w:pStyle w:val="SemEspaamento"/>
      </w:pPr>
    </w:p>
    <w:p w14:paraId="19F43595" w14:textId="77777777" w:rsidR="008235F0" w:rsidRDefault="008235F0" w:rsidP="002D3115">
      <w:pPr>
        <w:pStyle w:val="SemEspaamento"/>
      </w:pPr>
    </w:p>
    <w:p w14:paraId="66F4E6C3" w14:textId="51641848" w:rsidR="00E71747" w:rsidRDefault="00E71747" w:rsidP="00E71747">
      <w:pPr>
        <w:pStyle w:val="Ttulo1"/>
        <w:spacing w:before="0" w:after="0" w:line="240" w:lineRule="auto"/>
      </w:pPr>
      <w:r>
        <w:lastRenderedPageBreak/>
        <w:t xml:space="preserve">SUFICIÊNCIA DE MEDIDAS CAUTELARES DIVERSAS </w:t>
      </w:r>
    </w:p>
    <w:p w14:paraId="5C45A745" w14:textId="48A30E59" w:rsidR="00E71747" w:rsidRPr="00547988" w:rsidRDefault="00E71747" w:rsidP="00E71747">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Possibilidade - </w:t>
      </w:r>
      <w:r w:rsidRPr="00E71747">
        <w:rPr>
          <w:rFonts w:ascii="Source Sans Pro" w:hAnsi="Source Sans Pro"/>
          <w:i/>
          <w:iCs/>
          <w:shd w:val="clear" w:color="auto" w:fill="FFFFFF" w:themeFill="background1"/>
        </w:rPr>
        <w:t>STJ AGRG NO HC N. 792.114/SP</w:t>
      </w:r>
    </w:p>
    <w:p w14:paraId="79CC55D7" w14:textId="77777777" w:rsidR="00E71747" w:rsidRPr="00150C5B" w:rsidRDefault="00E71747" w:rsidP="00E71747">
      <w:pPr>
        <w:pStyle w:val="SemEspaamento"/>
      </w:pPr>
      <w:r w:rsidRPr="00150C5B">
        <w:t xml:space="preserve">Na nova ótica do direito processual penal, a prisão cautelar deve ser utilizada como último </w:t>
      </w:r>
      <w:proofErr w:type="spellStart"/>
      <w:r w:rsidRPr="00E71747">
        <w:t>ratio</w:t>
      </w:r>
      <w:proofErr w:type="spellEnd"/>
      <w:r w:rsidRPr="00150C5B">
        <w:t>, caso a aplicação de medidas cautelares seja insuficiente.</w:t>
      </w:r>
    </w:p>
    <w:p w14:paraId="2F06145D" w14:textId="77777777" w:rsidR="00E71747" w:rsidRPr="00150C5B" w:rsidRDefault="00E71747" w:rsidP="00E71747">
      <w:pPr>
        <w:pStyle w:val="SemEspaamento"/>
      </w:pPr>
      <w:r w:rsidRPr="00150C5B">
        <w:t>No caso em apreço, a aplicaç</w:t>
      </w:r>
      <w:r>
        <w:t>ão</w:t>
      </w:r>
      <w:r w:rsidRPr="00150C5B">
        <w:t xml:space="preserve"> de medidas cautelares seria suficiente ao caso que não denota periculosidade acentuada do requerente</w:t>
      </w:r>
      <w:r>
        <w:t>, tendo em vista a pouca quantidade de droga apreendia e o fato de ser o acautelado primário e de bons antecedentes</w:t>
      </w:r>
      <w:r w:rsidRPr="00150C5B">
        <w:t xml:space="preserve">. </w:t>
      </w:r>
    </w:p>
    <w:p w14:paraId="174805FC" w14:textId="77777777" w:rsidR="00E71747" w:rsidRPr="00150C5B" w:rsidRDefault="00E71747" w:rsidP="00E71747">
      <w:pPr>
        <w:pStyle w:val="SemEspaamento"/>
      </w:pPr>
      <w:r>
        <w:t>Em casos análogos ao presente, e até mesmo em casos que há prova da contumácia no crime de tráfico de drogas, o Superior Tribunal de Justiça tem entendido ser suficiente a aplicação de medidas cautelares diversas da prisão, vejamos</w:t>
      </w:r>
      <w:r w:rsidRPr="00150C5B">
        <w:t>:</w:t>
      </w:r>
    </w:p>
    <w:p w14:paraId="309D411B" w14:textId="7BF6672D" w:rsidR="00E71747" w:rsidRDefault="00E71747" w:rsidP="00E71747">
      <w:pPr>
        <w:pStyle w:val="SemEspaamento"/>
        <w:pBdr>
          <w:bottom w:val="single" w:sz="4" w:space="1" w:color="auto"/>
        </w:pBdr>
        <w:spacing w:before="60" w:after="60" w:line="240" w:lineRule="auto"/>
        <w:ind w:left="2268" w:firstLine="0"/>
      </w:pPr>
      <w:r w:rsidRPr="00ED0C3A">
        <w:rPr>
          <w:b/>
          <w:bCs/>
          <w:sz w:val="36"/>
          <w:szCs w:val="36"/>
        </w:rPr>
        <w:t>STJ</w:t>
      </w:r>
      <w:r>
        <w:t xml:space="preserve"> </w:t>
      </w:r>
      <w:r w:rsidRPr="00ED0C3A">
        <w:rPr>
          <w:color w:val="808080" w:themeColor="background1" w:themeShade="80"/>
        </w:rPr>
        <w:t xml:space="preserve">– </w:t>
      </w:r>
      <w:proofErr w:type="spellStart"/>
      <w:r w:rsidRPr="00E71747">
        <w:rPr>
          <w:color w:val="808080" w:themeColor="background1" w:themeShade="80"/>
        </w:rPr>
        <w:t>AgRg</w:t>
      </w:r>
      <w:proofErr w:type="spellEnd"/>
      <w:r w:rsidRPr="00E71747">
        <w:rPr>
          <w:color w:val="808080" w:themeColor="background1" w:themeShade="80"/>
        </w:rPr>
        <w:t xml:space="preserve"> no HC n. 792.114/SP, relator Ministro Ribeiro Dantas, Quinta Turma, julgado em 20/3/2023, </w:t>
      </w:r>
      <w:proofErr w:type="spellStart"/>
      <w:r w:rsidRPr="00E71747">
        <w:rPr>
          <w:color w:val="808080" w:themeColor="background1" w:themeShade="80"/>
        </w:rPr>
        <w:t>DJe</w:t>
      </w:r>
      <w:proofErr w:type="spellEnd"/>
      <w:r w:rsidRPr="00E71747">
        <w:rPr>
          <w:color w:val="808080" w:themeColor="background1" w:themeShade="80"/>
        </w:rPr>
        <w:t xml:space="preserve"> de 24/3/2023</w:t>
      </w:r>
      <w:r w:rsidRPr="00580B73">
        <w:rPr>
          <w:color w:val="808080" w:themeColor="background1" w:themeShade="80"/>
        </w:rPr>
        <w:t>.</w:t>
      </w:r>
    </w:p>
    <w:p w14:paraId="1BD77204" w14:textId="528A5FF4" w:rsidR="00E71747" w:rsidRDefault="00E71747" w:rsidP="00E71747">
      <w:pPr>
        <w:pStyle w:val="SemEspaamento"/>
        <w:spacing w:before="60" w:after="60" w:line="276" w:lineRule="auto"/>
        <w:ind w:left="2268" w:firstLine="0"/>
        <w:rPr>
          <w:i/>
          <w:iCs/>
        </w:rPr>
      </w:pPr>
      <w:r w:rsidRPr="00E71747">
        <w:rPr>
          <w:i/>
          <w:iCs/>
        </w:rPr>
        <w:t xml:space="preserve">O decreto cautelar fundou-se no risco concreto de reiteração delitiva, uma vez que o paciente responde a outro processo também pelo delito de tráfico de drogas. Todavia, embora tal circunstância seja elemento válido para se inferir a habitualidade delitiva do agente e, sendo assim, justificar a prisão cautelar com o fim de resguardar a ordem pública, observa-se, in </w:t>
      </w:r>
      <w:proofErr w:type="spellStart"/>
      <w:r w:rsidRPr="00E71747">
        <w:rPr>
          <w:i/>
          <w:iCs/>
        </w:rPr>
        <w:t>casu</w:t>
      </w:r>
      <w:proofErr w:type="spellEnd"/>
      <w:r w:rsidRPr="00E71747">
        <w:rPr>
          <w:i/>
          <w:iCs/>
        </w:rPr>
        <w:t xml:space="preserve">, que a conduta a ele atribuída não se revela de maior periculosidade social - apreensão de 163,1g de maconha e R$57,00. 3. Nesse contexto, tem-se como suficiente ao acautelamento do meio social, a substituição da prisão preventiva por </w:t>
      </w:r>
      <w:r w:rsidR="006232A3" w:rsidRPr="00E71747">
        <w:rPr>
          <w:i/>
          <w:iCs/>
        </w:rPr>
        <w:t>outras medidas cautelares</w:t>
      </w:r>
      <w:r w:rsidRPr="00E71747">
        <w:rPr>
          <w:i/>
          <w:iCs/>
        </w:rPr>
        <w:t xml:space="preserve"> do art. 319 do CPP, sobretudo quando certificada a primariedade do acusado e a pequena quantidade de entorpecente não variado de menor potencial ofensivo, devendo responder </w:t>
      </w:r>
      <w:proofErr w:type="spellStart"/>
      <w:r w:rsidRPr="00E71747">
        <w:rPr>
          <w:i/>
          <w:iCs/>
        </w:rPr>
        <w:t>o</w:t>
      </w:r>
      <w:proofErr w:type="spellEnd"/>
      <w:r w:rsidRPr="00E71747">
        <w:rPr>
          <w:i/>
          <w:iCs/>
        </w:rPr>
        <w:t xml:space="preserve"> processo em liberdade</w:t>
      </w:r>
      <w:r>
        <w:rPr>
          <w:i/>
          <w:iCs/>
        </w:rPr>
        <w:t>.</w:t>
      </w:r>
    </w:p>
    <w:p w14:paraId="24391B00" w14:textId="77777777" w:rsidR="00E71747" w:rsidRDefault="00E71747" w:rsidP="00E71747">
      <w:pPr>
        <w:pStyle w:val="SemEspaamento"/>
      </w:pPr>
      <w:r>
        <w:t>Por ser o acautelado primário e de bons antecedentes, com amparo no precedente acima citado, o requerente pleiteia que, caso necessário, a preventiva seja substituição por medidas cautelares diversas da prisão</w:t>
      </w:r>
      <w:r w:rsidRPr="00150C5B">
        <w:t>.</w:t>
      </w:r>
    </w:p>
    <w:p w14:paraId="2ACC8288" w14:textId="77777777" w:rsidR="00E71747" w:rsidRDefault="00E71747" w:rsidP="00E71747">
      <w:pPr>
        <w:pStyle w:val="SemEspaamento"/>
      </w:pPr>
    </w:p>
    <w:p w14:paraId="2B37269B" w14:textId="77777777" w:rsidR="006232A3" w:rsidRDefault="006232A3" w:rsidP="00E71747">
      <w:pPr>
        <w:pStyle w:val="SemEspaamento"/>
      </w:pPr>
    </w:p>
    <w:p w14:paraId="01F40859" w14:textId="433C0932" w:rsidR="00E71747" w:rsidRDefault="00E71747" w:rsidP="00E71747">
      <w:pPr>
        <w:pStyle w:val="Ttulo1"/>
        <w:spacing w:before="0" w:after="0" w:line="240" w:lineRule="auto"/>
      </w:pPr>
      <w:r w:rsidRPr="00E71747">
        <w:lastRenderedPageBreak/>
        <w:t>NECESSIDADE DE DISTINGUISHING</w:t>
      </w:r>
    </w:p>
    <w:p w14:paraId="09F0FE06" w14:textId="15E392FA" w:rsidR="00E71747" w:rsidRPr="00547988" w:rsidRDefault="00E71747" w:rsidP="00E71747">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Teses apresentadas que se adequam ao entendimento do STJ</w:t>
      </w:r>
    </w:p>
    <w:p w14:paraId="2E495968" w14:textId="16678F92" w:rsidR="00E71747" w:rsidRPr="00150C5B" w:rsidRDefault="00E71747" w:rsidP="00E71747">
      <w:pPr>
        <w:pStyle w:val="SemEspaamento"/>
      </w:pPr>
      <w:r w:rsidRPr="00150C5B">
        <w:t>O patrono do requerente apresent</w:t>
      </w:r>
      <w:r>
        <w:t>ou</w:t>
      </w:r>
      <w:r w:rsidRPr="00150C5B">
        <w:t xml:space="preserve"> julgados e decisões dos tribunais superiores para corroborar as teses defensivas lançadas na presente peça.</w:t>
      </w:r>
    </w:p>
    <w:p w14:paraId="4EF7A992" w14:textId="77777777" w:rsidR="00E71747" w:rsidRPr="00150C5B" w:rsidRDefault="00E71747" w:rsidP="00E71747">
      <w:pPr>
        <w:pStyle w:val="SemEspaamento"/>
      </w:pPr>
      <w:r w:rsidRPr="00150C5B">
        <w:t xml:space="preserve">Em todas há similitude fática e jurídica com o caso em apreço. Contudo, caso o juízo entenda de maneira diversa, </w:t>
      </w:r>
      <w:r>
        <w:t>requer que elucide na decisão a ser proferida</w:t>
      </w:r>
      <w:r w:rsidRPr="00150C5B">
        <w:t xml:space="preserve"> a diferença entre o presente caso e o</w:t>
      </w:r>
      <w:r>
        <w:t>s</w:t>
      </w:r>
      <w:r w:rsidRPr="00150C5B">
        <w:t xml:space="preserve"> precedente</w:t>
      </w:r>
      <w:r>
        <w:t>s</w:t>
      </w:r>
      <w:r w:rsidRPr="00150C5B">
        <w:t xml:space="preserve"> </w:t>
      </w:r>
      <w:r>
        <w:t>apontados na peça</w:t>
      </w:r>
      <w:r w:rsidRPr="00150C5B">
        <w:t xml:space="preserve">, bem como </w:t>
      </w:r>
      <w:r>
        <w:t xml:space="preserve">que </w:t>
      </w:r>
      <w:r w:rsidRPr="00150C5B">
        <w:t xml:space="preserve">demonstre o motivo pela qual aquele entendimento não se aplica ao presente caso. </w:t>
      </w:r>
    </w:p>
    <w:p w14:paraId="0E312820" w14:textId="59B7F484" w:rsidR="00E71747" w:rsidRDefault="00E71747" w:rsidP="00E71747">
      <w:pPr>
        <w:pStyle w:val="SemEspaamento"/>
      </w:pPr>
      <w:r w:rsidRPr="00150C5B">
        <w:t>Deve ser ressaltado que eventual decisão que não faça essa distinção não poderá ser considerada como suficientemente fundamentada nos termos do art. 315, §2º, VI, gerando vício insuperável.</w:t>
      </w:r>
    </w:p>
    <w:p w14:paraId="5F83F483" w14:textId="6AF2DF27" w:rsidR="00E71747" w:rsidRDefault="00E71747" w:rsidP="00E71747">
      <w:pPr>
        <w:pStyle w:val="SemEspaamento"/>
        <w:pBdr>
          <w:bottom w:val="single" w:sz="4" w:space="1" w:color="auto"/>
        </w:pBdr>
        <w:spacing w:before="60" w:after="60" w:line="240" w:lineRule="auto"/>
        <w:ind w:left="2268" w:firstLine="0"/>
      </w:pPr>
      <w:r>
        <w:rPr>
          <w:b/>
          <w:bCs/>
          <w:sz w:val="36"/>
          <w:szCs w:val="36"/>
        </w:rPr>
        <w:t>CPP</w:t>
      </w:r>
      <w:r>
        <w:t xml:space="preserve"> </w:t>
      </w:r>
      <w:r w:rsidRPr="00ED0C3A">
        <w:rPr>
          <w:color w:val="808080" w:themeColor="background1" w:themeShade="80"/>
        </w:rPr>
        <w:t xml:space="preserve">– </w:t>
      </w:r>
      <w:r>
        <w:rPr>
          <w:color w:val="808080" w:themeColor="background1" w:themeShade="80"/>
        </w:rPr>
        <w:t>art. 315, §2º, VI</w:t>
      </w:r>
      <w:r w:rsidRPr="00580B73">
        <w:rPr>
          <w:color w:val="808080" w:themeColor="background1" w:themeShade="80"/>
        </w:rPr>
        <w:t>.</w:t>
      </w:r>
    </w:p>
    <w:p w14:paraId="74366636" w14:textId="77777777" w:rsidR="00E71747" w:rsidRPr="00E71747" w:rsidRDefault="00E71747" w:rsidP="00E71747">
      <w:pPr>
        <w:pStyle w:val="SemEspaamento"/>
        <w:spacing w:before="0" w:after="0" w:line="240" w:lineRule="auto"/>
        <w:ind w:left="2268" w:firstLine="0"/>
        <w:rPr>
          <w:i/>
          <w:iCs/>
        </w:rPr>
      </w:pPr>
      <w:r w:rsidRPr="00E71747">
        <w:rPr>
          <w:i/>
          <w:iCs/>
        </w:rPr>
        <w:t>Art. 315. A decisão que decretar, substituir ou denegar a prisão preventiva será sempre motivada e fundamentada.</w:t>
      </w:r>
    </w:p>
    <w:p w14:paraId="63E85D77" w14:textId="77777777" w:rsidR="00E71747" w:rsidRDefault="00E71747" w:rsidP="00E71747">
      <w:pPr>
        <w:pStyle w:val="SemEspaamento"/>
        <w:spacing w:before="0" w:after="0" w:line="240" w:lineRule="auto"/>
        <w:ind w:left="2268" w:firstLine="0"/>
        <w:rPr>
          <w:i/>
          <w:iCs/>
        </w:rPr>
      </w:pPr>
    </w:p>
    <w:p w14:paraId="65FC1230" w14:textId="065AC947" w:rsidR="00E71747" w:rsidRPr="00E71747" w:rsidRDefault="00E71747" w:rsidP="00E71747">
      <w:pPr>
        <w:pStyle w:val="SemEspaamento"/>
        <w:spacing w:before="0" w:after="0" w:line="240" w:lineRule="auto"/>
        <w:ind w:left="2268" w:firstLine="0"/>
        <w:rPr>
          <w:i/>
          <w:iCs/>
        </w:rPr>
      </w:pPr>
      <w:r w:rsidRPr="00E71747">
        <w:rPr>
          <w:i/>
          <w:iCs/>
        </w:rPr>
        <w:t>§ 2º Não se considera fundamentada qualquer decisão judicial, seja ela interlocutória, sentença ou acórdão, que:</w:t>
      </w:r>
    </w:p>
    <w:p w14:paraId="68458E4C" w14:textId="77777777" w:rsidR="00E71747" w:rsidRDefault="00E71747" w:rsidP="00E71747">
      <w:pPr>
        <w:pStyle w:val="SemEspaamento"/>
        <w:spacing w:before="0" w:after="0" w:line="240" w:lineRule="auto"/>
        <w:ind w:left="2268" w:firstLine="0"/>
        <w:rPr>
          <w:i/>
          <w:iCs/>
        </w:rPr>
      </w:pPr>
    </w:p>
    <w:p w14:paraId="4EE5C358" w14:textId="645692AB" w:rsidR="00E71747" w:rsidRDefault="00E71747" w:rsidP="00E71747">
      <w:pPr>
        <w:pStyle w:val="SemEspaamento"/>
        <w:spacing w:before="0" w:after="0" w:line="240" w:lineRule="auto"/>
        <w:ind w:left="2268" w:firstLine="0"/>
        <w:rPr>
          <w:i/>
          <w:iCs/>
        </w:rPr>
      </w:pPr>
      <w:r w:rsidRPr="00E71747">
        <w:rPr>
          <w:i/>
          <w:iCs/>
        </w:rPr>
        <w:t xml:space="preserve">VI - </w:t>
      </w:r>
      <w:proofErr w:type="gramStart"/>
      <w:r w:rsidRPr="00E71747">
        <w:rPr>
          <w:i/>
          <w:iCs/>
        </w:rPr>
        <w:t>deixar</w:t>
      </w:r>
      <w:proofErr w:type="gramEnd"/>
      <w:r w:rsidRPr="00E71747">
        <w:rPr>
          <w:i/>
          <w:iCs/>
        </w:rPr>
        <w:t xml:space="preserve"> de seguir enunciado de súmula, jurisprudência ou precedente invocado pela parte, sem demonstrar a existência de distinção no caso em julgamento ou a superação do entendimento.</w:t>
      </w:r>
    </w:p>
    <w:p w14:paraId="2887C2E0" w14:textId="77777777" w:rsidR="00D135C4" w:rsidRDefault="00D135C4" w:rsidP="00E71747">
      <w:pPr>
        <w:pStyle w:val="SemEspaamento"/>
        <w:spacing w:before="0" w:after="0" w:line="240" w:lineRule="auto"/>
        <w:ind w:left="2268" w:firstLine="0"/>
        <w:rPr>
          <w:i/>
          <w:iCs/>
        </w:rPr>
      </w:pPr>
    </w:p>
    <w:p w14:paraId="2D44BBE1" w14:textId="77777777" w:rsidR="00042CF9" w:rsidRDefault="00042CF9" w:rsidP="00E71747">
      <w:pPr>
        <w:pStyle w:val="SemEspaamento"/>
        <w:spacing w:before="0" w:after="0" w:line="240" w:lineRule="auto"/>
        <w:ind w:left="2268" w:firstLine="0"/>
        <w:rPr>
          <w:i/>
          <w:iCs/>
        </w:rPr>
      </w:pPr>
    </w:p>
    <w:p w14:paraId="3479B0F5" w14:textId="77777777" w:rsidR="00D135C4" w:rsidRPr="00E71747" w:rsidRDefault="00D135C4" w:rsidP="00E71747">
      <w:pPr>
        <w:pStyle w:val="SemEspaamento"/>
        <w:spacing w:before="0" w:after="0" w:line="240" w:lineRule="auto"/>
        <w:ind w:left="2268" w:firstLine="0"/>
        <w:rPr>
          <w:i/>
          <w:iCs/>
        </w:rPr>
      </w:pPr>
    </w:p>
    <w:p w14:paraId="14990C4F" w14:textId="47E7B59C" w:rsidR="00D135C4" w:rsidRDefault="00D135C4" w:rsidP="00D135C4">
      <w:pPr>
        <w:pStyle w:val="Ttulo1"/>
        <w:spacing w:before="0" w:after="0" w:line="240" w:lineRule="auto"/>
      </w:pPr>
      <w:r>
        <w:t>COMPROVANTE DE RESIDÊNCIA E RENDA LÍCITA</w:t>
      </w:r>
    </w:p>
    <w:p w14:paraId="4E79FA41" w14:textId="09990905" w:rsidR="00D135C4" w:rsidRPr="00547988" w:rsidRDefault="00D135C4" w:rsidP="00D135C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Condições pessoais favoráveis</w:t>
      </w:r>
    </w:p>
    <w:p w14:paraId="13BB312C" w14:textId="77777777" w:rsidR="00D135C4" w:rsidRPr="00150C5B" w:rsidRDefault="00D135C4" w:rsidP="00D135C4">
      <w:pPr>
        <w:pStyle w:val="SemEspaamento"/>
      </w:pPr>
      <w:r w:rsidRPr="00150C5B">
        <w:t>Conforme os documentos acostados nos autos, o requerente é aposentado, ou seja, tem como prover a própria subsistência além de ter residência fixa.</w:t>
      </w:r>
    </w:p>
    <w:p w14:paraId="38827B5C" w14:textId="0F5A219B" w:rsidR="00D135C4" w:rsidRPr="00150C5B" w:rsidRDefault="00D135C4" w:rsidP="00D135C4">
      <w:pPr>
        <w:pStyle w:val="SemEspaamento"/>
      </w:pPr>
      <w:r w:rsidRPr="00150C5B">
        <w:t xml:space="preserve">Sabe-se que o emprego lícito e a residência fixa de per si não são requisitos que, de maneira automática, conduzem a liberdade do </w:t>
      </w:r>
      <w:proofErr w:type="spellStart"/>
      <w:r w:rsidRPr="00150C5B">
        <w:t>acutelado</w:t>
      </w:r>
      <w:proofErr w:type="spellEnd"/>
      <w:r w:rsidRPr="00150C5B">
        <w:t xml:space="preserve">, contudo, esses fatos aliados a situação em que se deu o flagrante e a ausência dos demais requisitos para preventiva conduzem naturalmente a necessidade de concessão de liberdade </w:t>
      </w:r>
      <w:r w:rsidRPr="00150C5B">
        <w:lastRenderedPageBreak/>
        <w:t xml:space="preserve">provisória sem fiança, com a aplicação de medidas cautelares </w:t>
      </w:r>
      <w:r>
        <w:t xml:space="preserve">diversas </w:t>
      </w:r>
      <w:r w:rsidRPr="00150C5B">
        <w:t>da prisão, caso necessário.</w:t>
      </w:r>
    </w:p>
    <w:p w14:paraId="6623218C" w14:textId="77777777" w:rsidR="002D3115" w:rsidRDefault="002D3115" w:rsidP="002D3115">
      <w:pPr>
        <w:pStyle w:val="Ttulo1"/>
        <w:spacing w:before="0" w:after="0" w:line="240" w:lineRule="auto"/>
      </w:pPr>
      <w:r>
        <w:t>DO PEDIDO</w:t>
      </w:r>
    </w:p>
    <w:p w14:paraId="73E39172" w14:textId="77777777" w:rsidR="00B85546" w:rsidRDefault="00B85546" w:rsidP="008235F0">
      <w:pPr>
        <w:spacing w:before="120" w:after="120" w:line="312" w:lineRule="auto"/>
        <w:ind w:firstLine="567"/>
        <w:jc w:val="both"/>
        <w:rPr>
          <w:rFonts w:ascii="Source Serif Pro" w:hAnsi="Source Serif Pro"/>
        </w:rPr>
      </w:pPr>
    </w:p>
    <w:p w14:paraId="5CEEED79" w14:textId="127D81A7" w:rsidR="008235F0" w:rsidRPr="008235F0" w:rsidRDefault="008235F0" w:rsidP="008235F0">
      <w:pPr>
        <w:spacing w:before="120" w:after="120" w:line="312" w:lineRule="auto"/>
        <w:ind w:firstLine="567"/>
        <w:jc w:val="both"/>
        <w:rPr>
          <w:rFonts w:ascii="Source Serif Pro" w:hAnsi="Source Serif Pro"/>
        </w:rPr>
      </w:pPr>
      <w:r w:rsidRPr="008235F0">
        <w:rPr>
          <w:rFonts w:ascii="Source Serif Pro" w:hAnsi="Source Serif Pro"/>
        </w:rPr>
        <w:t xml:space="preserve">Diante de todo o exposto, restando ausentes os requisitos autorizadores da prisão preventiva, nos termos do artigo 312 do Código de Processo Penal, e diante da suficiência de aplicação de medidas cautelares diversas da prisão, </w:t>
      </w:r>
      <w:r w:rsidRPr="008235F0">
        <w:rPr>
          <w:rFonts w:ascii="Source Serif Pro" w:hAnsi="Source Serif Pro"/>
          <w:b/>
          <w:bCs/>
        </w:rPr>
        <w:t>requer a Vossa Excelência</w:t>
      </w:r>
      <w:r w:rsidRPr="008235F0">
        <w:rPr>
          <w:rFonts w:ascii="Source Serif Pro" w:hAnsi="Source Serif Pro"/>
        </w:rPr>
        <w:t>:</w:t>
      </w:r>
    </w:p>
    <w:p w14:paraId="55192DF9" w14:textId="34846F01" w:rsidR="008235F0" w:rsidRPr="008235F0" w:rsidRDefault="008235F0" w:rsidP="008235F0">
      <w:pPr>
        <w:pStyle w:val="PargrafodaLista"/>
        <w:numPr>
          <w:ilvl w:val="0"/>
          <w:numId w:val="31"/>
        </w:numPr>
        <w:spacing w:before="120" w:after="120" w:line="312" w:lineRule="auto"/>
        <w:jc w:val="both"/>
        <w:rPr>
          <w:rFonts w:ascii="Source Serif Pro" w:hAnsi="Source Serif Pro"/>
        </w:rPr>
      </w:pPr>
      <w:r w:rsidRPr="008235F0">
        <w:rPr>
          <w:rFonts w:ascii="Source Serif Pro" w:hAnsi="Source Serif Pro"/>
        </w:rPr>
        <w:t xml:space="preserve">Que se digne </w:t>
      </w:r>
      <w:r w:rsidRPr="008235F0">
        <w:rPr>
          <w:rFonts w:ascii="Source Serif Pro" w:hAnsi="Source Serif Pro"/>
          <w:b/>
          <w:bCs/>
        </w:rPr>
        <w:t>conceder a liberdade provisória</w:t>
      </w:r>
      <w:r w:rsidRPr="008235F0">
        <w:rPr>
          <w:rFonts w:ascii="Source Serif Pro" w:hAnsi="Source Serif Pro"/>
        </w:rPr>
        <w:t xml:space="preserve"> ao requerente, nos termos do artigo 310, inciso III, e artigo 321, ambos do Código de Processo Penal;</w:t>
      </w:r>
    </w:p>
    <w:p w14:paraId="42057C54" w14:textId="47E01930" w:rsidR="008235F0" w:rsidRDefault="008235F0" w:rsidP="008235F0">
      <w:pPr>
        <w:pStyle w:val="PargrafodaLista"/>
        <w:numPr>
          <w:ilvl w:val="0"/>
          <w:numId w:val="31"/>
        </w:numPr>
        <w:spacing w:before="120" w:after="120" w:line="312" w:lineRule="auto"/>
        <w:jc w:val="both"/>
        <w:rPr>
          <w:rFonts w:ascii="Source Serif Pro" w:hAnsi="Source Serif Pro"/>
        </w:rPr>
      </w:pPr>
      <w:r w:rsidRPr="008235F0">
        <w:rPr>
          <w:rFonts w:ascii="Source Serif Pro" w:hAnsi="Source Serif Pro"/>
        </w:rPr>
        <w:t xml:space="preserve">Subsidiariamente, caso Vossa Excelência entenda necessário, requer seja o requerente submetido a </w:t>
      </w:r>
      <w:r w:rsidRPr="008235F0">
        <w:rPr>
          <w:rFonts w:ascii="Source Serif Pro" w:hAnsi="Source Serif Pro"/>
          <w:b/>
          <w:bCs/>
        </w:rPr>
        <w:t>medidas cautelares diversas da prisão</w:t>
      </w:r>
      <w:r w:rsidRPr="008235F0">
        <w:rPr>
          <w:rFonts w:ascii="Source Serif Pro" w:hAnsi="Source Serif Pro"/>
        </w:rPr>
        <w:t>, previstas no artigo 319 do Código de Processo Penal</w:t>
      </w:r>
      <w:r>
        <w:rPr>
          <w:rFonts w:ascii="Source Serif Pro" w:hAnsi="Source Serif Pro"/>
        </w:rPr>
        <w:t>;</w:t>
      </w:r>
    </w:p>
    <w:p w14:paraId="764CD43A" w14:textId="6DF0E8D8" w:rsidR="008235F0" w:rsidRPr="008235F0" w:rsidRDefault="008235F0" w:rsidP="008235F0">
      <w:pPr>
        <w:pStyle w:val="PargrafodaLista"/>
        <w:numPr>
          <w:ilvl w:val="0"/>
          <w:numId w:val="31"/>
        </w:numPr>
        <w:spacing w:before="120" w:after="120" w:line="312" w:lineRule="auto"/>
        <w:jc w:val="both"/>
        <w:rPr>
          <w:rFonts w:ascii="Source Serif Pro" w:hAnsi="Source Serif Pro"/>
        </w:rPr>
      </w:pPr>
      <w:r w:rsidRPr="008235F0">
        <w:rPr>
          <w:rFonts w:ascii="Source Serif Pro" w:hAnsi="Source Serif Pro"/>
        </w:rPr>
        <w:t xml:space="preserve">Requer, ainda, a </w:t>
      </w:r>
      <w:r w:rsidRPr="008235F0">
        <w:rPr>
          <w:rFonts w:ascii="Source Serif Pro" w:hAnsi="Source Serif Pro"/>
          <w:b/>
          <w:bCs/>
        </w:rPr>
        <w:t>juntada dos documentos</w:t>
      </w:r>
      <w:r w:rsidRPr="008235F0">
        <w:rPr>
          <w:rFonts w:ascii="Source Serif Pro" w:hAnsi="Source Serif Pro"/>
        </w:rPr>
        <w:t xml:space="preserve"> que instruem este pedido, os quais comprovam a primariedade do requerente, sua residência fixa e vínculo com trabalho lícito, reforçando sua adequação às medidas cautelares alternativas.</w:t>
      </w:r>
    </w:p>
    <w:p w14:paraId="191844BF" w14:textId="143B63BC"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1524448B"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840B09">
        <w:rPr>
          <w:rFonts w:ascii="Source Serif Pro" w:hAnsi="Source Serif Pro"/>
          <w:noProof/>
        </w:rPr>
        <w:t>25 de dezembro de 2025</w:t>
      </w:r>
      <w:r w:rsidR="0015581C">
        <w:rPr>
          <w:rFonts w:ascii="Source Serif Pro" w:hAnsi="Source Serif Pro"/>
        </w:rPr>
        <w:fldChar w:fldCharType="end"/>
      </w:r>
      <w:r w:rsidR="0015581C" w:rsidRPr="0015581C">
        <w:rPr>
          <w:rFonts w:ascii="Source Serif Pro" w:hAnsi="Source Serif Pro"/>
        </w:rPr>
        <w:t>.</w:t>
      </w:r>
    </w:p>
    <w:p w14:paraId="3BBA0EDB" w14:textId="77777777" w:rsidR="0015581C" w:rsidRPr="0015581C" w:rsidRDefault="0015581C" w:rsidP="0015581C">
      <w:pPr>
        <w:spacing w:before="120" w:after="120" w:line="312" w:lineRule="auto"/>
        <w:ind w:firstLine="567"/>
        <w:jc w:val="both"/>
        <w:rPr>
          <w:rFonts w:ascii="Source Serif Pro" w:hAnsi="Source Serif Pro"/>
        </w:rPr>
      </w:pPr>
    </w:p>
    <w:p w14:paraId="2DA090D7" w14:textId="2D38400E"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3DC37275" w14:textId="799E4ABF" w:rsidR="0015581C" w:rsidRDefault="006A3AEB" w:rsidP="00983A54">
      <w:pPr>
        <w:spacing w:after="0" w:line="240" w:lineRule="auto"/>
        <w:jc w:val="center"/>
        <w:rPr>
          <w:rFonts w:ascii="Source Serif Pro" w:hAnsi="Source Serif Pro"/>
        </w:rPr>
      </w:pPr>
      <w:r>
        <w:rPr>
          <w:rFonts w:ascii="Source Serif Pro" w:hAnsi="Source Serif Pro"/>
        </w:rPr>
        <w:t>OAB/.... XXX.XXX</w:t>
      </w:r>
    </w:p>
    <w:sectPr w:rsidR="0015581C" w:rsidSect="00466093">
      <w:headerReference w:type="default" r:id="rId8"/>
      <w:footerReference w:type="default" r:id="rId9"/>
      <w:headerReference w:type="first" r:id="rId10"/>
      <w:footerReference w:type="first" r:id="rId11"/>
      <w:pgSz w:w="11906" w:h="16838"/>
      <w:pgMar w:top="1871"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EA8BC" w14:textId="77777777" w:rsidR="008B243D" w:rsidRDefault="008B243D" w:rsidP="00BA1F94">
      <w:pPr>
        <w:spacing w:after="0" w:line="240" w:lineRule="auto"/>
      </w:pPr>
      <w:r>
        <w:separator/>
      </w:r>
    </w:p>
  </w:endnote>
  <w:endnote w:type="continuationSeparator" w:id="0">
    <w:p w14:paraId="7CFD66C1" w14:textId="77777777" w:rsidR="008B243D" w:rsidRDefault="008B243D"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Nunito">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Variable Display Semib">
    <w:panose1 w:val="00000000000000000000"/>
    <w:charset w:val="00"/>
    <w:family w:val="auto"/>
    <w:pitch w:val="variable"/>
    <w:sig w:usb0="A00002FF" w:usb1="0000000B"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BDC5DF6" w:rsidR="001E7DF5" w:rsidRPr="00D14593" w:rsidRDefault="00A8787D"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1359222494"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77777777"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r w:rsidRPr="00A97C42">
      <w:rPr>
        <w:rFonts w:ascii="Source Sans Pro" w:hAnsi="Source Sans Pro"/>
        <w:color w:val="0B0F23"/>
        <w:sz w:val="20"/>
        <w:szCs w:val="20"/>
      </w:rPr>
      <w:t>www.guarnierimartins.com.br   contato@guarnierimartins.com.br</w:t>
    </w:r>
  </w:p>
  <w:p w14:paraId="1E5600C1" w14:textId="77777777"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w:t>
    </w:r>
    <w:proofErr w:type="gramStart"/>
    <w:r w:rsidRPr="00A97C42">
      <w:rPr>
        <w:rFonts w:ascii="Source Sans Pro" w:hAnsi="Source Sans Pro"/>
        <w:color w:val="0B0F23"/>
        <w:sz w:val="20"/>
        <w:szCs w:val="20"/>
      </w:rPr>
      <w:t>9366  (</w:t>
    </w:r>
    <w:proofErr w:type="gramEnd"/>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A6BEB" w14:textId="77777777" w:rsidR="008B243D" w:rsidRDefault="008B243D" w:rsidP="00BA1F94">
      <w:pPr>
        <w:spacing w:after="0" w:line="240" w:lineRule="auto"/>
      </w:pPr>
      <w:r>
        <w:separator/>
      </w:r>
    </w:p>
  </w:footnote>
  <w:footnote w:type="continuationSeparator" w:id="0">
    <w:p w14:paraId="282880CF" w14:textId="77777777" w:rsidR="008B243D" w:rsidRDefault="008B243D" w:rsidP="00BA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6828E280" w:rsidR="00585236" w:rsidRDefault="00840B09" w:rsidP="00585236">
    <w:pPr>
      <w:pStyle w:val="Cabealho"/>
      <w:jc w:val="center"/>
    </w:pPr>
    <w:r>
      <w:rPr>
        <w:noProof/>
      </w:rPr>
      <w:drawing>
        <wp:inline distT="0" distB="0" distL="0" distR="0" wp14:anchorId="038636CC" wp14:editId="4EF0F1F9">
          <wp:extent cx="1905000" cy="795889"/>
          <wp:effectExtent l="0" t="0" r="0" b="4445"/>
          <wp:docPr id="967337052" name="Imagem 4" descr="Placa azul com letras branc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37052" name="Imagem 4" descr="Placa azul com letras brancas&#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920582" cy="80239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56109678"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3" w15:restartNumberingAfterBreak="0">
    <w:nsid w:val="162B22D5"/>
    <w:multiLevelType w:val="hybridMultilevel"/>
    <w:tmpl w:val="9A3A1EFE"/>
    <w:lvl w:ilvl="0" w:tplc="F146C3D4">
      <w:start w:val="1"/>
      <w:numFmt w:val="decimal"/>
      <w:pStyle w:val="Ttulo1"/>
      <w:lvlText w:val="%1."/>
      <w:lvlJc w:val="left"/>
      <w:pPr>
        <w:ind w:left="644"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6"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8"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9"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0"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633674B"/>
    <w:multiLevelType w:val="hybridMultilevel"/>
    <w:tmpl w:val="969AFB8A"/>
    <w:lvl w:ilvl="0" w:tplc="8C7E21E6">
      <w:start w:val="1"/>
      <w:numFmt w:val="decimal"/>
      <w:pStyle w:val="2Versalete"/>
      <w:lvlText w:val="%1."/>
      <w:lvlJc w:val="left"/>
      <w:pPr>
        <w:ind w:left="644" w:hanging="360"/>
      </w:pPr>
      <w:rPr>
        <w:rFonts w:hint="default"/>
      </w:rPr>
    </w:lvl>
    <w:lvl w:ilvl="1" w:tplc="04160019" w:tentative="1">
      <w:start w:val="1"/>
      <w:numFmt w:val="lowerLetter"/>
      <w:lvlText w:val="%2."/>
      <w:lvlJc w:val="left"/>
      <w:pPr>
        <w:ind w:left="1905" w:hanging="360"/>
      </w:pPr>
    </w:lvl>
    <w:lvl w:ilvl="2" w:tplc="0416001B" w:tentative="1">
      <w:start w:val="1"/>
      <w:numFmt w:val="lowerRoman"/>
      <w:lvlText w:val="%3."/>
      <w:lvlJc w:val="right"/>
      <w:pPr>
        <w:ind w:left="2625" w:hanging="180"/>
      </w:pPr>
    </w:lvl>
    <w:lvl w:ilvl="3" w:tplc="0416000F" w:tentative="1">
      <w:start w:val="1"/>
      <w:numFmt w:val="decimal"/>
      <w:lvlText w:val="%4."/>
      <w:lvlJc w:val="left"/>
      <w:pPr>
        <w:ind w:left="3345" w:hanging="360"/>
      </w:pPr>
    </w:lvl>
    <w:lvl w:ilvl="4" w:tplc="04160019" w:tentative="1">
      <w:start w:val="1"/>
      <w:numFmt w:val="lowerLetter"/>
      <w:lvlText w:val="%5."/>
      <w:lvlJc w:val="left"/>
      <w:pPr>
        <w:ind w:left="4065" w:hanging="360"/>
      </w:pPr>
    </w:lvl>
    <w:lvl w:ilvl="5" w:tplc="0416001B" w:tentative="1">
      <w:start w:val="1"/>
      <w:numFmt w:val="lowerRoman"/>
      <w:lvlText w:val="%6."/>
      <w:lvlJc w:val="right"/>
      <w:pPr>
        <w:ind w:left="4785" w:hanging="180"/>
      </w:pPr>
    </w:lvl>
    <w:lvl w:ilvl="6" w:tplc="0416000F" w:tentative="1">
      <w:start w:val="1"/>
      <w:numFmt w:val="decimal"/>
      <w:lvlText w:val="%7."/>
      <w:lvlJc w:val="left"/>
      <w:pPr>
        <w:ind w:left="5505" w:hanging="360"/>
      </w:pPr>
    </w:lvl>
    <w:lvl w:ilvl="7" w:tplc="04160019" w:tentative="1">
      <w:start w:val="1"/>
      <w:numFmt w:val="lowerLetter"/>
      <w:lvlText w:val="%8."/>
      <w:lvlJc w:val="left"/>
      <w:pPr>
        <w:ind w:left="6225" w:hanging="360"/>
      </w:pPr>
    </w:lvl>
    <w:lvl w:ilvl="8" w:tplc="0416001B" w:tentative="1">
      <w:start w:val="1"/>
      <w:numFmt w:val="lowerRoman"/>
      <w:lvlText w:val="%9."/>
      <w:lvlJc w:val="right"/>
      <w:pPr>
        <w:ind w:left="6945" w:hanging="180"/>
      </w:pPr>
    </w:lvl>
  </w:abstractNum>
  <w:abstractNum w:abstractNumId="14"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B6729"/>
    <w:multiLevelType w:val="hybridMultilevel"/>
    <w:tmpl w:val="330EF42C"/>
    <w:lvl w:ilvl="0" w:tplc="CF10140E">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6"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7"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18"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9"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0"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3"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3"/>
  </w:num>
  <w:num w:numId="2" w16cid:durableId="1455253303">
    <w:abstractNumId w:val="11"/>
  </w:num>
  <w:num w:numId="3" w16cid:durableId="555554971">
    <w:abstractNumId w:val="3"/>
  </w:num>
  <w:num w:numId="4" w16cid:durableId="1971129295">
    <w:abstractNumId w:val="3"/>
  </w:num>
  <w:num w:numId="5" w16cid:durableId="555433521">
    <w:abstractNumId w:val="3"/>
  </w:num>
  <w:num w:numId="6" w16cid:durableId="376053507">
    <w:abstractNumId w:val="3"/>
  </w:num>
  <w:num w:numId="7" w16cid:durableId="1819492703">
    <w:abstractNumId w:val="1"/>
  </w:num>
  <w:num w:numId="8" w16cid:durableId="214002896">
    <w:abstractNumId w:val="8"/>
  </w:num>
  <w:num w:numId="9" w16cid:durableId="1186557910">
    <w:abstractNumId w:val="16"/>
  </w:num>
  <w:num w:numId="10" w16cid:durableId="45959775">
    <w:abstractNumId w:val="3"/>
  </w:num>
  <w:num w:numId="11" w16cid:durableId="698555142">
    <w:abstractNumId w:val="3"/>
  </w:num>
  <w:num w:numId="12" w16cid:durableId="169760788">
    <w:abstractNumId w:val="12"/>
  </w:num>
  <w:num w:numId="13" w16cid:durableId="1542085398">
    <w:abstractNumId w:val="9"/>
  </w:num>
  <w:num w:numId="14" w16cid:durableId="1800220788">
    <w:abstractNumId w:val="24"/>
  </w:num>
  <w:num w:numId="15" w16cid:durableId="189689990">
    <w:abstractNumId w:val="20"/>
  </w:num>
  <w:num w:numId="16" w16cid:durableId="106320463">
    <w:abstractNumId w:val="22"/>
  </w:num>
  <w:num w:numId="17" w16cid:durableId="757795001">
    <w:abstractNumId w:val="5"/>
  </w:num>
  <w:num w:numId="18" w16cid:durableId="507915239">
    <w:abstractNumId w:val="21"/>
  </w:num>
  <w:num w:numId="19" w16cid:durableId="985084700">
    <w:abstractNumId w:val="19"/>
  </w:num>
  <w:num w:numId="20" w16cid:durableId="700283364">
    <w:abstractNumId w:val="17"/>
  </w:num>
  <w:num w:numId="21" w16cid:durableId="895627114">
    <w:abstractNumId w:val="7"/>
  </w:num>
  <w:num w:numId="22" w16cid:durableId="2089496448">
    <w:abstractNumId w:val="3"/>
  </w:num>
  <w:num w:numId="23" w16cid:durableId="561600074">
    <w:abstractNumId w:val="0"/>
  </w:num>
  <w:num w:numId="24" w16cid:durableId="278606713">
    <w:abstractNumId w:val="18"/>
  </w:num>
  <w:num w:numId="25" w16cid:durableId="556820897">
    <w:abstractNumId w:val="4"/>
  </w:num>
  <w:num w:numId="26" w16cid:durableId="648704854">
    <w:abstractNumId w:val="2"/>
  </w:num>
  <w:num w:numId="27" w16cid:durableId="1146168893">
    <w:abstractNumId w:val="14"/>
  </w:num>
  <w:num w:numId="28" w16cid:durableId="1280070271">
    <w:abstractNumId w:val="6"/>
  </w:num>
  <w:num w:numId="29" w16cid:durableId="1163280356">
    <w:abstractNumId w:val="10"/>
  </w:num>
  <w:num w:numId="30" w16cid:durableId="1479685322">
    <w:abstractNumId w:val="23"/>
  </w:num>
  <w:num w:numId="31" w16cid:durableId="939022436">
    <w:abstractNumId w:val="15"/>
  </w:num>
  <w:num w:numId="32" w16cid:durableId="2312381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21F5D"/>
    <w:rsid w:val="00042CF9"/>
    <w:rsid w:val="00045565"/>
    <w:rsid w:val="000911F8"/>
    <w:rsid w:val="001153D8"/>
    <w:rsid w:val="00144A4B"/>
    <w:rsid w:val="0015581C"/>
    <w:rsid w:val="00163268"/>
    <w:rsid w:val="001C6CE0"/>
    <w:rsid w:val="001E7DF5"/>
    <w:rsid w:val="001F3409"/>
    <w:rsid w:val="0021462C"/>
    <w:rsid w:val="00255925"/>
    <w:rsid w:val="00265B72"/>
    <w:rsid w:val="002731A1"/>
    <w:rsid w:val="002D3115"/>
    <w:rsid w:val="002E0484"/>
    <w:rsid w:val="002F00FD"/>
    <w:rsid w:val="00307183"/>
    <w:rsid w:val="00335715"/>
    <w:rsid w:val="0035269F"/>
    <w:rsid w:val="003602F7"/>
    <w:rsid w:val="0037222E"/>
    <w:rsid w:val="00374CCE"/>
    <w:rsid w:val="003A76A4"/>
    <w:rsid w:val="003A7CB9"/>
    <w:rsid w:val="00421C44"/>
    <w:rsid w:val="00462A1D"/>
    <w:rsid w:val="00466093"/>
    <w:rsid w:val="00473494"/>
    <w:rsid w:val="004A1397"/>
    <w:rsid w:val="004B23AC"/>
    <w:rsid w:val="004C2B0E"/>
    <w:rsid w:val="004F6860"/>
    <w:rsid w:val="00510D1D"/>
    <w:rsid w:val="00547988"/>
    <w:rsid w:val="0056423A"/>
    <w:rsid w:val="005702CF"/>
    <w:rsid w:val="00575469"/>
    <w:rsid w:val="00585236"/>
    <w:rsid w:val="00596D6C"/>
    <w:rsid w:val="005C54F8"/>
    <w:rsid w:val="006232A3"/>
    <w:rsid w:val="00636D00"/>
    <w:rsid w:val="006419C1"/>
    <w:rsid w:val="00673A8C"/>
    <w:rsid w:val="006A3AEB"/>
    <w:rsid w:val="006E26AE"/>
    <w:rsid w:val="006F33DE"/>
    <w:rsid w:val="007020CA"/>
    <w:rsid w:val="00716815"/>
    <w:rsid w:val="00720D57"/>
    <w:rsid w:val="007A0B17"/>
    <w:rsid w:val="007B7295"/>
    <w:rsid w:val="007E3DC1"/>
    <w:rsid w:val="007F0F05"/>
    <w:rsid w:val="00802A06"/>
    <w:rsid w:val="0081592C"/>
    <w:rsid w:val="008235F0"/>
    <w:rsid w:val="00840B09"/>
    <w:rsid w:val="008B03CF"/>
    <w:rsid w:val="008B243D"/>
    <w:rsid w:val="00902436"/>
    <w:rsid w:val="00915234"/>
    <w:rsid w:val="00963BCB"/>
    <w:rsid w:val="00983A54"/>
    <w:rsid w:val="0099073D"/>
    <w:rsid w:val="009E098F"/>
    <w:rsid w:val="009F311E"/>
    <w:rsid w:val="00A01420"/>
    <w:rsid w:val="00A73B53"/>
    <w:rsid w:val="00A82AD8"/>
    <w:rsid w:val="00A8787D"/>
    <w:rsid w:val="00A87D34"/>
    <w:rsid w:val="00A97C42"/>
    <w:rsid w:val="00AA31B3"/>
    <w:rsid w:val="00AB2011"/>
    <w:rsid w:val="00B24A33"/>
    <w:rsid w:val="00B57D96"/>
    <w:rsid w:val="00B77BFB"/>
    <w:rsid w:val="00B77E49"/>
    <w:rsid w:val="00B85546"/>
    <w:rsid w:val="00B85981"/>
    <w:rsid w:val="00B968CC"/>
    <w:rsid w:val="00BA1F94"/>
    <w:rsid w:val="00BA5370"/>
    <w:rsid w:val="00BC6F5E"/>
    <w:rsid w:val="00BF64DD"/>
    <w:rsid w:val="00C13094"/>
    <w:rsid w:val="00C26B4A"/>
    <w:rsid w:val="00C56908"/>
    <w:rsid w:val="00C86BDE"/>
    <w:rsid w:val="00C925C7"/>
    <w:rsid w:val="00C9595C"/>
    <w:rsid w:val="00CA2809"/>
    <w:rsid w:val="00CC1890"/>
    <w:rsid w:val="00D135C4"/>
    <w:rsid w:val="00D14593"/>
    <w:rsid w:val="00D439F7"/>
    <w:rsid w:val="00D934F0"/>
    <w:rsid w:val="00DB7797"/>
    <w:rsid w:val="00E260D2"/>
    <w:rsid w:val="00E71747"/>
    <w:rsid w:val="00ED0C3A"/>
    <w:rsid w:val="00EE0ABC"/>
    <w:rsid w:val="00F10092"/>
    <w:rsid w:val="00F37C97"/>
    <w:rsid w:val="00F53D0B"/>
    <w:rsid w:val="00F822EE"/>
    <w:rsid w:val="00F845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5C4"/>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 w:type="paragraph" w:customStyle="1" w:styleId="2Versalete">
    <w:name w:val="2. Versalete"/>
    <w:basedOn w:val="Corpodetexto"/>
    <w:link w:val="2VersaleteChar"/>
    <w:qFormat/>
    <w:rsid w:val="00E71747"/>
    <w:pPr>
      <w:numPr>
        <w:numId w:val="32"/>
      </w:numPr>
      <w:tabs>
        <w:tab w:val="left" w:pos="1134"/>
      </w:tabs>
      <w:spacing w:line="360" w:lineRule="auto"/>
      <w:ind w:right="117"/>
      <w:jc w:val="both"/>
    </w:pPr>
    <w:rPr>
      <w:rFonts w:ascii="Nunito" w:hAnsi="Nunito"/>
    </w:rPr>
  </w:style>
  <w:style w:type="character" w:customStyle="1" w:styleId="2VersaleteChar">
    <w:name w:val="2. Versalete Char"/>
    <w:basedOn w:val="Fontepargpadro"/>
    <w:link w:val="2Versalete"/>
    <w:rsid w:val="00E71747"/>
    <w:rPr>
      <w:rFonts w:ascii="Nunito" w:eastAsia="Calibri" w:hAnsi="Nunito" w:cs="Calibri"/>
      <w:kern w:val="0"/>
      <w:lang w:val="pt-PT" w:eastAsia="pt-PT" w:bidi="pt-PT"/>
      <w14:ligatures w14:val="none"/>
    </w:rPr>
  </w:style>
  <w:style w:type="paragraph" w:styleId="Corpodetexto">
    <w:name w:val="Body Text"/>
    <w:basedOn w:val="Normal"/>
    <w:link w:val="CorpodetextoChar"/>
    <w:uiPriority w:val="1"/>
    <w:qFormat/>
    <w:rsid w:val="00E71747"/>
    <w:pPr>
      <w:widowControl w:val="0"/>
      <w:autoSpaceDE w:val="0"/>
      <w:autoSpaceDN w:val="0"/>
      <w:spacing w:after="0" w:line="240" w:lineRule="auto"/>
    </w:pPr>
    <w:rPr>
      <w:rFonts w:ascii="Calibri" w:eastAsia="Calibri" w:hAnsi="Calibri" w:cs="Calibri"/>
      <w:kern w:val="0"/>
      <w:lang w:val="pt-PT" w:eastAsia="pt-PT" w:bidi="pt-PT"/>
      <w14:ligatures w14:val="none"/>
    </w:rPr>
  </w:style>
  <w:style w:type="character" w:customStyle="1" w:styleId="CorpodetextoChar">
    <w:name w:val="Corpo de texto Char"/>
    <w:basedOn w:val="Fontepargpadro"/>
    <w:link w:val="Corpodetexto"/>
    <w:uiPriority w:val="1"/>
    <w:rsid w:val="00E71747"/>
    <w:rPr>
      <w:rFonts w:ascii="Calibri" w:eastAsia="Calibri" w:hAnsi="Calibri" w:cs="Calibri"/>
      <w:kern w:val="0"/>
      <w:lang w:val="pt-PT" w:eastAsia="pt-PT" w:bidi="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1542</Words>
  <Characters>8378</Characters>
  <Application>Microsoft Office Word</Application>
  <DocSecurity>0</DocSecurity>
  <Lines>182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2</cp:revision>
  <cp:lastPrinted>2025-10-14T13:26:00Z</cp:lastPrinted>
  <dcterms:created xsi:type="dcterms:W3CDTF">2025-12-25T19:24:00Z</dcterms:created>
  <dcterms:modified xsi:type="dcterms:W3CDTF">2025-12-25T19:24:00Z</dcterms:modified>
</cp:coreProperties>
</file>