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7D813964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963BCB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0D59464B" w:rsidR="00B968CC" w:rsidRPr="00B24A33" w:rsidRDefault="004B23A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Audiência de custódia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71FEDA43" w14:textId="77777777" w:rsidR="00E71747" w:rsidRDefault="00DB7797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15581C"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0001232-32.2013.403.6</w:t>
      </w:r>
    </w:p>
    <w:p w14:paraId="07573816" w14:textId="5C8EEBF4" w:rsidR="00DB7797" w:rsidRPr="00B24A33" w:rsidRDefault="0015581C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124</w:t>
      </w:r>
    </w:p>
    <w:p w14:paraId="41C34F6F" w14:textId="20132ED1" w:rsidR="00DB7797" w:rsidRPr="00B24A33" w:rsidRDefault="00B85546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Requerente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77A36274" w14:textId="77777777" w:rsidR="007020CA" w:rsidRDefault="007020CA" w:rsidP="00EE0ABC">
      <w:pPr>
        <w:ind w:firstLine="567"/>
        <w:rPr>
          <w:rFonts w:ascii="Source Serif Pro" w:hAnsi="Source Serif Pro"/>
        </w:rPr>
      </w:pPr>
    </w:p>
    <w:p w14:paraId="1D46FD50" w14:textId="77777777" w:rsidR="005C54F8" w:rsidRDefault="005C54F8" w:rsidP="00EE0ABC">
      <w:pPr>
        <w:ind w:firstLine="567"/>
        <w:rPr>
          <w:rFonts w:ascii="Source Serif Pro" w:hAnsi="Source Serif Pro"/>
        </w:rPr>
      </w:pPr>
    </w:p>
    <w:p w14:paraId="2902351C" w14:textId="77777777" w:rsidR="00E71747" w:rsidRPr="00B24A33" w:rsidRDefault="00E71747" w:rsidP="00EE0ABC">
      <w:pPr>
        <w:ind w:firstLine="567"/>
        <w:rPr>
          <w:rFonts w:ascii="Source Serif Pro" w:hAnsi="Source Serif Pro"/>
        </w:rPr>
      </w:pPr>
    </w:p>
    <w:p w14:paraId="1DE5A89B" w14:textId="1D42EC6E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E71747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requerer a</w:t>
      </w:r>
    </w:p>
    <w:p w14:paraId="2CD2B9C5" w14:textId="5F8266FC" w:rsidR="00B57D96" w:rsidRPr="007A0B17" w:rsidRDefault="00045565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LIBERDADE PROVISÓRIA</w:t>
      </w:r>
      <w:r w:rsidR="00E71747">
        <w:rPr>
          <w:rFonts w:ascii="Georgia" w:hAnsi="Georgia"/>
          <w:b/>
          <w:bCs/>
          <w:sz w:val="32"/>
          <w:szCs w:val="32"/>
        </w:rPr>
        <w:t xml:space="preserve"> SEM FIANÇA</w:t>
      </w:r>
    </w:p>
    <w:p w14:paraId="46AE4AF2" w14:textId="22CD3315" w:rsidR="00EE0ABC" w:rsidRDefault="0004556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045565">
        <w:rPr>
          <w:rFonts w:ascii="Source Serif Pro" w:hAnsi="Source Serif Pro"/>
        </w:rPr>
        <w:t>com fulcro no art. 310, III, do Código de Processo Penal e art. 5ª, LXVI, da Constituição Federal, pelas razões de fato e de direito a seguir expostas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44E0EC31" w14:textId="31560C6F" w:rsidR="00E71747" w:rsidRDefault="00E71747" w:rsidP="00E71747">
      <w:pPr>
        <w:pStyle w:val="SemEspaamento"/>
      </w:pPr>
      <w:r>
        <w:t>Segundo consta no auto de prisão em flagrante o custodiado foi surpreendido pela força policial na Av. …</w:t>
      </w:r>
      <w:proofErr w:type="gramStart"/>
      <w:r>
        <w:t>…..</w:t>
      </w:r>
      <w:proofErr w:type="gramEnd"/>
      <w:r>
        <w:t>, no dia ……</w:t>
      </w:r>
      <w:proofErr w:type="gramStart"/>
      <w:r>
        <w:t>…..</w:t>
      </w:r>
      <w:proofErr w:type="gramEnd"/>
      <w:r>
        <w:t xml:space="preserve">, por volta das 9 horas portando substância entorpecente análoga a maconha, razão pela qual foi preso em flagrante. </w:t>
      </w:r>
    </w:p>
    <w:p w14:paraId="03D1E819" w14:textId="4D27CE7F" w:rsidR="00E71747" w:rsidRDefault="00E71747" w:rsidP="00E71747">
      <w:pPr>
        <w:pStyle w:val="SemEspaamento"/>
      </w:pPr>
      <w:r>
        <w:t xml:space="preserve">Depois de receber voz de prisão, foi encaminhado a unidade policial para formalização do flagrante, com a consequente outiva dos condutores e interrogatório do acautelado. </w:t>
      </w:r>
    </w:p>
    <w:p w14:paraId="025C3398" w14:textId="0B29C59E" w:rsidR="002D3115" w:rsidRDefault="00E71747" w:rsidP="00E71747">
      <w:pPr>
        <w:pStyle w:val="SemEspaamento"/>
      </w:pPr>
      <w:r>
        <w:t>A autoridade policial ratificou a prisão e encaminhou o requerente para realização de audiência de custódia.</w:t>
      </w:r>
    </w:p>
    <w:p w14:paraId="50F4A9D8" w14:textId="77777777" w:rsidR="002D3115" w:rsidRDefault="002D3115" w:rsidP="002D3115">
      <w:pPr>
        <w:pStyle w:val="SemEspaamento"/>
      </w:pPr>
    </w:p>
    <w:p w14:paraId="5087947A" w14:textId="2A728C16" w:rsidR="002D3115" w:rsidRDefault="00045565" w:rsidP="002D3115">
      <w:pPr>
        <w:pStyle w:val="Ttulo1"/>
        <w:spacing w:before="0" w:after="0" w:line="240" w:lineRule="auto"/>
      </w:pPr>
      <w:r>
        <w:lastRenderedPageBreak/>
        <w:t xml:space="preserve">AUSÊNCIA DOS REQUISITOS AUTORIZADORES </w:t>
      </w:r>
    </w:p>
    <w:p w14:paraId="7C57FDD5" w14:textId="3185C87A" w:rsidR="002D3115" w:rsidRPr="00547988" w:rsidRDefault="00045565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Ausência requisitos do art. 312 – Impossibilidade conversão em prisão preventiva</w:t>
      </w:r>
    </w:p>
    <w:p w14:paraId="5C1FA776" w14:textId="77777777" w:rsidR="00E71747" w:rsidRPr="00E71747" w:rsidRDefault="00E71747" w:rsidP="00E71747">
      <w:pPr>
        <w:pStyle w:val="SemEspaamento"/>
      </w:pPr>
      <w:r w:rsidRPr="00E71747">
        <w:t xml:space="preserve">No caso em desfile, verifica-se que eventual determinação de clausura do requerente será diametralmente desproporcional ao caso que não evidencia a necessidade de decretação da prisão preventiva. </w:t>
      </w:r>
    </w:p>
    <w:p w14:paraId="456837D4" w14:textId="77777777" w:rsidR="00E71747" w:rsidRPr="00E71747" w:rsidRDefault="00E71747" w:rsidP="00E71747">
      <w:pPr>
        <w:pStyle w:val="SemEspaamento"/>
      </w:pPr>
      <w:r w:rsidRPr="00E71747">
        <w:t xml:space="preserve">Em síntese, não resta evidente o </w:t>
      </w:r>
      <w:r w:rsidRPr="00E71747">
        <w:rPr>
          <w:i/>
          <w:iCs/>
        </w:rPr>
        <w:t>periculum libertatis</w:t>
      </w:r>
      <w:r w:rsidRPr="00E71747">
        <w:t xml:space="preserve"> capaz de justificar o acautelamento do requerente.</w:t>
      </w:r>
    </w:p>
    <w:p w14:paraId="4A329150" w14:textId="77777777" w:rsidR="00E71747" w:rsidRPr="00E71747" w:rsidRDefault="00E71747" w:rsidP="00E71747">
      <w:pPr>
        <w:pStyle w:val="SemEspaamento"/>
      </w:pPr>
      <w:r w:rsidRPr="00E71747">
        <w:t>A prisão cautelar constitui situação excepcional, diante do princípio da não culpabilidade, erigido em norma constitucional, e do direito subjetivo à liberdade de que todo cidadão dispõe, justificando-se apenas nas hipóteses perfeitamente enquadradas na previsão do art. 312 do estatuto processual penal, o que flagrantemente não ocorre no caso em tela.</w:t>
      </w:r>
    </w:p>
    <w:p w14:paraId="10FD86FA" w14:textId="77777777" w:rsidR="00E71747" w:rsidRDefault="00E71747" w:rsidP="00E71747">
      <w:pPr>
        <w:pStyle w:val="SemEspaamento"/>
      </w:pPr>
      <w:r>
        <w:t>Além do acautelado ser primário, afastando do caso qualquer risco de reiteração da conduta, deve-se destacar que o</w:t>
      </w:r>
      <w:r w:rsidRPr="00150C5B">
        <w:t xml:space="preserve"> delito não foi cometido com contornos que </w:t>
      </w:r>
      <w:r>
        <w:t>excedem</w:t>
      </w:r>
      <w:r w:rsidRPr="00150C5B">
        <w:t xml:space="preserve"> o próprio tipo penal capazes de justificar a suposta periculosidade do agente. </w:t>
      </w:r>
    </w:p>
    <w:p w14:paraId="692FE149" w14:textId="77777777" w:rsidR="00E71747" w:rsidRDefault="00E71747" w:rsidP="00E71747">
      <w:pPr>
        <w:pStyle w:val="SemEspaamento"/>
      </w:pPr>
      <w:r w:rsidRPr="00150C5B">
        <w:t xml:space="preserve">As consequências do crime também não extrapolaram </w:t>
      </w:r>
      <w:r>
        <w:t>aquelas naturais ao</w:t>
      </w:r>
      <w:r w:rsidRPr="00150C5B">
        <w:t xml:space="preserve"> próprio tipo penal</w:t>
      </w:r>
      <w:r>
        <w:t>, razão pela qual não pode ser invocada a gravidade em abstrato para decretar a prisão preventiva do requerente:</w:t>
      </w:r>
    </w:p>
    <w:p w14:paraId="7DE26DB3" w14:textId="0FBB9DC1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Pr="00E71747">
        <w:rPr>
          <w:color w:val="808080" w:themeColor="background1" w:themeShade="80"/>
        </w:rPr>
        <w:t>HC n. 734.827/GO, relator Ministro Reynaldo Soares da Fonseca, Quinta Turma, DJe de 19/04/2022</w:t>
      </w:r>
      <w:r w:rsidRPr="00580B73">
        <w:rPr>
          <w:color w:val="808080" w:themeColor="background1" w:themeShade="80"/>
        </w:rPr>
        <w:t>.</w:t>
      </w:r>
    </w:p>
    <w:p w14:paraId="72976C3A" w14:textId="04C04450" w:rsidR="00E71747" w:rsidRDefault="00E71747" w:rsidP="00E71747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71747">
        <w:rPr>
          <w:i/>
          <w:iCs/>
        </w:rPr>
        <w:t>Nesse contexto, não se mostra suficiente para a segregação, in casu, as ponderações do Magistrado singular a respeito da gravidade abstrata do crime, bem como quanto aos seus efeitos nefastos para a sociedade</w:t>
      </w:r>
      <w:r>
        <w:rPr>
          <w:i/>
          <w:iCs/>
        </w:rPr>
        <w:t>.</w:t>
      </w:r>
    </w:p>
    <w:p w14:paraId="74229D99" w14:textId="77777777" w:rsidR="00E71747" w:rsidRDefault="00E71747" w:rsidP="00E71747">
      <w:pPr>
        <w:pStyle w:val="SemEspaamento"/>
      </w:pPr>
      <w:r>
        <w:t>Apesar da quantidade elevada de droga apreendida, esse fundamento isoladamente não pode ser utilizado para decretação da prisão preventiva. Nesse sentido: “</w:t>
      </w:r>
      <w:r w:rsidRPr="00E71747">
        <w:t xml:space="preserve">a quantidade de drogas, por si só, ou a gravidade abstrata do delito imputado não é </w:t>
      </w:r>
      <w:r w:rsidRPr="00E71747">
        <w:lastRenderedPageBreak/>
        <w:t>fato hábil a embasar a segregação provisória</w:t>
      </w:r>
      <w:r>
        <w:t xml:space="preserve">” (STF - </w:t>
      </w:r>
      <w:r w:rsidRPr="00EB28A1">
        <w:t>HC 206240</w:t>
      </w:r>
      <w:r>
        <w:t xml:space="preserve">/SP, </w:t>
      </w:r>
      <w:r w:rsidRPr="00EB28A1">
        <w:t>Min. GILMAR MENDES</w:t>
      </w:r>
      <w:r>
        <w:t>, Dje</w:t>
      </w:r>
      <w:r w:rsidRPr="00820E54">
        <w:t xml:space="preserve"> 24/02/2022</w:t>
      </w:r>
      <w:r>
        <w:t>)</w:t>
      </w:r>
      <w:r w:rsidRPr="00EB28A1">
        <w:t>.</w:t>
      </w:r>
    </w:p>
    <w:p w14:paraId="6F04EF5D" w14:textId="77777777" w:rsidR="00E71747" w:rsidRDefault="00E71747" w:rsidP="00E71747">
      <w:pPr>
        <w:pStyle w:val="SemEspaamento"/>
      </w:pPr>
      <w:r>
        <w:t>Nesse mesmo toar, a</w:t>
      </w:r>
      <w:r w:rsidRPr="00820E54">
        <w:t xml:space="preserve"> quantidade e a natureza da droga são circunstâncias que</w:t>
      </w:r>
      <w:r>
        <w:t xml:space="preserve"> </w:t>
      </w:r>
      <w:r w:rsidRPr="00820E54">
        <w:t>por si sós não são aptas a comprovar o envolvimento com o crime organizad</w:t>
      </w:r>
      <w:r>
        <w:t>o,</w:t>
      </w:r>
      <w:r w:rsidRPr="00820E54">
        <w:t xml:space="preserve"> a dedicação à atividade criminosa</w:t>
      </w:r>
      <w:r>
        <w:t xml:space="preserve"> ou o risco de reiteração da conduta,</w:t>
      </w:r>
      <w:r w:rsidRPr="00820E54">
        <w:t xml:space="preserve"> devendo o </w:t>
      </w:r>
      <w:r>
        <w:t>julgador</w:t>
      </w:r>
      <w:r w:rsidRPr="00820E54">
        <w:t xml:space="preserve"> obter outros elementos hábeis a embasar tal afirmativa</w:t>
      </w:r>
      <w:r>
        <w:t>.</w:t>
      </w:r>
    </w:p>
    <w:p w14:paraId="2B5FBB7F" w14:textId="77777777" w:rsidR="00E71747" w:rsidRDefault="00E71747" w:rsidP="00E71747">
      <w:pPr>
        <w:pStyle w:val="SemEspaamento"/>
      </w:pPr>
      <w:r>
        <w:t>Sendo o réu primário de bons antecedentes e não havendo risco em concreto da conduta, como no caso em apreço, não pode a preventiva ser decretada com base na garantia da ordem pública justificando para tanto tão somente a quantidade e droga apreendida</w:t>
      </w:r>
      <w:r w:rsidRPr="00150C5B">
        <w:t>.</w:t>
      </w:r>
      <w:r>
        <w:t xml:space="preserve"> Pelo contrário, o acautelado deve ser agraciado com a liberdade provisória. </w:t>
      </w:r>
      <w:r w:rsidRPr="00150C5B">
        <w:t xml:space="preserve"> </w:t>
      </w:r>
    </w:p>
    <w:p w14:paraId="12A8C298" w14:textId="77777777" w:rsidR="00E71747" w:rsidRDefault="00E71747" w:rsidP="00E71747">
      <w:pPr>
        <w:pStyle w:val="SemEspaamento"/>
      </w:pPr>
      <w:r>
        <w:t>Mesmo em casos que a quantidade é elevada os tribunais superiores têm concedido a liberdade provisória ao acautelado</w:t>
      </w:r>
      <w:r w:rsidRPr="00150C5B">
        <w:t>.</w:t>
      </w:r>
    </w:p>
    <w:p w14:paraId="638D1955" w14:textId="7BCB9C18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Pr="00E71747">
        <w:rPr>
          <w:color w:val="808080" w:themeColor="background1" w:themeShade="80"/>
        </w:rPr>
        <w:t>AgRg no RHC n. 173.165/SC, relator Ministro Ribeiro Dantas, Quinta Turma, julgado em 13/3/2023</w:t>
      </w:r>
      <w:r w:rsidRPr="00580B73">
        <w:rPr>
          <w:color w:val="808080" w:themeColor="background1" w:themeShade="80"/>
        </w:rPr>
        <w:t>.</w:t>
      </w:r>
    </w:p>
    <w:p w14:paraId="3711CF3C" w14:textId="14C71A69" w:rsidR="00E71747" w:rsidRDefault="00E71747" w:rsidP="00E71747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71747">
        <w:rPr>
          <w:i/>
          <w:iCs/>
        </w:rPr>
        <w:t>No caso, segundo se infere, o decreto prisional fundou-se na quantidade de drogas apreendidas em poder do agravado, além de verter argumentos que denotam apenas a gravidade abstrata da conduta de tráfico. Contudo, conquanto idôneo o fundamento da quantidade de drogas (4 kg de skunk), não obstante indicativa do crime de tráfico de drogas, não revela maior periculosidade a ponto de impedir que ele responda a ação penal em liberdade, mormente porque primário e de bons antecedentes, além do fato de o crime a ele imputado não envolver violência ou grave ameaça, bem como por ser o agravado, potencialmente, "mula" do tráfico</w:t>
      </w:r>
      <w:r>
        <w:rPr>
          <w:i/>
          <w:iCs/>
        </w:rPr>
        <w:t>.</w:t>
      </w:r>
    </w:p>
    <w:p w14:paraId="3720F7B6" w14:textId="77777777" w:rsidR="00E71747" w:rsidRDefault="00E71747" w:rsidP="00E71747">
      <w:pPr>
        <w:pStyle w:val="SemEspaamento"/>
      </w:pPr>
      <w:r>
        <w:t>Diante o exposto fica evidente a ausência e inaplicabilidade da garantia da ordem pública como fundamento para conversão do flagrante em prisão preventiva.</w:t>
      </w:r>
    </w:p>
    <w:p w14:paraId="06CBE321" w14:textId="77777777" w:rsidR="00E71747" w:rsidRDefault="00E71747" w:rsidP="00E71747">
      <w:pPr>
        <w:pStyle w:val="SemEspaamento"/>
      </w:pPr>
      <w:r>
        <w:t>Quanto aos demais requisitos “</w:t>
      </w:r>
      <w:r w:rsidRPr="00E71747">
        <w:t>assegurar a aplicação da lei penal</w:t>
      </w:r>
      <w:r>
        <w:t>” e “</w:t>
      </w:r>
      <w:r w:rsidRPr="00E71747">
        <w:t>conveniência da instrução</w:t>
      </w:r>
      <w:r>
        <w:t xml:space="preserve">”, constata-se de plano que não se fazem, igualmente, presentes no caso em tela. </w:t>
      </w:r>
    </w:p>
    <w:p w14:paraId="56D50C94" w14:textId="77777777" w:rsidR="00E71747" w:rsidRDefault="00E71747" w:rsidP="00E71747">
      <w:pPr>
        <w:pStyle w:val="SemEspaamento"/>
      </w:pPr>
      <w:r>
        <w:lastRenderedPageBreak/>
        <w:t>A prisão preventiva decretada para “</w:t>
      </w:r>
      <w:r w:rsidRPr="00E71747">
        <w:t>assegurar a aplicação da lei penal</w:t>
      </w:r>
      <w:r>
        <w:t xml:space="preserve">” visa evitar que o acautelado, se solto, venha a fugir ou se ocultar para não responder ao processo. Não há nos autos nenhum elemento concreto que evidencie o risco de fuga, absolutamente nenhum. </w:t>
      </w:r>
    </w:p>
    <w:p w14:paraId="46506E52" w14:textId="77777777" w:rsidR="00E71747" w:rsidRDefault="00E71747" w:rsidP="00E71747">
      <w:pPr>
        <w:pStyle w:val="SemEspaamento"/>
      </w:pPr>
      <w:r>
        <w:t>Ademais esse requisito não pode ser presumido</w:t>
      </w:r>
      <w:r w:rsidRPr="00E71747">
        <w:footnoteReference w:id="1"/>
      </w:r>
      <w:r>
        <w:t>. Para que possa ser usado para lastrear eventual prisão cautelar deve estar devidamente comprovado nos autos o real risco de fuga, o que não ocorre.</w:t>
      </w:r>
    </w:p>
    <w:p w14:paraId="16A5107D" w14:textId="77777777" w:rsidR="00E71747" w:rsidRDefault="00E71747" w:rsidP="00E71747">
      <w:pPr>
        <w:pStyle w:val="SemEspaamento"/>
      </w:pPr>
      <w:r>
        <w:t>Nesse mesmo norte, não há nenhuma prova nos autos de que o acautelado está atrapalhando as investigações, que tenha ocultado provas ou ameaçado testemunhas, razão pela qual também não é possível converter o flagrante em preventiva com base na “</w:t>
      </w:r>
      <w:r w:rsidRPr="00E71747">
        <w:t>conveniência da instrução</w:t>
      </w:r>
      <w:r>
        <w:t>”.</w:t>
      </w:r>
    </w:p>
    <w:p w14:paraId="557656F0" w14:textId="77777777" w:rsidR="00E71747" w:rsidRDefault="00E71747" w:rsidP="00E71747">
      <w:pPr>
        <w:pStyle w:val="SemEspaamento"/>
      </w:pPr>
      <w:r>
        <w:t>Assim como argumentando anteriormente, esse requisito também não pode ser presumido</w:t>
      </w:r>
      <w:r w:rsidRPr="00E71747">
        <w:footnoteReference w:id="2"/>
      </w:r>
      <w:r>
        <w:t xml:space="preserve">, ele só pode ser utilizado quando baseado em elementos concretas presentes nos autos, não sendo novamente esse o caso dos autos. </w:t>
      </w:r>
    </w:p>
    <w:p w14:paraId="37F212A0" w14:textId="77777777" w:rsidR="00E71747" w:rsidRDefault="00E71747" w:rsidP="00E71747">
      <w:pPr>
        <w:pStyle w:val="SemEspaamento"/>
      </w:pPr>
      <w:r>
        <w:t xml:space="preserve">Ante o exposto, fica evidente a total ausência dos requisitos autorizadores da prisão preventiva (art. 312, CPP), sendo o caso de concessão da liberdade provisória com aplicação de medidas cautelares diversas da prisão, caso necessário. </w:t>
      </w:r>
    </w:p>
    <w:p w14:paraId="19F43595" w14:textId="77777777" w:rsidR="008235F0" w:rsidRDefault="008235F0" w:rsidP="002D3115">
      <w:pPr>
        <w:pStyle w:val="SemEspaamento"/>
      </w:pPr>
    </w:p>
    <w:p w14:paraId="6EC53C25" w14:textId="77777777" w:rsidR="00E71747" w:rsidRDefault="00E71747" w:rsidP="002D3115">
      <w:pPr>
        <w:pStyle w:val="SemEspaamento"/>
      </w:pPr>
    </w:p>
    <w:p w14:paraId="0C24E143" w14:textId="77777777" w:rsidR="00E71747" w:rsidRDefault="00E71747" w:rsidP="002D3115">
      <w:pPr>
        <w:pStyle w:val="SemEspaamento"/>
      </w:pPr>
    </w:p>
    <w:p w14:paraId="242ECEBF" w14:textId="77777777" w:rsidR="00B85546" w:rsidRDefault="00B85546" w:rsidP="002D3115">
      <w:pPr>
        <w:pStyle w:val="SemEspaamento"/>
      </w:pPr>
    </w:p>
    <w:p w14:paraId="66F4E6C3" w14:textId="51641848" w:rsidR="00E71747" w:rsidRDefault="00E71747" w:rsidP="00E71747">
      <w:pPr>
        <w:pStyle w:val="Ttulo1"/>
        <w:spacing w:before="0" w:after="0" w:line="240" w:lineRule="auto"/>
      </w:pPr>
      <w:r>
        <w:lastRenderedPageBreak/>
        <w:t xml:space="preserve">SUFICIÊNCIA DE MEDIDAS CAUTELARES DIVERSAS </w:t>
      </w:r>
    </w:p>
    <w:p w14:paraId="5C45A745" w14:textId="48A30E59" w:rsidR="00E71747" w:rsidRPr="00547988" w:rsidRDefault="00E71747" w:rsidP="00E71747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Possibilidade - </w:t>
      </w:r>
      <w:r w:rsidRPr="00E71747">
        <w:rPr>
          <w:rFonts w:ascii="Source Sans Pro" w:hAnsi="Source Sans Pro"/>
          <w:i/>
          <w:iCs/>
          <w:shd w:val="clear" w:color="auto" w:fill="FFFFFF" w:themeFill="background1"/>
        </w:rPr>
        <w:t>STJ AGRG NO HC N. 792.114/SP</w:t>
      </w:r>
    </w:p>
    <w:p w14:paraId="79CC55D7" w14:textId="77777777" w:rsidR="00E71747" w:rsidRPr="00150C5B" w:rsidRDefault="00E71747" w:rsidP="00E71747">
      <w:pPr>
        <w:pStyle w:val="SemEspaamento"/>
      </w:pPr>
      <w:r w:rsidRPr="00150C5B">
        <w:t xml:space="preserve">Na nova ótica do direito processual penal, a prisão cautelar deve ser utilizada como último </w:t>
      </w:r>
      <w:r w:rsidRPr="00E71747">
        <w:t>ratio</w:t>
      </w:r>
      <w:r w:rsidRPr="00150C5B">
        <w:t>, caso a aplicação de medidas cautelares seja insuficiente.</w:t>
      </w:r>
    </w:p>
    <w:p w14:paraId="2F06145D" w14:textId="77777777" w:rsidR="00E71747" w:rsidRPr="00150C5B" w:rsidRDefault="00E71747" w:rsidP="00E71747">
      <w:pPr>
        <w:pStyle w:val="SemEspaamento"/>
      </w:pPr>
      <w:r w:rsidRPr="00150C5B">
        <w:t>No caso em apreço, a aplicaç</w:t>
      </w:r>
      <w:r>
        <w:t>ão</w:t>
      </w:r>
      <w:r w:rsidRPr="00150C5B">
        <w:t xml:space="preserve"> de medidas cautelares seria suficiente ao caso que não denota periculosidade acentuada do requerente</w:t>
      </w:r>
      <w:r>
        <w:t>, tendo em vista a pouca quantidade de droga apreendia e o fato de ser o acautelado primário e de bons antecedentes</w:t>
      </w:r>
      <w:r w:rsidRPr="00150C5B">
        <w:t xml:space="preserve">. </w:t>
      </w:r>
    </w:p>
    <w:p w14:paraId="174805FC" w14:textId="77777777" w:rsidR="00E71747" w:rsidRPr="00150C5B" w:rsidRDefault="00E71747" w:rsidP="00E71747">
      <w:pPr>
        <w:pStyle w:val="SemEspaamento"/>
      </w:pPr>
      <w:r>
        <w:t>Em casos análogos ao presente, e até mesmo em casos que há prova da contumácia no crime de tráfico de drogas, o Superior Tribunal de Justiça tem entendido ser suficiente a aplicação de medidas cautelares diversas da prisão, vejamos</w:t>
      </w:r>
      <w:r w:rsidRPr="00150C5B">
        <w:t>:</w:t>
      </w:r>
    </w:p>
    <w:p w14:paraId="309D411B" w14:textId="7BF6672D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Pr="00E71747">
        <w:rPr>
          <w:color w:val="808080" w:themeColor="background1" w:themeShade="80"/>
        </w:rPr>
        <w:t>AgRg no HC n. 792.114/SP, relator Ministro Ribeiro Dantas, Quinta Turma, julgado em 20/3/2023, DJe de 24/3/2023</w:t>
      </w:r>
      <w:r w:rsidRPr="00580B73">
        <w:rPr>
          <w:color w:val="808080" w:themeColor="background1" w:themeShade="80"/>
        </w:rPr>
        <w:t>.</w:t>
      </w:r>
    </w:p>
    <w:p w14:paraId="1BD77204" w14:textId="3C952300" w:rsidR="00E71747" w:rsidRDefault="00E71747" w:rsidP="00E71747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O decreto cautelar fundou-se no risco concreto de reiteração delitiva, uma vez que o paciente responde a outro processo também pelo delito de tráfico de drogas. Todavia, embora tal circunstância seja elemento válido para se inferir a habitualidade delitiva do agente e, sendo assim, justificar a prisão cautelar com o fim de resguardar a ordem pública, observa-se, in casu, que a conduta a ele atribuída não se revela de maior periculosidade social - apreensão de 163,1g de maconha e R$57,00. 3. Nesse contexto, tem-se como suficiente ao acautelamento do meio social, a substituição da prisão preventiva por </w:t>
      </w:r>
      <w:proofErr w:type="gramStart"/>
      <w:r w:rsidRPr="00E71747">
        <w:rPr>
          <w:i/>
          <w:iCs/>
        </w:rPr>
        <w:t>outra medidas cautelares</w:t>
      </w:r>
      <w:proofErr w:type="gramEnd"/>
      <w:r w:rsidRPr="00E71747">
        <w:rPr>
          <w:i/>
          <w:iCs/>
        </w:rPr>
        <w:t xml:space="preserve"> do art. 319 do CPP, sobretudo quando certificada a primariedade do acusado e a pequena quantidade de entorpecente não variado de menor potencial ofensivo, devendo responder o processo em liberdade</w:t>
      </w:r>
      <w:r>
        <w:rPr>
          <w:i/>
          <w:iCs/>
        </w:rPr>
        <w:t>.</w:t>
      </w:r>
    </w:p>
    <w:p w14:paraId="24391B00" w14:textId="77777777" w:rsidR="00E71747" w:rsidRDefault="00E71747" w:rsidP="00E71747">
      <w:pPr>
        <w:pStyle w:val="SemEspaamento"/>
      </w:pPr>
      <w:r>
        <w:t>Por ser o acautelado primário e de bons antecedentes, com amparo no precedente acima citado, o requerente pleiteia que, caso necessário, a preventiva seja substituição por medidas cautelares diversas da prisão</w:t>
      </w:r>
      <w:r w:rsidRPr="00150C5B">
        <w:t>.</w:t>
      </w:r>
    </w:p>
    <w:p w14:paraId="2ACC8288" w14:textId="77777777" w:rsidR="00E71747" w:rsidRDefault="00E71747" w:rsidP="00E71747">
      <w:pPr>
        <w:pStyle w:val="SemEspaamento"/>
      </w:pPr>
    </w:p>
    <w:p w14:paraId="01F40859" w14:textId="433C0932" w:rsidR="00E71747" w:rsidRDefault="00E71747" w:rsidP="00E71747">
      <w:pPr>
        <w:pStyle w:val="Ttulo1"/>
        <w:spacing w:before="0" w:after="0" w:line="240" w:lineRule="auto"/>
      </w:pPr>
      <w:r w:rsidRPr="00E71747">
        <w:lastRenderedPageBreak/>
        <w:t>NECESSIDADE DE DISTINGUISHING</w:t>
      </w:r>
    </w:p>
    <w:p w14:paraId="09F0FE06" w14:textId="15E392FA" w:rsidR="00E71747" w:rsidRPr="00547988" w:rsidRDefault="00E71747" w:rsidP="00E71747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Teses apresentadas que se adequam ao entendimento do STJ</w:t>
      </w:r>
    </w:p>
    <w:p w14:paraId="2E495968" w14:textId="16678F92" w:rsidR="00E71747" w:rsidRPr="00150C5B" w:rsidRDefault="00E71747" w:rsidP="00E71747">
      <w:pPr>
        <w:pStyle w:val="SemEspaamento"/>
      </w:pPr>
      <w:r w:rsidRPr="00150C5B">
        <w:t>O patrono do requerente apresent</w:t>
      </w:r>
      <w:r>
        <w:t>ou</w:t>
      </w:r>
      <w:r w:rsidRPr="00150C5B">
        <w:t xml:space="preserve"> julgados e decisões dos tribunais superiores para corroborar as teses defensivas lançadas na presente peça.</w:t>
      </w:r>
    </w:p>
    <w:p w14:paraId="4EF7A992" w14:textId="77777777" w:rsidR="00E71747" w:rsidRPr="00150C5B" w:rsidRDefault="00E71747" w:rsidP="00E71747">
      <w:pPr>
        <w:pStyle w:val="SemEspaamento"/>
      </w:pPr>
      <w:r w:rsidRPr="00150C5B">
        <w:t xml:space="preserve">Em todas há similitude fática e jurídica com o caso em apreço. Contudo, caso o juízo entenda de maneira diversa, </w:t>
      </w:r>
      <w:r>
        <w:t>requer que elucide na decisão a ser proferida</w:t>
      </w:r>
      <w:r w:rsidRPr="00150C5B">
        <w:t xml:space="preserve"> a diferença entre o presente caso e o</w:t>
      </w:r>
      <w:r>
        <w:t>s</w:t>
      </w:r>
      <w:r w:rsidRPr="00150C5B">
        <w:t xml:space="preserve"> precedente</w:t>
      </w:r>
      <w:r>
        <w:t>s</w:t>
      </w:r>
      <w:r w:rsidRPr="00150C5B">
        <w:t xml:space="preserve"> </w:t>
      </w:r>
      <w:r>
        <w:t>apontados na peça</w:t>
      </w:r>
      <w:r w:rsidRPr="00150C5B">
        <w:t xml:space="preserve">, bem como </w:t>
      </w:r>
      <w:r>
        <w:t xml:space="preserve">que </w:t>
      </w:r>
      <w:r w:rsidRPr="00150C5B">
        <w:t xml:space="preserve">demonstre o motivo pela qual aquele entendimento não se aplica ao presente caso. </w:t>
      </w:r>
    </w:p>
    <w:p w14:paraId="0E312820" w14:textId="59B7F484" w:rsidR="00E71747" w:rsidRDefault="00E71747" w:rsidP="00E71747">
      <w:pPr>
        <w:pStyle w:val="SemEspaamento"/>
      </w:pPr>
      <w:r w:rsidRPr="00150C5B">
        <w:t>Deve ser ressaltado que eventual decisão que não faça essa distinção não poderá ser considerada como suficientemente fundamentada nos termos do art. 315, §2º, VI, gerando vício insuperável.</w:t>
      </w:r>
    </w:p>
    <w:p w14:paraId="5F83F483" w14:textId="6AF2DF27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>
        <w:rPr>
          <w:b/>
          <w:bCs/>
          <w:sz w:val="36"/>
          <w:szCs w:val="36"/>
        </w:rPr>
        <w:t>CPP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>
        <w:rPr>
          <w:color w:val="808080" w:themeColor="background1" w:themeShade="80"/>
        </w:rPr>
        <w:t>art. 315, §2º, VI</w:t>
      </w:r>
      <w:r w:rsidRPr="00580B73">
        <w:rPr>
          <w:color w:val="808080" w:themeColor="background1" w:themeShade="80"/>
        </w:rPr>
        <w:t>.</w:t>
      </w:r>
    </w:p>
    <w:p w14:paraId="74366636" w14:textId="77777777" w:rsidR="00E71747" w:rsidRP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Art. 315. A decisão que decretar, substituir ou denegar a prisão preventiva será sempre motivada e fundamentada.</w:t>
      </w:r>
    </w:p>
    <w:p w14:paraId="63E85D77" w14:textId="77777777" w:rsid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65FC1230" w14:textId="065AC947" w:rsidR="00E71747" w:rsidRP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§ 2º Não se considera fundamentada qualquer decisão judicial, seja ela interlocutória, sentença ou acórdão, que:</w:t>
      </w:r>
    </w:p>
    <w:p w14:paraId="68458E4C" w14:textId="77777777" w:rsid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4EE5C358" w14:textId="645692AB" w:rsid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VI - </w:t>
      </w:r>
      <w:proofErr w:type="gramStart"/>
      <w:r w:rsidRPr="00E71747">
        <w:rPr>
          <w:i/>
          <w:iCs/>
        </w:rPr>
        <w:t>deixar</w:t>
      </w:r>
      <w:proofErr w:type="gramEnd"/>
      <w:r w:rsidRPr="00E71747">
        <w:rPr>
          <w:i/>
          <w:iCs/>
        </w:rPr>
        <w:t xml:space="preserve"> de seguir enunciado de súmula, jurisprudência ou precedente invocado pela parte, sem demonstrar a existência de distinção no caso em julgamento ou a superação do entendimento.</w:t>
      </w:r>
    </w:p>
    <w:p w14:paraId="2887C2E0" w14:textId="77777777" w:rsidR="00D135C4" w:rsidRDefault="00D135C4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3479B0F5" w14:textId="77777777" w:rsidR="00D135C4" w:rsidRPr="00E71747" w:rsidRDefault="00D135C4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14990C4F" w14:textId="47E7B59C" w:rsidR="00D135C4" w:rsidRDefault="00D135C4" w:rsidP="00D135C4">
      <w:pPr>
        <w:pStyle w:val="Ttulo1"/>
        <w:spacing w:before="0" w:after="0" w:line="240" w:lineRule="auto"/>
      </w:pPr>
      <w:r>
        <w:t>COMPROVANTE DE RESIDÊNCIA E RENDA LÍCITA</w:t>
      </w:r>
    </w:p>
    <w:p w14:paraId="4E79FA41" w14:textId="09990905" w:rsidR="00D135C4" w:rsidRPr="00547988" w:rsidRDefault="00D135C4" w:rsidP="00D135C4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Condições pessoais favoráveis</w:t>
      </w:r>
    </w:p>
    <w:p w14:paraId="13BB312C" w14:textId="77777777" w:rsidR="00D135C4" w:rsidRPr="00150C5B" w:rsidRDefault="00D135C4" w:rsidP="00D135C4">
      <w:pPr>
        <w:pStyle w:val="SemEspaamento"/>
      </w:pPr>
      <w:r w:rsidRPr="00150C5B">
        <w:t>Conforme os documentos acostados nos autos, o requerente é aposentado, ou seja, tem como prover a própria subsistência além de ter residência fixa.</w:t>
      </w:r>
    </w:p>
    <w:p w14:paraId="38827B5C" w14:textId="0F5A219B" w:rsidR="00D135C4" w:rsidRPr="00150C5B" w:rsidRDefault="00D135C4" w:rsidP="00D135C4">
      <w:pPr>
        <w:pStyle w:val="SemEspaamento"/>
      </w:pPr>
      <w:r w:rsidRPr="00150C5B">
        <w:t xml:space="preserve">Sabe-se que o emprego lícito e a residência fixa de per si não são requisitos que, de maneira automática, conduzem a liberdade do acutelado, contudo, esses fatos aliados a situação em que se deu o flagrante e a ausência dos demais requisitos para preventiva conduzem naturalmente a necessidade de concessão de liberdade </w:t>
      </w:r>
      <w:r w:rsidRPr="00150C5B">
        <w:lastRenderedPageBreak/>
        <w:t xml:space="preserve">provisória sem fiança, com a aplicação de medidas cautelares </w:t>
      </w:r>
      <w:r>
        <w:t xml:space="preserve">diversas </w:t>
      </w:r>
      <w:r w:rsidRPr="00150C5B">
        <w:t>da prisão, caso necessário.</w:t>
      </w:r>
    </w:p>
    <w:p w14:paraId="73CCA11C" w14:textId="77777777" w:rsidR="00B85546" w:rsidRDefault="00B85546" w:rsidP="002D3115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CEEED79" w14:textId="127D81A7" w:rsidR="008235F0" w:rsidRPr="008235F0" w:rsidRDefault="008235F0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Diante de todo o exposto, restando ausentes os requisitos autorizadores da prisão preventiva, nos termos do artigo 312 do Código de Processo Penal, e diante da suficiência de aplicação de medidas cautelares diversas da prisão, </w:t>
      </w:r>
      <w:r w:rsidRPr="008235F0">
        <w:rPr>
          <w:rFonts w:ascii="Source Serif Pro" w:hAnsi="Source Serif Pro"/>
          <w:b/>
          <w:bCs/>
        </w:rPr>
        <w:t>requer a Vossa Excelência</w:t>
      </w:r>
      <w:r w:rsidRPr="008235F0">
        <w:rPr>
          <w:rFonts w:ascii="Source Serif Pro" w:hAnsi="Source Serif Pro"/>
        </w:rPr>
        <w:t>:</w:t>
      </w:r>
    </w:p>
    <w:p w14:paraId="55192DF9" w14:textId="34846F01" w:rsidR="008235F0" w:rsidRP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Que se digne </w:t>
      </w:r>
      <w:r w:rsidRPr="008235F0">
        <w:rPr>
          <w:rFonts w:ascii="Source Serif Pro" w:hAnsi="Source Serif Pro"/>
          <w:b/>
          <w:bCs/>
        </w:rPr>
        <w:t>conceder a liberdade provisória</w:t>
      </w:r>
      <w:r w:rsidRPr="008235F0">
        <w:rPr>
          <w:rFonts w:ascii="Source Serif Pro" w:hAnsi="Source Serif Pro"/>
        </w:rPr>
        <w:t xml:space="preserve"> ao requerente, nos termos do artigo 310, inciso III, e artigo 321, ambos do Código de Processo Penal;</w:t>
      </w:r>
    </w:p>
    <w:p w14:paraId="42057C54" w14:textId="47E01930" w:rsid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Subsidiariamente, caso Vossa Excelência entenda necessário, requer seja o requerente submetido a </w:t>
      </w:r>
      <w:r w:rsidRPr="008235F0">
        <w:rPr>
          <w:rFonts w:ascii="Source Serif Pro" w:hAnsi="Source Serif Pro"/>
          <w:b/>
          <w:bCs/>
        </w:rPr>
        <w:t>medidas cautelares diversas da prisão</w:t>
      </w:r>
      <w:r w:rsidRPr="008235F0">
        <w:rPr>
          <w:rFonts w:ascii="Source Serif Pro" w:hAnsi="Source Serif Pro"/>
        </w:rPr>
        <w:t>, previstas no artigo 319 do Código de Processo Penal</w:t>
      </w:r>
      <w:r>
        <w:rPr>
          <w:rFonts w:ascii="Source Serif Pro" w:hAnsi="Source Serif Pro"/>
        </w:rPr>
        <w:t>;</w:t>
      </w:r>
    </w:p>
    <w:p w14:paraId="764CD43A" w14:textId="6DF0E8D8" w:rsidR="008235F0" w:rsidRP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Requer, ainda, a </w:t>
      </w:r>
      <w:r w:rsidRPr="008235F0">
        <w:rPr>
          <w:rFonts w:ascii="Source Serif Pro" w:hAnsi="Source Serif Pro"/>
          <w:b/>
          <w:bCs/>
        </w:rPr>
        <w:t>juntada dos documentos</w:t>
      </w:r>
      <w:r w:rsidRPr="008235F0">
        <w:rPr>
          <w:rFonts w:ascii="Source Serif Pro" w:hAnsi="Source Serif Pro"/>
        </w:rPr>
        <w:t xml:space="preserve"> que instruem este pedido, os quais comprovam a primariedade do requerente, sua residência fixa e vínculo com trabalho lícito, reforçando sua adequação às medidas cautelares alternativas.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481C3745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963BCB">
        <w:rPr>
          <w:rFonts w:ascii="Source Serif Pro" w:hAnsi="Source Serif Pro"/>
          <w:noProof/>
        </w:rPr>
        <w:t>19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3BBA0EDB" w14:textId="7777777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9710C" w14:textId="77777777" w:rsidR="00C26B4A" w:rsidRDefault="00C26B4A" w:rsidP="00BA1F94">
      <w:pPr>
        <w:spacing w:after="0" w:line="240" w:lineRule="auto"/>
      </w:pPr>
      <w:r>
        <w:separator/>
      </w:r>
    </w:p>
  </w:endnote>
  <w:endnote w:type="continuationSeparator" w:id="0">
    <w:p w14:paraId="70D570C8" w14:textId="77777777" w:rsidR="00C26B4A" w:rsidRDefault="00C26B4A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0E18" w14:textId="77777777" w:rsidR="00C26B4A" w:rsidRDefault="00C26B4A" w:rsidP="00BA1F94">
      <w:pPr>
        <w:spacing w:after="0" w:line="240" w:lineRule="auto"/>
      </w:pPr>
      <w:r>
        <w:separator/>
      </w:r>
    </w:p>
  </w:footnote>
  <w:footnote w:type="continuationSeparator" w:id="0">
    <w:p w14:paraId="4E4C1BB9" w14:textId="77777777" w:rsidR="00C26B4A" w:rsidRDefault="00C26B4A" w:rsidP="00BA1F94">
      <w:pPr>
        <w:spacing w:after="0" w:line="240" w:lineRule="auto"/>
      </w:pPr>
      <w:r>
        <w:continuationSeparator/>
      </w:r>
    </w:p>
  </w:footnote>
  <w:footnote w:id="1">
    <w:p w14:paraId="5CC14B01" w14:textId="77777777" w:rsidR="00E71747" w:rsidRDefault="00E71747" w:rsidP="00E71747">
      <w:pPr>
        <w:pStyle w:val="Textodenotaderodap"/>
        <w:jc w:val="both"/>
        <w:rPr>
          <w:rFonts w:ascii="Nunito" w:hAnsi="Nunito"/>
        </w:rPr>
      </w:pPr>
      <w:r w:rsidRPr="00060B9C">
        <w:rPr>
          <w:rStyle w:val="Refdenotaderodap"/>
          <w:rFonts w:ascii="Nunito" w:hAnsi="Nunito"/>
        </w:rPr>
        <w:footnoteRef/>
      </w:r>
      <w:r w:rsidRPr="00060B9C">
        <w:rPr>
          <w:rFonts w:ascii="Nunito" w:hAnsi="Nunito"/>
        </w:rPr>
        <w:t xml:space="preserve"> 2. É inidônea a fundamentação da custódia cautelar lastreada na presunção genérica de que há o risco de fuga do réu, se dissociada de elemento individualizado que indique tentativa de se esquivar de eventual responsabilização penal. (RHC n. 129.193/PA, relator Ministro Rogerio Schietti Cruz, Sexta Turma, julgado em 22/9/2020, DJe de 29/9/2020.)</w:t>
      </w:r>
    </w:p>
    <w:p w14:paraId="7E675F1E" w14:textId="77777777" w:rsidR="00E71747" w:rsidRPr="00060B9C" w:rsidRDefault="00E71747" w:rsidP="00E71747">
      <w:pPr>
        <w:pStyle w:val="Textodenotaderodap"/>
        <w:jc w:val="both"/>
        <w:rPr>
          <w:rFonts w:ascii="Nunito" w:hAnsi="Nunito"/>
        </w:rPr>
      </w:pPr>
    </w:p>
  </w:footnote>
  <w:footnote w:id="2">
    <w:p w14:paraId="5EB90878" w14:textId="77777777" w:rsidR="00E71747" w:rsidRPr="00060B9C" w:rsidRDefault="00E71747" w:rsidP="00E71747">
      <w:pPr>
        <w:pStyle w:val="Textodenotaderodap"/>
        <w:jc w:val="both"/>
        <w:rPr>
          <w:rFonts w:ascii="Nunito" w:hAnsi="Nunito"/>
        </w:rPr>
      </w:pPr>
      <w:r w:rsidRPr="00060B9C">
        <w:rPr>
          <w:rStyle w:val="Refdenotaderodap"/>
          <w:rFonts w:ascii="Nunito" w:hAnsi="Nunito"/>
        </w:rPr>
        <w:footnoteRef/>
      </w:r>
      <w:r w:rsidRPr="00060B9C">
        <w:rPr>
          <w:rFonts w:ascii="Nunito" w:hAnsi="Nunito"/>
        </w:rPr>
        <w:t xml:space="preserve"> Outrossim, o fundamento de conveniência da instrução criminal, pelo temor das vítimas sofrerem represálias caso prestem depoimento, desassociado de notícia de ameaças a vítimas ou testemunhas, não é valido</w:t>
      </w:r>
      <w:r>
        <w:rPr>
          <w:rFonts w:ascii="Nunito" w:hAnsi="Nunito"/>
        </w:rPr>
        <w:t xml:space="preserve">. </w:t>
      </w:r>
      <w:r w:rsidRPr="00060B9C">
        <w:rPr>
          <w:rFonts w:ascii="Nunito" w:hAnsi="Nunito"/>
        </w:rPr>
        <w:t>(HC n. 677.634/MG, relator Ministro Sebastião Reis Júnior, Sexta Turma, julgado em 16/11/2021, DJe de 19/11/2021.)</w:t>
      </w:r>
      <w:r>
        <w:rPr>
          <w:rFonts w:ascii="Nunito" w:hAnsi="Nunito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44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3674B"/>
    <w:multiLevelType w:val="hybridMultilevel"/>
    <w:tmpl w:val="969AFB8A"/>
    <w:lvl w:ilvl="0" w:tplc="8C7E21E6">
      <w:start w:val="1"/>
      <w:numFmt w:val="decimal"/>
      <w:pStyle w:val="2Versalete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05" w:hanging="360"/>
      </w:pPr>
    </w:lvl>
    <w:lvl w:ilvl="2" w:tplc="0416001B" w:tentative="1">
      <w:start w:val="1"/>
      <w:numFmt w:val="lowerRoman"/>
      <w:lvlText w:val="%3."/>
      <w:lvlJc w:val="right"/>
      <w:pPr>
        <w:ind w:left="2625" w:hanging="180"/>
      </w:pPr>
    </w:lvl>
    <w:lvl w:ilvl="3" w:tplc="0416000F" w:tentative="1">
      <w:start w:val="1"/>
      <w:numFmt w:val="decimal"/>
      <w:lvlText w:val="%4."/>
      <w:lvlJc w:val="left"/>
      <w:pPr>
        <w:ind w:left="3345" w:hanging="360"/>
      </w:pPr>
    </w:lvl>
    <w:lvl w:ilvl="4" w:tplc="04160019" w:tentative="1">
      <w:start w:val="1"/>
      <w:numFmt w:val="lowerLetter"/>
      <w:lvlText w:val="%5."/>
      <w:lvlJc w:val="left"/>
      <w:pPr>
        <w:ind w:left="4065" w:hanging="360"/>
      </w:pPr>
    </w:lvl>
    <w:lvl w:ilvl="5" w:tplc="0416001B" w:tentative="1">
      <w:start w:val="1"/>
      <w:numFmt w:val="lowerRoman"/>
      <w:lvlText w:val="%6."/>
      <w:lvlJc w:val="right"/>
      <w:pPr>
        <w:ind w:left="4785" w:hanging="180"/>
      </w:pPr>
    </w:lvl>
    <w:lvl w:ilvl="6" w:tplc="0416000F" w:tentative="1">
      <w:start w:val="1"/>
      <w:numFmt w:val="decimal"/>
      <w:lvlText w:val="%7."/>
      <w:lvlJc w:val="left"/>
      <w:pPr>
        <w:ind w:left="5505" w:hanging="360"/>
      </w:pPr>
    </w:lvl>
    <w:lvl w:ilvl="7" w:tplc="04160019" w:tentative="1">
      <w:start w:val="1"/>
      <w:numFmt w:val="lowerLetter"/>
      <w:lvlText w:val="%8."/>
      <w:lvlJc w:val="left"/>
      <w:pPr>
        <w:ind w:left="6225" w:hanging="360"/>
      </w:pPr>
    </w:lvl>
    <w:lvl w:ilvl="8" w:tplc="0416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4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9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0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3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6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4"/>
  </w:num>
  <w:num w:numId="15" w16cid:durableId="189689990">
    <w:abstractNumId w:val="20"/>
  </w:num>
  <w:num w:numId="16" w16cid:durableId="106320463">
    <w:abstractNumId w:val="22"/>
  </w:num>
  <w:num w:numId="17" w16cid:durableId="757795001">
    <w:abstractNumId w:val="5"/>
  </w:num>
  <w:num w:numId="18" w16cid:durableId="507915239">
    <w:abstractNumId w:val="21"/>
  </w:num>
  <w:num w:numId="19" w16cid:durableId="985084700">
    <w:abstractNumId w:val="19"/>
  </w:num>
  <w:num w:numId="20" w16cid:durableId="700283364">
    <w:abstractNumId w:val="17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8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4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3"/>
  </w:num>
  <w:num w:numId="31" w16cid:durableId="939022436">
    <w:abstractNumId w:val="15"/>
  </w:num>
  <w:num w:numId="32" w16cid:durableId="2312381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911F8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2F00FD"/>
    <w:rsid w:val="00307183"/>
    <w:rsid w:val="00335715"/>
    <w:rsid w:val="0035269F"/>
    <w:rsid w:val="003602F7"/>
    <w:rsid w:val="0037222E"/>
    <w:rsid w:val="00374CCE"/>
    <w:rsid w:val="003A76A4"/>
    <w:rsid w:val="003A7CB9"/>
    <w:rsid w:val="00421C44"/>
    <w:rsid w:val="00462A1D"/>
    <w:rsid w:val="00466093"/>
    <w:rsid w:val="00473494"/>
    <w:rsid w:val="004A1397"/>
    <w:rsid w:val="004B23AC"/>
    <w:rsid w:val="004C2B0E"/>
    <w:rsid w:val="004F6860"/>
    <w:rsid w:val="00510D1D"/>
    <w:rsid w:val="00547988"/>
    <w:rsid w:val="0056423A"/>
    <w:rsid w:val="005702CF"/>
    <w:rsid w:val="00575469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235F0"/>
    <w:rsid w:val="008B03CF"/>
    <w:rsid w:val="00902436"/>
    <w:rsid w:val="00915234"/>
    <w:rsid w:val="00963BCB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13094"/>
    <w:rsid w:val="00C26B4A"/>
    <w:rsid w:val="00C56908"/>
    <w:rsid w:val="00C86BDE"/>
    <w:rsid w:val="00C925C7"/>
    <w:rsid w:val="00C9595C"/>
    <w:rsid w:val="00CA2809"/>
    <w:rsid w:val="00CC1890"/>
    <w:rsid w:val="00D135C4"/>
    <w:rsid w:val="00D14593"/>
    <w:rsid w:val="00D934F0"/>
    <w:rsid w:val="00DB7797"/>
    <w:rsid w:val="00E260D2"/>
    <w:rsid w:val="00E71747"/>
    <w:rsid w:val="00ED0C3A"/>
    <w:rsid w:val="00EE0ABC"/>
    <w:rsid w:val="00F10092"/>
    <w:rsid w:val="00F37C97"/>
    <w:rsid w:val="00F53D0B"/>
    <w:rsid w:val="00F822EE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5C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  <w:style w:type="paragraph" w:customStyle="1" w:styleId="2Versalete">
    <w:name w:val="2. Versalete"/>
    <w:basedOn w:val="Corpodetexto"/>
    <w:link w:val="2VersaleteChar"/>
    <w:qFormat/>
    <w:rsid w:val="00E71747"/>
    <w:pPr>
      <w:numPr>
        <w:numId w:val="32"/>
      </w:numPr>
      <w:tabs>
        <w:tab w:val="left" w:pos="1134"/>
      </w:tabs>
      <w:spacing w:line="360" w:lineRule="auto"/>
      <w:ind w:right="117"/>
      <w:jc w:val="both"/>
    </w:pPr>
    <w:rPr>
      <w:rFonts w:ascii="Nunito" w:hAnsi="Nunito"/>
    </w:rPr>
  </w:style>
  <w:style w:type="character" w:customStyle="1" w:styleId="2VersaleteChar">
    <w:name w:val="2. Versalete Char"/>
    <w:basedOn w:val="Fontepargpadro"/>
    <w:link w:val="2Versalete"/>
    <w:rsid w:val="00E71747"/>
    <w:rPr>
      <w:rFonts w:ascii="Nunito" w:eastAsia="Calibri" w:hAnsi="Nunito" w:cs="Calibri"/>
      <w:kern w:val="0"/>
      <w:lang w:val="pt-PT" w:eastAsia="pt-PT" w:bidi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E7174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pt-PT" w:bidi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E71747"/>
    <w:rPr>
      <w:rFonts w:ascii="Calibri" w:eastAsia="Calibri" w:hAnsi="Calibri" w:cs="Calibri"/>
      <w:kern w:val="0"/>
      <w:lang w:val="pt-PT" w:eastAsia="pt-PT" w:bidi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1611</Words>
  <Characters>8927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5</cp:revision>
  <cp:lastPrinted>2025-10-14T13:26:00Z</cp:lastPrinted>
  <dcterms:created xsi:type="dcterms:W3CDTF">2025-11-17T20:57:00Z</dcterms:created>
  <dcterms:modified xsi:type="dcterms:W3CDTF">2025-11-19T21:21:00Z</dcterms:modified>
</cp:coreProperties>
</file>