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B469538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6D36FD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00B26AA1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>apresentar pedido de</w:t>
      </w:r>
    </w:p>
    <w:p w14:paraId="2CD2B9C5" w14:textId="10561146" w:rsidR="00B57D96" w:rsidRPr="007A0B17" w:rsidRDefault="00763304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 w:rsidRPr="00763304">
        <w:rPr>
          <w:rFonts w:ascii="Georgia" w:hAnsi="Georgia"/>
          <w:b/>
          <w:bCs/>
          <w:sz w:val="32"/>
          <w:szCs w:val="32"/>
        </w:rPr>
        <w:t>RELAXAMENTO DE PRISÃO</w:t>
      </w:r>
    </w:p>
    <w:p w14:paraId="46AE4AF2" w14:textId="3F6B3B8A" w:rsidR="00EE0ABC" w:rsidRDefault="00763304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763304">
        <w:rPr>
          <w:rFonts w:ascii="Source Serif Pro" w:hAnsi="Source Serif Pro"/>
        </w:rPr>
        <w:t>com fulcro no artigo LXV da Constituição Federal e artigo 310, I do Código de Processo Penal, pelas razões de fato 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59C2C5DC" w14:textId="77777777" w:rsidR="00B85546" w:rsidRDefault="00B85546" w:rsidP="00B85546">
      <w:pPr>
        <w:pStyle w:val="SemEspaamento"/>
      </w:pPr>
      <w:r>
        <w:t>O requerente foi preso em flagrante no dia [inserir data da prisão], sob a imputação da suposta prática do crime previsto no artigo [inserir artigo e tipo penal imputado], conforme descrito no Auto de Prisão em Flagrante lavrado pela autoridade policial e encaminhado a este juízo. Desde então, encontra-se recolhido no [inserir nome da unidade prisional], à disposição da Justiça.</w:t>
      </w:r>
    </w:p>
    <w:p w14:paraId="025C3398" w14:textId="360F2885" w:rsidR="002D3115" w:rsidRDefault="00F3233A" w:rsidP="00B85546">
      <w:pPr>
        <w:pStyle w:val="SemEspaamento"/>
      </w:pPr>
      <w:r>
        <w:t>Constata-se de forma límpida a ilegalidade do flagrante, haja vista a ausência de fundadas suspeitas para validar a invasão que ocorreu no imóvel do acautelado sem que ele tivesse autorizado o ingresso forçado</w:t>
      </w:r>
      <w:r w:rsidR="00B85546">
        <w:t>.</w:t>
      </w:r>
    </w:p>
    <w:p w14:paraId="4E142076" w14:textId="7D194A89" w:rsidR="00F3233A" w:rsidRDefault="00F3233A" w:rsidP="00B85546">
      <w:pPr>
        <w:pStyle w:val="SemEspaamento"/>
      </w:pPr>
      <w:r>
        <w:t xml:space="preserve">Da análise do auto de prisão em flagrante é latente a ilegalidade do flagrante que precisa ser imediatamente relaxado, como medida de inteira justiça. O requerente passa a expor os fundamentos e motivos pela qual o flagrante é ilegal e, portanto, deve ser imediatamente relaxado. </w:t>
      </w:r>
    </w:p>
    <w:p w14:paraId="07C54B37" w14:textId="77777777" w:rsidR="00F3233A" w:rsidRDefault="00F3233A" w:rsidP="00B85546">
      <w:pPr>
        <w:pStyle w:val="SemEspaamento"/>
      </w:pPr>
    </w:p>
    <w:p w14:paraId="5087947A" w14:textId="1302BD46" w:rsidR="002D3115" w:rsidRDefault="00045565" w:rsidP="002D3115">
      <w:pPr>
        <w:pStyle w:val="Ttulo1"/>
        <w:spacing w:before="0" w:after="0" w:line="240" w:lineRule="auto"/>
      </w:pPr>
      <w:r>
        <w:lastRenderedPageBreak/>
        <w:t xml:space="preserve">AUSÊNCIA </w:t>
      </w:r>
      <w:bookmarkStart w:id="0" w:name="_Hlk214785680"/>
      <w:r w:rsidR="00552F50">
        <w:t>DE FUNDADAS RAZÕES</w:t>
      </w:r>
      <w:bookmarkEnd w:id="0"/>
      <w:r>
        <w:t xml:space="preserve"> </w:t>
      </w:r>
    </w:p>
    <w:p w14:paraId="7C57FDD5" w14:textId="0BEB8A52" w:rsidR="002D3115" w:rsidRPr="00547988" w:rsidRDefault="00724E8D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bookmarkStart w:id="1" w:name="_Hlk214785688"/>
      <w:r>
        <w:rPr>
          <w:rFonts w:ascii="Source Sans Pro" w:hAnsi="Source Sans Pro"/>
          <w:i/>
          <w:iCs/>
          <w:shd w:val="clear" w:color="auto" w:fill="FFFFFF" w:themeFill="background1"/>
        </w:rPr>
        <w:t>Afronta ao entendimento consolidado pelo STJ</w:t>
      </w:r>
      <w:bookmarkEnd w:id="1"/>
    </w:p>
    <w:p w14:paraId="121B2F54" w14:textId="77777777" w:rsidR="000C4E59" w:rsidRDefault="000C4E59" w:rsidP="000C4E59">
      <w:pPr>
        <w:pStyle w:val="SemEspaamento"/>
      </w:pPr>
      <w:r w:rsidRPr="000C4E59">
        <w:t>No caso em exame, a abordagem e a subsequente busca pessoal realizada em face do requerente mostram-se manifestamente ilegais, por absoluta ausência de fundadas suspeitas prévias à diligência. O art. 244 do Código de Processo Penal é expresso ao condicionar a busca pessoal, sem mandado judicial, à existência de fundada suspeita de que a pessoa esteja na posse de arma proibida, objetos ou papéis que constituam corpo de delito, ou à sua determinação no curso de busca domiciliar. Não se trata, portanto, de autorização genérica para revistas aleatórias, mas de medida excepcional, vinculada a requisitos objetivos.</w:t>
      </w:r>
    </w:p>
    <w:p w14:paraId="359290C2" w14:textId="34556B83" w:rsidR="000C4E59" w:rsidRDefault="000C4E59" w:rsidP="000C4E59">
      <w:pPr>
        <w:pStyle w:val="SemEspaamento"/>
      </w:pPr>
      <w:r>
        <w:t>Os policiais responsáveis pela abordagem e prisão em flagrante foram categóricos em afirmar que a abordagem se deu a partir de uma informação repassada pelo setor de inteligência:</w:t>
      </w:r>
    </w:p>
    <w:p w14:paraId="03BF4C88" w14:textId="77777777" w:rsidR="000C4E59" w:rsidRPr="00552F50" w:rsidRDefault="000C4E59" w:rsidP="000C4E59">
      <w:pPr>
        <w:pStyle w:val="SemEspaamento"/>
        <w:jc w:val="center"/>
      </w:pPr>
      <w:bookmarkStart w:id="2" w:name="_Hlk214785712"/>
      <w:r w:rsidRPr="00552F50">
        <w:rPr>
          <w:highlight w:val="yellow"/>
        </w:rPr>
        <w:t>COLAR O DEPOIMENTO DO CONDUTOR</w:t>
      </w:r>
    </w:p>
    <w:bookmarkEnd w:id="2"/>
    <w:p w14:paraId="37F373D8" w14:textId="68E51F1C" w:rsidR="000C4E59" w:rsidRDefault="000C4E59" w:rsidP="000C4E59">
      <w:pPr>
        <w:pStyle w:val="SemEspaamento"/>
      </w:pPr>
      <w:r w:rsidRPr="000C4E59">
        <w:t>A jurisprudência do Superior Tribunal de Justiça</w:t>
      </w:r>
      <w:r>
        <w:t xml:space="preserve"> tem posição firme no sentido de que informações vagas, como a do presente caso, não são suficientes para validar a abordagem pessoal</w:t>
      </w:r>
      <w:r w:rsidRPr="000C4E59">
        <w:t>.</w:t>
      </w:r>
    </w:p>
    <w:p w14:paraId="7D1BA584" w14:textId="5E300E91" w:rsidR="000C4E59" w:rsidRDefault="000C4E59" w:rsidP="000C4E59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3" w:name="_Hlk214785732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0C4E59">
        <w:rPr>
          <w:color w:val="808080" w:themeColor="background1" w:themeShade="80"/>
        </w:rPr>
        <w:t>AgRg</w:t>
      </w:r>
      <w:proofErr w:type="spellEnd"/>
      <w:r w:rsidRPr="000C4E59">
        <w:rPr>
          <w:color w:val="808080" w:themeColor="background1" w:themeShade="80"/>
        </w:rPr>
        <w:t xml:space="preserve"> no HC n. 930.712/AL, rel. Min. Rogerio </w:t>
      </w:r>
      <w:proofErr w:type="spellStart"/>
      <w:r w:rsidRPr="000C4E59">
        <w:rPr>
          <w:color w:val="808080" w:themeColor="background1" w:themeShade="80"/>
        </w:rPr>
        <w:t>Schietti</w:t>
      </w:r>
      <w:proofErr w:type="spellEnd"/>
      <w:r w:rsidRPr="000C4E59">
        <w:rPr>
          <w:color w:val="808080" w:themeColor="background1" w:themeShade="80"/>
        </w:rPr>
        <w:t xml:space="preserve"> Cruz, Sexta Turma, j. 27/8/2025</w:t>
      </w:r>
      <w:r w:rsidRPr="00580B73">
        <w:rPr>
          <w:color w:val="808080" w:themeColor="background1" w:themeShade="80"/>
        </w:rPr>
        <w:t>.</w:t>
      </w:r>
    </w:p>
    <w:p w14:paraId="28A9A12E" w14:textId="77777777" w:rsidR="000C4E59" w:rsidRDefault="000C4E59" w:rsidP="000C4E59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0C4E59">
        <w:rPr>
          <w:i/>
          <w:iCs/>
        </w:rPr>
        <w:t>a busca pessoal e veicular sem mandado judicial exige fundada suspeita, baseada em elementos objetivos e concretos, não sendo suficiente a mera informação vaga de fonte de inteligência</w:t>
      </w:r>
      <w:bookmarkEnd w:id="3"/>
      <w:r>
        <w:rPr>
          <w:i/>
          <w:iCs/>
        </w:rPr>
        <w:t>.</w:t>
      </w:r>
    </w:p>
    <w:p w14:paraId="11B00681" w14:textId="77777777" w:rsidR="000C4E59" w:rsidRPr="000C4E59" w:rsidRDefault="000C4E59" w:rsidP="000C4E59">
      <w:pPr>
        <w:pStyle w:val="SemEspaamento"/>
      </w:pPr>
      <w:r w:rsidRPr="000C4E59">
        <w:t>O padrão de “fundada suspeita”, interpretado de forma conforme a Constituição, exige que o agente estatal disponha, antes da intervenção, de elementos concretos e verificáveis, relacionados à pessoa específica abordada, capazes de indicar, de maneira razoável, que ela porta instrumento ou objeto ligado à prática delitiva. Simples boatos, denúncias genéricas, listas de supostos envolvidos com o crime ou “informes” não detalhados do setor de inteligência não satisfazem esse patamar de justificação, sob pena de se transformar o art. 244 do CPP em carta branca para abordagens arbitrárias.</w:t>
      </w:r>
    </w:p>
    <w:p w14:paraId="28F63EF5" w14:textId="20C5AA1D" w:rsidR="000C4E59" w:rsidRPr="000C4E59" w:rsidRDefault="000C4E59" w:rsidP="000C4E59">
      <w:pPr>
        <w:pStyle w:val="SemEspaamento"/>
      </w:pPr>
      <w:r w:rsidRPr="000C4E59">
        <w:lastRenderedPageBreak/>
        <w:t>Tal como no precedente citado, em que os policiais se limitaram a mencionar informação de inteligência sobre um veículo supostamente utilizado para o tráfico, sem narrativa de qualquer atitude suspeita contemporânea à abordagem, aqui também não há descrição de comportamento concreto do requerente que pudesse justificar a revista. Ausente relato de fuga, nervosismo exacerbado, tentativa de esconder objetos, movimentação típica de comércio ilícito ou qualquer outra conduta empiricamente ligada à prática delitiva, a abordagem deriva exclusivamente de presunção abstrata, o que viola frontalmente o art. 244 do CPP.</w:t>
      </w:r>
    </w:p>
    <w:p w14:paraId="09DA0A69" w14:textId="77777777" w:rsidR="000C4E59" w:rsidRPr="000C4E59" w:rsidRDefault="000C4E59" w:rsidP="000C4E59">
      <w:pPr>
        <w:pStyle w:val="SemEspaamento"/>
      </w:pPr>
      <w:r w:rsidRPr="000C4E59">
        <w:t>A Sexta Turma do STJ foi categórica ao afirmar que a ausência de descrição concreta de atitude suspeita do réu, capaz de justificar a abordagem policial, torna a busca pessoal ilegal, resultando na ilicitude das provas obtidas e das derivadas. Ou seja, quando a motivação para a revista é apenas formal, genérica ou reproduzida em termos padronizados (“em atitude suspeita”), sem lastro fático mínimo, o vício contamina todo o resultado da diligência, tornando ilícitos tanto os objetos encontrados quanto quaisquer elementos probatórios que deles decorram.</w:t>
      </w:r>
    </w:p>
    <w:p w14:paraId="0CCE039D" w14:textId="77777777" w:rsidR="000C4E59" w:rsidRPr="000C4E59" w:rsidRDefault="000C4E59" w:rsidP="000C4E59">
      <w:pPr>
        <w:pStyle w:val="SemEspaamento"/>
      </w:pPr>
      <w:r w:rsidRPr="000C4E59">
        <w:t xml:space="preserve">Importa destacar que a descoberta posterior de substâncias ilícitas, armas ou outros objetos não </w:t>
      </w:r>
      <w:proofErr w:type="gramStart"/>
      <w:r w:rsidRPr="000C4E59">
        <w:t>tem</w:t>
      </w:r>
      <w:proofErr w:type="gramEnd"/>
      <w:r w:rsidRPr="000C4E59">
        <w:t xml:space="preserve"> o condão de convalidar a ilegalidade inicial da abordagem. O próprio STJ, no mencionado agravo regimental, registrou que “</w:t>
      </w:r>
      <w:r w:rsidRPr="000C4E59">
        <w:rPr>
          <w:i/>
          <w:iCs/>
        </w:rPr>
        <w:t>a descoberta de substâncias ilícitas após a revista não convalida a ilegalidade prévia, pois a fundada suspeita deve ser aferida com base no que se tinha antes da diligência</w:t>
      </w:r>
      <w:r w:rsidRPr="000C4E59">
        <w:t>”. Em outras palavras, o acerto do resultado não legitima o erro do procedimento: prova boa não se extrai de fonte contaminada.</w:t>
      </w:r>
    </w:p>
    <w:p w14:paraId="566D4A9E" w14:textId="77777777" w:rsidR="000C4E59" w:rsidRPr="000C4E59" w:rsidRDefault="000C4E59" w:rsidP="000C4E59">
      <w:pPr>
        <w:pStyle w:val="SemEspaamento"/>
      </w:pPr>
      <w:r w:rsidRPr="000C4E59">
        <w:t>Nessa linha, aplica-se diretamente a lógica do art. 157 do CPP, que consagra a teoria dos frutos da árvore envenenada. Se a busca pessoal é ilegítima por ausência de fundada suspeita, todo o acervo probatório dela decorrente — inclusive a própria situação de flagrância alegada pela autoridade policial — revela-se igualmente ilícito, devendo ser desentranhado dos autos. Sem essa prova, não subsiste justa causa para a persecução penal, muito menos para a manutenção da prisão.</w:t>
      </w:r>
    </w:p>
    <w:p w14:paraId="39D46C29" w14:textId="77777777" w:rsidR="000C4E59" w:rsidRPr="000C4E59" w:rsidRDefault="000C4E59" w:rsidP="000C4E59">
      <w:pPr>
        <w:pStyle w:val="SemEspaamento"/>
      </w:pPr>
      <w:r w:rsidRPr="000C4E59">
        <w:t xml:space="preserve">A ilegalidade da busca pessoal reflete-se, ainda, na própria prisão em flagrante, que se mostra eivada de nulidade absoluta, por decorrer de diligência inconstitucional e contrária ao disposto no art. 244 do CPP. Não havendo situação de </w:t>
      </w:r>
      <w:r w:rsidRPr="000C4E59">
        <w:lastRenderedPageBreak/>
        <w:t>flagrância legitimamente constituída, a custódia passa a configurar verdadeiro flagrante ilegal, incompatível com o art. 5º, LXV, da Constituição Federal, que impõe o relaxamento da prisão ilegal, bem como com o art. 310, inciso I, do CPP, que obriga o juiz a relaxar o flagrante quando verificar qualquer vício.</w:t>
      </w:r>
    </w:p>
    <w:p w14:paraId="254635CA" w14:textId="77777777" w:rsidR="000C4E59" w:rsidRPr="000C4E59" w:rsidRDefault="000C4E59" w:rsidP="000C4E59">
      <w:pPr>
        <w:pStyle w:val="SemEspaamento"/>
      </w:pPr>
      <w:r w:rsidRPr="000C4E59">
        <w:t xml:space="preserve">Em suma, a atuação policial, desprovida de fundada suspeita concreta, traduziu-se em violação direta às garantias constitucionais de inviolabilidade da intimidade, da liberdade de locomoção e do devido processo legal, convertendo a busca pessoal em ato arbitrário e a prisão em flagrante em constrangimento ilegal. À luz do precedente do STJ no </w:t>
      </w:r>
      <w:proofErr w:type="spellStart"/>
      <w:r w:rsidRPr="000C4E59">
        <w:t>AgRg</w:t>
      </w:r>
      <w:proofErr w:type="spellEnd"/>
      <w:r w:rsidRPr="000C4E59">
        <w:t xml:space="preserve"> no HC n. 930.712/AL e da literalidade do art. 244 do CPP, impõe-se reconhecer a nulidade da revista, a ilicitude de todas as provas dela decorrentes e, via de consequência, o relaxamento da prisão do requerente.</w:t>
      </w:r>
    </w:p>
    <w:p w14:paraId="3312B6CF" w14:textId="77777777" w:rsidR="00552F50" w:rsidRDefault="00552F50" w:rsidP="00045565">
      <w:pPr>
        <w:pStyle w:val="SemEspaamento"/>
      </w:pPr>
    </w:p>
    <w:p w14:paraId="7B8B00C9" w14:textId="77777777" w:rsidR="00552F50" w:rsidRDefault="00552F50" w:rsidP="00552F50">
      <w:pPr>
        <w:pStyle w:val="Ttulo1"/>
        <w:spacing w:before="0" w:after="0" w:line="240" w:lineRule="auto"/>
      </w:pPr>
      <w:r w:rsidRPr="00E71747">
        <w:t>NECESSIDADE DE DISTINGUISHING</w:t>
      </w:r>
    </w:p>
    <w:p w14:paraId="1EAA19FB" w14:textId="77777777" w:rsidR="00552F50" w:rsidRPr="00547988" w:rsidRDefault="00552F50" w:rsidP="00552F50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Teses apresentadas que se adequam ao entendimento do STJ</w:t>
      </w:r>
    </w:p>
    <w:p w14:paraId="7EB36881" w14:textId="77777777" w:rsidR="00552F50" w:rsidRPr="00150C5B" w:rsidRDefault="00552F50" w:rsidP="00552F50">
      <w:pPr>
        <w:pStyle w:val="SemEspaamento"/>
      </w:pPr>
      <w:r w:rsidRPr="00150C5B">
        <w:t>O patrono do requerente apresent</w:t>
      </w:r>
      <w:r>
        <w:t>ou</w:t>
      </w:r>
      <w:r w:rsidRPr="00150C5B">
        <w:t xml:space="preserve"> julgados e decisões dos tribunais superiores para corroborar as teses defensivas lançadas na presente peça.</w:t>
      </w:r>
    </w:p>
    <w:p w14:paraId="43BD1127" w14:textId="77777777" w:rsidR="00552F50" w:rsidRPr="00150C5B" w:rsidRDefault="00552F50" w:rsidP="00552F50">
      <w:pPr>
        <w:pStyle w:val="SemEspaamento"/>
      </w:pPr>
      <w:r w:rsidRPr="00150C5B">
        <w:t xml:space="preserve">Em todas há similitude fática e jurídica com o caso em apreço. Contudo, caso o juízo entenda de maneira diversa, </w:t>
      </w:r>
      <w:r>
        <w:t>requer que elucide na decisão a ser proferida</w:t>
      </w:r>
      <w:r w:rsidRPr="00150C5B">
        <w:t xml:space="preserve"> a diferença entre o presente caso e o</w:t>
      </w:r>
      <w:r>
        <w:t>s</w:t>
      </w:r>
      <w:r w:rsidRPr="00150C5B">
        <w:t xml:space="preserve"> precedente</w:t>
      </w:r>
      <w:r>
        <w:t>s</w:t>
      </w:r>
      <w:r w:rsidRPr="00150C5B">
        <w:t xml:space="preserve"> </w:t>
      </w:r>
      <w:r>
        <w:t>apontados na peça</w:t>
      </w:r>
      <w:r w:rsidRPr="00150C5B">
        <w:t xml:space="preserve">, bem como </w:t>
      </w:r>
      <w:r>
        <w:t xml:space="preserve">que </w:t>
      </w:r>
      <w:r w:rsidRPr="00150C5B">
        <w:t xml:space="preserve">demonstre o motivo pela qual aquele entendimento não se aplica ao presente caso. </w:t>
      </w:r>
    </w:p>
    <w:p w14:paraId="4747DB69" w14:textId="77777777" w:rsidR="00552F50" w:rsidRDefault="00552F50" w:rsidP="00552F50">
      <w:pPr>
        <w:pStyle w:val="SemEspaamento"/>
      </w:pPr>
      <w:r w:rsidRPr="00150C5B">
        <w:t>Deve ser ressaltado que eventual decisão que não faça essa distinção não poderá ser considerada como suficientemente fundamentada nos termos do art. 315, §2º, VI, gerando vício insuperável.</w:t>
      </w:r>
    </w:p>
    <w:p w14:paraId="2AB9279C" w14:textId="77777777" w:rsidR="00552F50" w:rsidRDefault="00552F50" w:rsidP="00552F50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>
        <w:rPr>
          <w:b/>
          <w:bCs/>
          <w:sz w:val="36"/>
          <w:szCs w:val="36"/>
        </w:rPr>
        <w:t>CPP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>
        <w:rPr>
          <w:color w:val="808080" w:themeColor="background1" w:themeShade="80"/>
        </w:rPr>
        <w:t>art. 315, §2º, VI</w:t>
      </w:r>
      <w:r w:rsidRPr="00580B73">
        <w:rPr>
          <w:color w:val="808080" w:themeColor="background1" w:themeShade="80"/>
        </w:rPr>
        <w:t>.</w:t>
      </w:r>
    </w:p>
    <w:p w14:paraId="1C3144B2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Art. 315. A decisão que decretar, substituir ou denegar a prisão preventiva será sempre motivada e fundamentada.</w:t>
      </w:r>
    </w:p>
    <w:p w14:paraId="0FD2CB9F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§ 2º Não se considera fundamentada qualquer decisão judicial, seja ela interlocutória, sentença ou acórdão, que:</w:t>
      </w:r>
    </w:p>
    <w:p w14:paraId="672F6806" w14:textId="77777777" w:rsidR="00552F50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VI - </w:t>
      </w:r>
      <w:proofErr w:type="gramStart"/>
      <w:r w:rsidRPr="00E71747">
        <w:rPr>
          <w:i/>
          <w:iCs/>
        </w:rPr>
        <w:t>deixar</w:t>
      </w:r>
      <w:proofErr w:type="gramEnd"/>
      <w:r w:rsidRPr="00E71747">
        <w:rPr>
          <w:i/>
          <w:iCs/>
        </w:rPr>
        <w:t xml:space="preserve"> de seguir enunciado de súmula, jurisprudência ou precedente invocado pela parte, sem demonstrar a existência de distinção no caso em julgamento ou a superação do entendimento.</w:t>
      </w:r>
    </w:p>
    <w:p w14:paraId="64CF59C2" w14:textId="77777777" w:rsidR="00552F50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6C9CB818" w:rsidR="008235F0" w:rsidRPr="008235F0" w:rsidRDefault="00552F5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552F50">
        <w:rPr>
          <w:rFonts w:ascii="Source Serif Pro" w:hAnsi="Source Serif Pro"/>
        </w:rPr>
        <w:t>17.</w:t>
      </w:r>
      <w:r w:rsidRPr="00552F50">
        <w:rPr>
          <w:rFonts w:ascii="Source Serif Pro" w:hAnsi="Source Serif Pro"/>
        </w:rPr>
        <w:tab/>
        <w:t xml:space="preserve">Diante do exposto, frente a ilicitude do flagrante realizado pela Polícia Militar, uma vez que houve </w:t>
      </w:r>
      <w:r w:rsidR="000C4E59">
        <w:rPr>
          <w:rFonts w:ascii="Source Serif Pro" w:hAnsi="Source Serif Pro"/>
        </w:rPr>
        <w:t>busca pessoal e veicular</w:t>
      </w:r>
      <w:r w:rsidRPr="00552F50">
        <w:rPr>
          <w:rFonts w:ascii="Source Serif Pro" w:hAnsi="Source Serif Pro"/>
        </w:rPr>
        <w:t xml:space="preserve"> sem fundadas razões pretéritas, requer a procedência do pedido com o consequente </w:t>
      </w:r>
      <w:r w:rsidRPr="00552F50">
        <w:rPr>
          <w:rFonts w:ascii="Source Serif Pro" w:hAnsi="Source Serif Pro"/>
          <w:b/>
          <w:bCs/>
        </w:rPr>
        <w:t>RELAXAMENTO DA PRISÃO EM FLAGRANTE</w:t>
      </w:r>
      <w:r w:rsidRPr="00552F50">
        <w:rPr>
          <w:rFonts w:ascii="Source Serif Pro" w:hAnsi="Source Serif Pro"/>
        </w:rPr>
        <w:t>, nos termos do artigo 310, I do Código de Processo Penal, expedindo-se o competente alvará de soltura em favor do requerente</w:t>
      </w:r>
      <w:r>
        <w:rPr>
          <w:rFonts w:ascii="Source Serif Pro" w:hAnsi="Source Serif Pro"/>
        </w:rPr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22BC0F9F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B11BE6">
        <w:rPr>
          <w:rFonts w:ascii="Source Serif Pro" w:hAnsi="Source Serif Pro"/>
          <w:noProof/>
        </w:rPr>
        <w:t>25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9745B" w14:textId="77777777" w:rsidR="002D6324" w:rsidRDefault="002D6324" w:rsidP="00BA1F94">
      <w:pPr>
        <w:spacing w:after="0" w:line="240" w:lineRule="auto"/>
      </w:pPr>
      <w:r>
        <w:separator/>
      </w:r>
    </w:p>
  </w:endnote>
  <w:endnote w:type="continuationSeparator" w:id="0">
    <w:p w14:paraId="6DC95392" w14:textId="77777777" w:rsidR="002D6324" w:rsidRDefault="002D6324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26A3" w14:textId="77777777" w:rsidR="002D6324" w:rsidRDefault="002D6324" w:rsidP="00BA1F94">
      <w:pPr>
        <w:spacing w:after="0" w:line="240" w:lineRule="auto"/>
      </w:pPr>
      <w:r>
        <w:separator/>
      </w:r>
    </w:p>
  </w:footnote>
  <w:footnote w:type="continuationSeparator" w:id="0">
    <w:p w14:paraId="67204951" w14:textId="77777777" w:rsidR="002D6324" w:rsidRDefault="002D6324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781E2A76" w:rsidR="00585236" w:rsidRDefault="00B11BE6" w:rsidP="00585236">
    <w:pPr>
      <w:pStyle w:val="Cabealho"/>
      <w:jc w:val="center"/>
    </w:pPr>
    <w:r>
      <w:rPr>
        <w:noProof/>
      </w:rPr>
      <w:drawing>
        <wp:inline distT="0" distB="0" distL="0" distR="0" wp14:anchorId="384FDCEA" wp14:editId="3116A822">
          <wp:extent cx="1905000" cy="795889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582" cy="802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9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0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3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6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5"/>
  </w:num>
  <w:num w:numId="15" w16cid:durableId="189689990">
    <w:abstractNumId w:val="20"/>
  </w:num>
  <w:num w:numId="16" w16cid:durableId="106320463">
    <w:abstractNumId w:val="22"/>
  </w:num>
  <w:num w:numId="17" w16cid:durableId="757795001">
    <w:abstractNumId w:val="5"/>
  </w:num>
  <w:num w:numId="18" w16cid:durableId="507915239">
    <w:abstractNumId w:val="21"/>
  </w:num>
  <w:num w:numId="19" w16cid:durableId="985084700">
    <w:abstractNumId w:val="19"/>
  </w:num>
  <w:num w:numId="20" w16cid:durableId="700283364">
    <w:abstractNumId w:val="17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8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4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3"/>
  </w:num>
  <w:num w:numId="31" w16cid:durableId="939022436">
    <w:abstractNumId w:val="15"/>
  </w:num>
  <w:num w:numId="32" w16cid:durableId="1358387731">
    <w:abstractNumId w:val="24"/>
  </w:num>
  <w:num w:numId="33" w16cid:durableId="1918588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911F8"/>
    <w:rsid w:val="000C4E59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D6324"/>
    <w:rsid w:val="002E0484"/>
    <w:rsid w:val="002F00FD"/>
    <w:rsid w:val="00307183"/>
    <w:rsid w:val="00334B83"/>
    <w:rsid w:val="00335715"/>
    <w:rsid w:val="0035269F"/>
    <w:rsid w:val="003602F7"/>
    <w:rsid w:val="003A76A4"/>
    <w:rsid w:val="003A7CB9"/>
    <w:rsid w:val="003E23C3"/>
    <w:rsid w:val="00420236"/>
    <w:rsid w:val="00421C44"/>
    <w:rsid w:val="00462A1D"/>
    <w:rsid w:val="00466093"/>
    <w:rsid w:val="00473494"/>
    <w:rsid w:val="004A1397"/>
    <w:rsid w:val="004B23AC"/>
    <w:rsid w:val="004C2B0E"/>
    <w:rsid w:val="004F6860"/>
    <w:rsid w:val="00510D1D"/>
    <w:rsid w:val="00547988"/>
    <w:rsid w:val="00552F50"/>
    <w:rsid w:val="0056423A"/>
    <w:rsid w:val="005702CF"/>
    <w:rsid w:val="00575469"/>
    <w:rsid w:val="00585236"/>
    <w:rsid w:val="00596D6C"/>
    <w:rsid w:val="005A6E55"/>
    <w:rsid w:val="005C54F8"/>
    <w:rsid w:val="00617C7C"/>
    <w:rsid w:val="00636D00"/>
    <w:rsid w:val="006419C1"/>
    <w:rsid w:val="00673A8C"/>
    <w:rsid w:val="006A3AEB"/>
    <w:rsid w:val="006D36FD"/>
    <w:rsid w:val="006E26AE"/>
    <w:rsid w:val="006F33DE"/>
    <w:rsid w:val="007020CA"/>
    <w:rsid w:val="00716815"/>
    <w:rsid w:val="00720D57"/>
    <w:rsid w:val="00724E8D"/>
    <w:rsid w:val="00763304"/>
    <w:rsid w:val="007A0B17"/>
    <w:rsid w:val="007B7295"/>
    <w:rsid w:val="007E3DC1"/>
    <w:rsid w:val="007F0F05"/>
    <w:rsid w:val="00802A06"/>
    <w:rsid w:val="0081592C"/>
    <w:rsid w:val="008235F0"/>
    <w:rsid w:val="008B03CF"/>
    <w:rsid w:val="008D2918"/>
    <w:rsid w:val="00902436"/>
    <w:rsid w:val="00915234"/>
    <w:rsid w:val="00920ABC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11BE6"/>
    <w:rsid w:val="00B24A33"/>
    <w:rsid w:val="00B57D96"/>
    <w:rsid w:val="00B77BFB"/>
    <w:rsid w:val="00B77E49"/>
    <w:rsid w:val="00B85546"/>
    <w:rsid w:val="00B85981"/>
    <w:rsid w:val="00B87A11"/>
    <w:rsid w:val="00B968CC"/>
    <w:rsid w:val="00BA1F94"/>
    <w:rsid w:val="00BA5370"/>
    <w:rsid w:val="00BC6F5E"/>
    <w:rsid w:val="00BF64DD"/>
    <w:rsid w:val="00C56908"/>
    <w:rsid w:val="00C86BDE"/>
    <w:rsid w:val="00C925C7"/>
    <w:rsid w:val="00C9595C"/>
    <w:rsid w:val="00CA2809"/>
    <w:rsid w:val="00CB50FF"/>
    <w:rsid w:val="00CE6C3F"/>
    <w:rsid w:val="00D14593"/>
    <w:rsid w:val="00D439F7"/>
    <w:rsid w:val="00D934F0"/>
    <w:rsid w:val="00DB7797"/>
    <w:rsid w:val="00E260D2"/>
    <w:rsid w:val="00E93C31"/>
    <w:rsid w:val="00ED0C3A"/>
    <w:rsid w:val="00EE0ABC"/>
    <w:rsid w:val="00F10092"/>
    <w:rsid w:val="00F3233A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1273</Words>
  <Characters>6940</Characters>
  <Application>Microsoft Office Word</Application>
  <DocSecurity>0</DocSecurity>
  <Lines>131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6</cp:revision>
  <cp:lastPrinted>2025-10-14T13:26:00Z</cp:lastPrinted>
  <dcterms:created xsi:type="dcterms:W3CDTF">2025-11-17T21:31:00Z</dcterms:created>
  <dcterms:modified xsi:type="dcterms:W3CDTF">2025-12-25T18:57:00Z</dcterms:modified>
</cp:coreProperties>
</file>