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1B469538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6D36FD">
        <w:rPr>
          <w:rFonts w:ascii="Source Serif Pro" w:hAnsi="Source Serif Pro"/>
          <w:b/>
          <w:bCs/>
          <w:sz w:val="26"/>
          <w:szCs w:val="28"/>
        </w:rPr>
        <w:t>mo</w:t>
      </w:r>
      <w:r w:rsidR="004B23AC">
        <w:rPr>
          <w:rFonts w:ascii="Source Serif Pro" w:hAnsi="Source Serif Pro"/>
          <w:b/>
          <w:bCs/>
          <w:sz w:val="26"/>
          <w:szCs w:val="28"/>
        </w:rPr>
        <w:t>. Juiz de Direito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</w:p>
    <w:p w14:paraId="0BE51421" w14:textId="0D59464B" w:rsidR="00B968CC" w:rsidRPr="00B24A33" w:rsidRDefault="004B23AC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Audiência de custódia</w:t>
      </w:r>
    </w:p>
    <w:p w14:paraId="39684049" w14:textId="77777777" w:rsidR="00F3233A" w:rsidRDefault="00F3233A" w:rsidP="00DB7797">
      <w:pPr>
        <w:spacing w:before="360" w:after="0"/>
        <w:rPr>
          <w:rFonts w:ascii="Source Serif Pro" w:hAnsi="Source Serif Pro" w:cs="Segoe UI Semibold"/>
          <w:noProof/>
          <w:spacing w:val="10"/>
          <w:sz w:val="21"/>
          <w:szCs w:val="21"/>
        </w:rPr>
      </w:pPr>
    </w:p>
    <w:p w14:paraId="07573816" w14:textId="0E3C4679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4B23AC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Autos n. </w:t>
      </w:r>
      <w:r w:rsidR="005A6E55">
        <w:rPr>
          <w:rFonts w:ascii="Source Serif Pro" w:hAnsi="Source Serif Pro" w:cs="Segoe UI Semibold"/>
          <w:noProof/>
          <w:spacing w:val="10"/>
          <w:sz w:val="21"/>
          <w:szCs w:val="21"/>
        </w:rPr>
        <w:t>.....</w:t>
      </w:r>
    </w:p>
    <w:p w14:paraId="41C34F6F" w14:textId="20132ED1" w:rsidR="00DB7797" w:rsidRPr="00B24A33" w:rsidRDefault="00B85546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Requerente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 w:rsidR="001C6CE0"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Default="00EE0ABC">
      <w:pPr>
        <w:rPr>
          <w:rFonts w:ascii="Source Serif Pro" w:hAnsi="Source Serif Pro"/>
        </w:rPr>
      </w:pPr>
    </w:p>
    <w:p w14:paraId="45BE129E" w14:textId="77777777" w:rsidR="00F3233A" w:rsidRPr="00B24A33" w:rsidRDefault="00F3233A">
      <w:pPr>
        <w:rPr>
          <w:rFonts w:ascii="Source Serif Pro" w:hAnsi="Source Serif Pro"/>
        </w:rPr>
      </w:pPr>
    </w:p>
    <w:p w14:paraId="1D46FD50" w14:textId="77777777" w:rsidR="005C54F8" w:rsidRPr="00B24A33" w:rsidRDefault="005C54F8" w:rsidP="00EE0ABC">
      <w:pPr>
        <w:ind w:firstLine="567"/>
        <w:rPr>
          <w:rFonts w:ascii="Source Serif Pro" w:hAnsi="Source Serif Pro"/>
        </w:rPr>
      </w:pPr>
    </w:p>
    <w:p w14:paraId="1DE5A89B" w14:textId="00B26AA1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8B03CF">
        <w:rPr>
          <w:rFonts w:ascii="Source Serif Pro" w:hAnsi="Source Serif Pro"/>
        </w:rPr>
        <w:t>[qualificação completa]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 xml:space="preserve">vem a presença </w:t>
      </w:r>
      <w:r w:rsidR="005A6E55">
        <w:rPr>
          <w:rFonts w:ascii="Source Serif Pro" w:hAnsi="Source Serif Pro"/>
        </w:rPr>
        <w:t>de Vossa Excelência</w:t>
      </w:r>
      <w:r>
        <w:rPr>
          <w:rFonts w:ascii="Source Serif Pro" w:hAnsi="Source Serif Pro"/>
        </w:rPr>
        <w:t xml:space="preserve"> </w:t>
      </w:r>
      <w:r w:rsidR="00763304">
        <w:rPr>
          <w:rFonts w:ascii="Source Serif Pro" w:hAnsi="Source Serif Pro"/>
        </w:rPr>
        <w:t>apresentar pedido de</w:t>
      </w:r>
    </w:p>
    <w:p w14:paraId="2CD2B9C5" w14:textId="10561146" w:rsidR="00B57D96" w:rsidRPr="007A0B17" w:rsidRDefault="00763304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 w:rsidRPr="00763304">
        <w:rPr>
          <w:rFonts w:ascii="Georgia" w:hAnsi="Georgia"/>
          <w:b/>
          <w:bCs/>
          <w:sz w:val="32"/>
          <w:szCs w:val="32"/>
        </w:rPr>
        <w:t>RELAXAMENTO DE PRISÃO</w:t>
      </w:r>
    </w:p>
    <w:p w14:paraId="46AE4AF2" w14:textId="3F6B3B8A" w:rsidR="00EE0ABC" w:rsidRDefault="00763304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763304">
        <w:rPr>
          <w:rFonts w:ascii="Source Serif Pro" w:hAnsi="Source Serif Pro"/>
        </w:rPr>
        <w:t>com fulcro no artigo LXV da Constituição Federal e artigo 310, I do Código de Processo Penal, pelas razões de fato e direito a seguir expostas</w:t>
      </w:r>
      <w:r w:rsidR="002D3115">
        <w:rPr>
          <w:rFonts w:ascii="Source Serif Pro" w:hAnsi="Source Serif Pro"/>
        </w:rPr>
        <w:t>:</w:t>
      </w:r>
    </w:p>
    <w:p w14:paraId="1E74CFFF" w14:textId="77777777" w:rsidR="002D3115" w:rsidRPr="007A0B17" w:rsidRDefault="002D3115" w:rsidP="002D3115">
      <w:pPr>
        <w:pStyle w:val="Ttulo1"/>
      </w:pPr>
      <w:r>
        <w:t>DOS FATOS</w:t>
      </w:r>
    </w:p>
    <w:p w14:paraId="236CD553" w14:textId="77777777" w:rsidR="00964978" w:rsidRDefault="00964978" w:rsidP="00964978">
      <w:pPr>
        <w:pStyle w:val="SemEspaamento"/>
      </w:pPr>
      <w:r>
        <w:t>No dia e horário constantes do Auto de Prisão em Flagrante, o Requerente foi abordado em via pública por policiais, ocasião em que foi submetido a revista e, segundo a narrativa oficial, teria sido localizada substância supostamente entorpecente em sua posse. Após a abordagem, os agentes passaram a atribuir ao Requerente declarações informais sobre a existência de outros objetos ilícitos, sem que houvesse, contudo, qualquer documentação idônea dessas alegações no momento da ocorrência.</w:t>
      </w:r>
    </w:p>
    <w:p w14:paraId="472C381F" w14:textId="77777777" w:rsidR="00964978" w:rsidRDefault="00964978" w:rsidP="00964978">
      <w:pPr>
        <w:pStyle w:val="SemEspaamento"/>
      </w:pPr>
      <w:r>
        <w:t>Em seguida, apesar de a ocorrência já estar definida e controlada no ambiente externo, os policiais conduziram o Requerente até sua residência, deslocando-se com ele para o endereço indicado e, já no local, procederam a nova diligência de busca no interior do domicílio, sem exibição de mandado judicial e sem qualquer registro escrito ou audiovisual de eventual autorização do morador para a entrada e realização das buscas.</w:t>
      </w:r>
    </w:p>
    <w:p w14:paraId="0671CD5D" w14:textId="77777777" w:rsidR="00964978" w:rsidRDefault="00964978" w:rsidP="00964978">
      <w:pPr>
        <w:pStyle w:val="SemEspaamento"/>
      </w:pPr>
    </w:p>
    <w:p w14:paraId="07C54B37" w14:textId="6974491D" w:rsidR="00F3233A" w:rsidRDefault="00964978" w:rsidP="00964978">
      <w:pPr>
        <w:pStyle w:val="SemEspaamento"/>
      </w:pPr>
      <w:r>
        <w:lastRenderedPageBreak/>
        <w:t>Da busca realizada dentro da residência, resultaram apreensões adicionais, as quais passaram a servir de base para o incremento da imputação e para a manutenção da custódia, embora a defesa sustente que o ingresso domiciliar foi realizado à margem das formalidades legais, a partir de mera narrativa policial, inexistindo prova segura de consentimento válido e específico, e tendo o Requerente, desde o primeiro momento oportuno, rechaçado a versão de autorização “informal” para a violação do lar.</w:t>
      </w:r>
    </w:p>
    <w:p w14:paraId="1EA1C564" w14:textId="77777777" w:rsidR="00964978" w:rsidRDefault="00964978" w:rsidP="00964978">
      <w:pPr>
        <w:pStyle w:val="SemEspaamento"/>
      </w:pPr>
    </w:p>
    <w:p w14:paraId="5087947A" w14:textId="56285C73" w:rsidR="002D3115" w:rsidRDefault="00045565" w:rsidP="002D3115">
      <w:pPr>
        <w:pStyle w:val="Ttulo1"/>
        <w:spacing w:before="0" w:after="0" w:line="240" w:lineRule="auto"/>
      </w:pPr>
      <w:r>
        <w:t xml:space="preserve">AUSÊNCIA </w:t>
      </w:r>
      <w:bookmarkStart w:id="0" w:name="_Hlk214785680"/>
      <w:r w:rsidR="00552F50">
        <w:t>DE FUNDADAS RAZÕES</w:t>
      </w:r>
      <w:bookmarkEnd w:id="0"/>
      <w:r>
        <w:t xml:space="preserve"> </w:t>
      </w:r>
    </w:p>
    <w:p w14:paraId="7C57FDD5" w14:textId="1E58F866" w:rsidR="002D3115" w:rsidRPr="00547988" w:rsidRDefault="00724E8D" w:rsidP="009E3993">
      <w:pPr>
        <w:pBdr>
          <w:top w:val="single" w:sz="4" w:space="1" w:color="auto"/>
        </w:pBdr>
        <w:shd w:val="clear" w:color="auto" w:fill="FFFFFF" w:themeFill="background1"/>
        <w:spacing w:after="240" w:line="240" w:lineRule="auto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bookmarkStart w:id="1" w:name="_Hlk214785688"/>
      <w:r>
        <w:rPr>
          <w:rFonts w:ascii="Source Sans Pro" w:hAnsi="Source Sans Pro"/>
          <w:i/>
          <w:iCs/>
          <w:shd w:val="clear" w:color="auto" w:fill="FFFFFF" w:themeFill="background1"/>
        </w:rPr>
        <w:t>Afronta ao entendimento consolidado pelo STJ</w:t>
      </w:r>
      <w:bookmarkEnd w:id="1"/>
      <w:r w:rsidR="009E3993">
        <w:rPr>
          <w:rFonts w:ascii="Source Sans Pro" w:hAnsi="Source Sans Pro"/>
          <w:i/>
          <w:iCs/>
          <w:shd w:val="clear" w:color="auto" w:fill="FFFFFF" w:themeFill="background1"/>
        </w:rPr>
        <w:t xml:space="preserve"> – flagrante em via pública e posterior condução para o imóvel do acautelado - ilegalidade</w:t>
      </w:r>
    </w:p>
    <w:p w14:paraId="3546075F" w14:textId="77777777" w:rsidR="009E3993" w:rsidRPr="009E3993" w:rsidRDefault="009E3993" w:rsidP="009E3993">
      <w:pPr>
        <w:pStyle w:val="SemEspaamento"/>
      </w:pPr>
      <w:r w:rsidRPr="009E3993">
        <w:t>No caso em exame, a prisão realizada em via pública foi indevidamente “estendida” para dentro do domicílio do conduzido, pois, após a abordagem inicial, os agentes o levaram até sua residência para promover nova busca, sem prévia autorização judicial e sem demonstração idônea de consentimento válido, convertendo a diligência em verdadeira “pescaria probatória” incompatível com as garantias do processo penal.</w:t>
      </w:r>
    </w:p>
    <w:p w14:paraId="5A959DD4" w14:textId="77777777" w:rsidR="009E3993" w:rsidRPr="009E3993" w:rsidRDefault="009E3993" w:rsidP="009E3993">
      <w:pPr>
        <w:pStyle w:val="SemEspaamento"/>
      </w:pPr>
      <w:r w:rsidRPr="009E3993">
        <w:t>A busca domiciliar é medida intrusiva e excepcional, sujeita a limites estritos: o CPP admite a busca (domiciliar ou pessoal), mas exige fundadas razões e, como regra, mandado quando não realizada pessoalmente pela autoridade competente, com mandado que indique local, morador, motivo e finalidade da diligência.</w:t>
      </w:r>
    </w:p>
    <w:p w14:paraId="38D4B172" w14:textId="77777777" w:rsidR="009E3993" w:rsidRPr="009E3993" w:rsidRDefault="009E3993" w:rsidP="009E3993">
      <w:pPr>
        <w:pStyle w:val="SemEspaamento"/>
      </w:pPr>
      <w:r w:rsidRPr="009E3993">
        <w:t>Ainda, o próprio rito legal reforça a necessidade de controle formal: antes de ingressar, devem mostrar e ler o mandado ao morador e intimá-lo a franquear a entrada, sendo as buscas domiciliares executadas de dia, salvo consentimento para período noturno; portanto, sem mandado, o Estado só pode ingressar em hipóteses estritamente excepcionais e com prova robusta do consentimento livre, específico e atual.</w:t>
      </w:r>
    </w:p>
    <w:p w14:paraId="359290C2" w14:textId="15FC81AF" w:rsidR="000C4E59" w:rsidRDefault="000C4E59" w:rsidP="000C4E59">
      <w:pPr>
        <w:pStyle w:val="SemEspaamento"/>
      </w:pPr>
      <w:r>
        <w:t xml:space="preserve">Os policiais responsáveis pela abordagem e prisão em flagrante foram categóricos em afirmar que a abordagem se deu </w:t>
      </w:r>
      <w:r w:rsidR="009E3993">
        <w:t>em via pública e, a partir de uma suposta confissão informal, foram até a casa do acautelado e lá encontraram o entorpecente</w:t>
      </w:r>
      <w:r>
        <w:t>:</w:t>
      </w:r>
    </w:p>
    <w:p w14:paraId="03BF4C88" w14:textId="77777777" w:rsidR="000C4E59" w:rsidRPr="00552F50" w:rsidRDefault="000C4E59" w:rsidP="000C4E59">
      <w:pPr>
        <w:pStyle w:val="SemEspaamento"/>
        <w:jc w:val="center"/>
      </w:pPr>
      <w:bookmarkStart w:id="2" w:name="_Hlk214785712"/>
      <w:r w:rsidRPr="00552F50">
        <w:rPr>
          <w:highlight w:val="yellow"/>
        </w:rPr>
        <w:lastRenderedPageBreak/>
        <w:t>COLAR O DEPOIMENTO DO CONDUTOR</w:t>
      </w:r>
    </w:p>
    <w:bookmarkEnd w:id="2"/>
    <w:p w14:paraId="37F373D8" w14:textId="60B1ECAD" w:rsidR="000C4E59" w:rsidRDefault="000C4E59" w:rsidP="000C4E59">
      <w:pPr>
        <w:pStyle w:val="SemEspaamento"/>
      </w:pPr>
      <w:r w:rsidRPr="000C4E59">
        <w:t>A jurisprudência do Superior Tribunal de Justiça</w:t>
      </w:r>
      <w:r>
        <w:t xml:space="preserve"> tem posição firme no sentido de </w:t>
      </w:r>
      <w:r w:rsidR="009E3993">
        <w:t>que a confissão informal após abordagem em via pública não legitima posterior busca domiciliar no imóvel do acautelado</w:t>
      </w:r>
      <w:r w:rsidRPr="000C4E59">
        <w:t>.</w:t>
      </w:r>
    </w:p>
    <w:p w14:paraId="7D1BA584" w14:textId="46474FDA" w:rsidR="000C4E59" w:rsidRDefault="000C4E59" w:rsidP="009E3993">
      <w:pPr>
        <w:pStyle w:val="SemEspaamento"/>
        <w:pBdr>
          <w:bottom w:val="single" w:sz="4" w:space="1" w:color="auto"/>
        </w:pBdr>
        <w:spacing w:before="0" w:after="0" w:line="240" w:lineRule="auto"/>
        <w:ind w:left="2268" w:firstLine="0"/>
      </w:pPr>
      <w:bookmarkStart w:id="3" w:name="_Hlk214785732"/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 w:rsidR="009E3993" w:rsidRPr="009E3993">
        <w:rPr>
          <w:color w:val="808080" w:themeColor="background1" w:themeShade="80"/>
        </w:rPr>
        <w:t>AgRg no HC n. 1.010.854/GO, relator Ministro</w:t>
      </w:r>
      <w:r w:rsidR="009E3993">
        <w:rPr>
          <w:color w:val="808080" w:themeColor="background1" w:themeShade="80"/>
        </w:rPr>
        <w:t xml:space="preserve"> </w:t>
      </w:r>
      <w:r w:rsidR="009E3993" w:rsidRPr="009E3993">
        <w:rPr>
          <w:color w:val="808080" w:themeColor="background1" w:themeShade="80"/>
        </w:rPr>
        <w:t>Ribeiro Dantas, Quinta Turma, julgado em 3/9/2025</w:t>
      </w:r>
      <w:r w:rsidRPr="00580B73">
        <w:rPr>
          <w:color w:val="808080" w:themeColor="background1" w:themeShade="80"/>
        </w:rPr>
        <w:t>.</w:t>
      </w:r>
    </w:p>
    <w:bookmarkEnd w:id="3"/>
    <w:p w14:paraId="28A9A12E" w14:textId="6F552817" w:rsidR="000C4E59" w:rsidRDefault="009E3993" w:rsidP="009E3993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9E3993">
        <w:rPr>
          <w:i/>
          <w:iCs/>
        </w:rPr>
        <w:t>A ausência de comprovação por meio escrito ou audiovisual da autorização da</w:t>
      </w:r>
      <w:r>
        <w:rPr>
          <w:i/>
          <w:iCs/>
        </w:rPr>
        <w:t xml:space="preserve"> </w:t>
      </w:r>
      <w:r w:rsidRPr="009E3993">
        <w:rPr>
          <w:i/>
          <w:iCs/>
        </w:rPr>
        <w:t>entrada dos policiais torna ilegal a busca domiciliar. 2. A apreensão de drogas em via pública e</w:t>
      </w:r>
      <w:r>
        <w:rPr>
          <w:i/>
          <w:iCs/>
        </w:rPr>
        <w:t xml:space="preserve"> </w:t>
      </w:r>
      <w:r w:rsidRPr="009E3993">
        <w:rPr>
          <w:i/>
          <w:iCs/>
        </w:rPr>
        <w:t>suposta confissão informal não validam busca domiciliar sem autorização judicial, quando a</w:t>
      </w:r>
      <w:r>
        <w:rPr>
          <w:i/>
          <w:iCs/>
        </w:rPr>
        <w:t xml:space="preserve"> </w:t>
      </w:r>
      <w:r w:rsidRPr="009E3993">
        <w:rPr>
          <w:i/>
          <w:iCs/>
        </w:rPr>
        <w:t>versão policial foi refutada pelo réu em juízo</w:t>
      </w:r>
      <w:r w:rsidR="000C4E59">
        <w:rPr>
          <w:i/>
          <w:iCs/>
        </w:rPr>
        <w:t>.</w:t>
      </w:r>
    </w:p>
    <w:p w14:paraId="20C7F5D5" w14:textId="53DE54CA" w:rsidR="009E3993" w:rsidRPr="009E3993" w:rsidRDefault="009E3993" w:rsidP="009E3993">
      <w:pPr>
        <w:pStyle w:val="SemEspaamento"/>
      </w:pPr>
      <w:r w:rsidRPr="009E3993">
        <w:t>O mesmo precedente é especialmente útil ao cenário típico deste caso: apreensão de drogas em via pública e suposta confissão informal não funcionam como “</w:t>
      </w:r>
      <w:r>
        <w:t>passe livre</w:t>
      </w:r>
      <w:r w:rsidRPr="009E3993">
        <w:t>” para ingresso domiciliar, nem substituem a autorização judicial, sobretudo quando a versão policial é refutada em juízo; ou seja, a diligência em residência, como ato autônomo e posterior, não se legitima por narrativa informal construída após a abordagem.</w:t>
      </w:r>
    </w:p>
    <w:p w14:paraId="322EC279" w14:textId="77777777" w:rsidR="009E3993" w:rsidRPr="009E3993" w:rsidRDefault="009E3993" w:rsidP="009E3993">
      <w:pPr>
        <w:pStyle w:val="SemEspaamento"/>
      </w:pPr>
      <w:r w:rsidRPr="009E3993">
        <w:t>Em consequência, o que se colheu no interior da casa — e tudo o que disso derivou — deve ser tratado como prova ilícita e prova derivada da ilícita, impondo-se o desentranhamento e a inutilização do que foi obtido em violação a normas constitucionais ou legais, inclusive por contaminação causal.</w:t>
      </w:r>
    </w:p>
    <w:p w14:paraId="46E76A7B" w14:textId="77777777" w:rsidR="009E3993" w:rsidRPr="009E3993" w:rsidRDefault="009E3993" w:rsidP="009E3993">
      <w:pPr>
        <w:pStyle w:val="SemEspaamento"/>
      </w:pPr>
      <w:r w:rsidRPr="009E3993">
        <w:t>E é aqui que o pedido de relaxamento ganha centralidade: se a prisão (ou sua manutenção) está apoiada em elementos produzidos a partir de busca domiciliar ilegal, a custódia passa a ser prisão ilegal, impondo-se ao juiz, ao receber o auto, relaxá-la (não “substituí-la” ou “mitigá-la”), porque relaxamento é resposta específica à ilegalidade da constrição.</w:t>
      </w:r>
    </w:p>
    <w:p w14:paraId="36ECD84F" w14:textId="77777777" w:rsidR="009E3993" w:rsidRPr="009E3993" w:rsidRDefault="009E3993" w:rsidP="009E3993">
      <w:pPr>
        <w:pStyle w:val="SemEspaamento"/>
      </w:pPr>
      <w:r w:rsidRPr="009E3993">
        <w:t xml:space="preserve">Nem se diga que a situação seria “flagrante” a justificar a posterior entrada na residência: o CPP define as hipóteses de flagrância com critérios de imediatidade (cometendo, acabando de cometer, perseguição logo após, ou encontrado logo depois com objetos que façam presumir autoria), o que não autoriza, </w:t>
      </w:r>
      <w:r w:rsidRPr="009E3993">
        <w:lastRenderedPageBreak/>
        <w:t>automaticamente, transportar o custodiado para casa e iniciar nova diligência domiciliar, dissociada do controle judicial e sem consentimento formalmente comprovado.</w:t>
      </w:r>
    </w:p>
    <w:p w14:paraId="3733308E" w14:textId="73DE4E65" w:rsidR="009E3993" w:rsidRDefault="009E3993" w:rsidP="009E3993">
      <w:pPr>
        <w:pStyle w:val="SemEspaamento"/>
      </w:pPr>
      <w:r w:rsidRPr="009E3993">
        <w:t>Por tudo isso, à luz do entendimento do STJ e do regime legal da busca e da prova, a tese defensiva se consolida: a busca domiciliar é ilegal (falta de autorização judicial e de prova escrita/audiovisual do consentimento), as provas são ilícitas e contaminadas, e, sendo a custódia sustentada por esse conjunto viciado, deve ser determinado o RELAXAMENTO DA PRISÃO, com expedição imediata de alvará de soltura, ressalvada a adoção de medidas cautelares estritamente necessárias e devidamente fundamentadas (se o juízo entender cabíveis).</w:t>
      </w:r>
    </w:p>
    <w:p w14:paraId="6446FFFC" w14:textId="77777777" w:rsidR="00964978" w:rsidRPr="009E3993" w:rsidRDefault="00964978" w:rsidP="009E3993">
      <w:pPr>
        <w:pStyle w:val="SemEspaamento"/>
      </w:pPr>
    </w:p>
    <w:p w14:paraId="7B8B00C9" w14:textId="77777777" w:rsidR="00552F50" w:rsidRDefault="00552F50" w:rsidP="00552F50">
      <w:pPr>
        <w:pStyle w:val="Ttulo1"/>
        <w:spacing w:before="0" w:after="0" w:line="240" w:lineRule="auto"/>
      </w:pPr>
      <w:r w:rsidRPr="00E71747">
        <w:t>NECESSIDADE DE DISTINGUISHING</w:t>
      </w:r>
    </w:p>
    <w:p w14:paraId="1EAA19FB" w14:textId="77777777" w:rsidR="00552F50" w:rsidRPr="00547988" w:rsidRDefault="00552F50" w:rsidP="00552F50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Teses apresentadas que se adequam ao entendimento do STJ</w:t>
      </w:r>
    </w:p>
    <w:p w14:paraId="7EB36881" w14:textId="77777777" w:rsidR="00552F50" w:rsidRPr="00150C5B" w:rsidRDefault="00552F50" w:rsidP="00552F50">
      <w:pPr>
        <w:pStyle w:val="SemEspaamento"/>
      </w:pPr>
      <w:r w:rsidRPr="00150C5B">
        <w:t>O patrono do requerente apresent</w:t>
      </w:r>
      <w:r>
        <w:t>ou</w:t>
      </w:r>
      <w:r w:rsidRPr="00150C5B">
        <w:t xml:space="preserve"> julgados e decisões dos tribunais superiores para corroborar as teses defensivas lançadas na presente peça.</w:t>
      </w:r>
    </w:p>
    <w:p w14:paraId="43BD1127" w14:textId="77777777" w:rsidR="00552F50" w:rsidRPr="00150C5B" w:rsidRDefault="00552F50" w:rsidP="00552F50">
      <w:pPr>
        <w:pStyle w:val="SemEspaamento"/>
      </w:pPr>
      <w:r w:rsidRPr="00150C5B">
        <w:t xml:space="preserve">Em todas há similitude fática e jurídica com o caso em apreço. Contudo, caso o juízo entenda de maneira diversa, </w:t>
      </w:r>
      <w:r>
        <w:t>requer que elucide na decisão a ser proferida</w:t>
      </w:r>
      <w:r w:rsidRPr="00150C5B">
        <w:t xml:space="preserve"> a diferença entre o presente caso e o</w:t>
      </w:r>
      <w:r>
        <w:t>s</w:t>
      </w:r>
      <w:r w:rsidRPr="00150C5B">
        <w:t xml:space="preserve"> precedente</w:t>
      </w:r>
      <w:r>
        <w:t>s</w:t>
      </w:r>
      <w:r w:rsidRPr="00150C5B">
        <w:t xml:space="preserve"> </w:t>
      </w:r>
      <w:r>
        <w:t>apontados na peça</w:t>
      </w:r>
      <w:r w:rsidRPr="00150C5B">
        <w:t xml:space="preserve">, bem como </w:t>
      </w:r>
      <w:r>
        <w:t xml:space="preserve">que </w:t>
      </w:r>
      <w:r w:rsidRPr="00150C5B">
        <w:t xml:space="preserve">demonstre o motivo pela qual aquele entendimento não se aplica ao presente caso. </w:t>
      </w:r>
    </w:p>
    <w:p w14:paraId="4747DB69" w14:textId="77777777" w:rsidR="00552F50" w:rsidRDefault="00552F50" w:rsidP="00552F50">
      <w:pPr>
        <w:pStyle w:val="SemEspaamento"/>
      </w:pPr>
      <w:r w:rsidRPr="00150C5B">
        <w:t>Deve ser ressaltado que eventual decisão que não faça essa distinção não poderá ser considerada como suficientemente fundamentada nos termos do art. 315, §2º, VI, gerando vício insuperável.</w:t>
      </w:r>
    </w:p>
    <w:p w14:paraId="2AB9279C" w14:textId="77777777" w:rsidR="00552F50" w:rsidRDefault="00552F50" w:rsidP="00552F50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>
        <w:rPr>
          <w:b/>
          <w:bCs/>
          <w:sz w:val="36"/>
          <w:szCs w:val="36"/>
        </w:rPr>
        <w:t>CPP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>
        <w:rPr>
          <w:color w:val="808080" w:themeColor="background1" w:themeShade="80"/>
        </w:rPr>
        <w:t>art. 315, §2º, VI</w:t>
      </w:r>
      <w:r w:rsidRPr="00580B73">
        <w:rPr>
          <w:color w:val="808080" w:themeColor="background1" w:themeShade="80"/>
        </w:rPr>
        <w:t>.</w:t>
      </w:r>
    </w:p>
    <w:p w14:paraId="1C3144B2" w14:textId="77777777" w:rsidR="00552F50" w:rsidRPr="00E71747" w:rsidRDefault="00552F50" w:rsidP="00552F50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>Art. 315. A decisão que decretar, substituir ou denegar a prisão preventiva será sempre motivada e fundamentada.</w:t>
      </w:r>
    </w:p>
    <w:p w14:paraId="0FD2CB9F" w14:textId="77777777" w:rsidR="00552F50" w:rsidRPr="00E71747" w:rsidRDefault="00552F50" w:rsidP="00552F50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>§ 2º Não se considera fundamentada qualquer decisão judicial, seja ela interlocutória, sentença ou acórdão, que:</w:t>
      </w:r>
    </w:p>
    <w:p w14:paraId="672F6806" w14:textId="77777777" w:rsidR="00552F50" w:rsidRDefault="00552F50" w:rsidP="00552F50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>VI - deixar de seguir enunciado de súmula, jurisprudência ou precedente invocado pela parte, sem demonstrar a existência de distinção no caso em julgamento ou a superação do entendimento.</w:t>
      </w:r>
    </w:p>
    <w:p w14:paraId="3363031B" w14:textId="77777777" w:rsidR="00964978" w:rsidRDefault="00964978" w:rsidP="00552F50">
      <w:pPr>
        <w:pStyle w:val="SemEspaamento"/>
        <w:spacing w:before="0" w:after="0" w:line="240" w:lineRule="auto"/>
        <w:ind w:left="2268" w:firstLine="0"/>
        <w:rPr>
          <w:i/>
          <w:iCs/>
        </w:rPr>
      </w:pPr>
    </w:p>
    <w:p w14:paraId="6623218C" w14:textId="77777777" w:rsidR="002D3115" w:rsidRDefault="002D3115" w:rsidP="002D3115">
      <w:pPr>
        <w:pStyle w:val="Ttulo1"/>
        <w:spacing w:before="0" w:after="0" w:line="240" w:lineRule="auto"/>
      </w:pPr>
      <w:r>
        <w:lastRenderedPageBreak/>
        <w:t>DO PEDIDO</w:t>
      </w:r>
    </w:p>
    <w:p w14:paraId="73E39172" w14:textId="77777777" w:rsidR="00B85546" w:rsidRDefault="00B85546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5CEEED79" w14:textId="06A10293" w:rsidR="008235F0" w:rsidRPr="008235F0" w:rsidRDefault="00552F50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552F50">
        <w:rPr>
          <w:rFonts w:ascii="Source Serif Pro" w:hAnsi="Source Serif Pro"/>
        </w:rPr>
        <w:t xml:space="preserve">Diante do exposto, frente a ilicitude do flagrante realizado pela Polícia Militar, uma vez que houve </w:t>
      </w:r>
      <w:r w:rsidR="000C4E59">
        <w:rPr>
          <w:rFonts w:ascii="Source Serif Pro" w:hAnsi="Source Serif Pro"/>
        </w:rPr>
        <w:t xml:space="preserve">busca pessoal e </w:t>
      </w:r>
      <w:r w:rsidR="00AD2D3B">
        <w:rPr>
          <w:rFonts w:ascii="Source Serif Pro" w:hAnsi="Source Serif Pro"/>
        </w:rPr>
        <w:t xml:space="preserve">domiciliar </w:t>
      </w:r>
      <w:r w:rsidRPr="00552F50">
        <w:rPr>
          <w:rFonts w:ascii="Source Serif Pro" w:hAnsi="Source Serif Pro"/>
        </w:rPr>
        <w:t xml:space="preserve">sem fundadas razões pretéritas, requer a procedência do pedido com o consequente </w:t>
      </w:r>
      <w:r w:rsidRPr="00552F50">
        <w:rPr>
          <w:rFonts w:ascii="Source Serif Pro" w:hAnsi="Source Serif Pro"/>
          <w:b/>
          <w:bCs/>
        </w:rPr>
        <w:t>RELAXAMENTO DA PRISÃO EM FLAGRANTE</w:t>
      </w:r>
      <w:r w:rsidRPr="00552F50">
        <w:rPr>
          <w:rFonts w:ascii="Source Serif Pro" w:hAnsi="Source Serif Pro"/>
        </w:rPr>
        <w:t>, nos termos do artigo 310, I do Código de Processo Penal, expedindo-se o competente alvará de soltura em favor do requerente</w:t>
      </w:r>
      <w:r>
        <w:rPr>
          <w:rFonts w:ascii="Source Serif Pro" w:hAnsi="Source Serif Pro"/>
        </w:rPr>
        <w:t>.</w:t>
      </w:r>
    </w:p>
    <w:p w14:paraId="191844BF" w14:textId="143B63BC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6B778DCB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9E3993">
        <w:rPr>
          <w:rFonts w:ascii="Source Serif Pro" w:hAnsi="Source Serif Pro"/>
          <w:noProof/>
        </w:rPr>
        <w:t>25 de dezembro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3499B" w14:textId="77777777" w:rsidR="00787415" w:rsidRDefault="00787415" w:rsidP="00BA1F94">
      <w:pPr>
        <w:spacing w:after="0" w:line="240" w:lineRule="auto"/>
      </w:pPr>
      <w:r>
        <w:separator/>
      </w:r>
    </w:p>
  </w:endnote>
  <w:endnote w:type="continuationSeparator" w:id="0">
    <w:p w14:paraId="29C3F004" w14:textId="77777777" w:rsidR="00787415" w:rsidRDefault="00787415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(67)9.9624-9366  (67)9.9644-5176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C50D7" w14:textId="77777777" w:rsidR="00787415" w:rsidRDefault="00787415" w:rsidP="00BA1F94">
      <w:pPr>
        <w:spacing w:after="0" w:line="240" w:lineRule="auto"/>
      </w:pPr>
      <w:r>
        <w:separator/>
      </w:r>
    </w:p>
  </w:footnote>
  <w:footnote w:type="continuationSeparator" w:id="0">
    <w:p w14:paraId="7C342E84" w14:textId="77777777" w:rsidR="00787415" w:rsidRDefault="00787415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781E2A76" w:rsidR="00585236" w:rsidRDefault="00B11BE6" w:rsidP="00585236">
    <w:pPr>
      <w:pStyle w:val="Cabealho"/>
      <w:jc w:val="center"/>
    </w:pPr>
    <w:r>
      <w:rPr>
        <w:noProof/>
      </w:rPr>
      <w:drawing>
        <wp:inline distT="0" distB="0" distL="0" distR="0" wp14:anchorId="384FDCEA" wp14:editId="3116A822">
          <wp:extent cx="1905000" cy="795889"/>
          <wp:effectExtent l="0" t="0" r="0" b="4445"/>
          <wp:docPr id="967337052" name="Imagem 4" descr="Placa azul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337052" name="Imagem 4" descr="Placa azul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0582" cy="802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881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6528"/>
    <w:multiLevelType w:val="hybridMultilevel"/>
    <w:tmpl w:val="05AABD4C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8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9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0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3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648E4"/>
    <w:multiLevelType w:val="hybridMultilevel"/>
    <w:tmpl w:val="2110CD96"/>
    <w:lvl w:ilvl="0" w:tplc="8B7480C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2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6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3"/>
  </w:num>
  <w:num w:numId="13" w16cid:durableId="1542085398">
    <w:abstractNumId w:val="9"/>
  </w:num>
  <w:num w:numId="14" w16cid:durableId="1800220788">
    <w:abstractNumId w:val="25"/>
  </w:num>
  <w:num w:numId="15" w16cid:durableId="189689990">
    <w:abstractNumId w:val="20"/>
  </w:num>
  <w:num w:numId="16" w16cid:durableId="106320463">
    <w:abstractNumId w:val="22"/>
  </w:num>
  <w:num w:numId="17" w16cid:durableId="757795001">
    <w:abstractNumId w:val="5"/>
  </w:num>
  <w:num w:numId="18" w16cid:durableId="507915239">
    <w:abstractNumId w:val="21"/>
  </w:num>
  <w:num w:numId="19" w16cid:durableId="985084700">
    <w:abstractNumId w:val="19"/>
  </w:num>
  <w:num w:numId="20" w16cid:durableId="700283364">
    <w:abstractNumId w:val="17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18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4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3"/>
  </w:num>
  <w:num w:numId="31" w16cid:durableId="939022436">
    <w:abstractNumId w:val="15"/>
  </w:num>
  <w:num w:numId="32" w16cid:durableId="1358387731">
    <w:abstractNumId w:val="24"/>
  </w:num>
  <w:num w:numId="33" w16cid:durableId="19185884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45565"/>
    <w:rsid w:val="000911F8"/>
    <w:rsid w:val="000C4E59"/>
    <w:rsid w:val="001153D8"/>
    <w:rsid w:val="00144A4B"/>
    <w:rsid w:val="0015581C"/>
    <w:rsid w:val="00163268"/>
    <w:rsid w:val="001C6CE0"/>
    <w:rsid w:val="001E7DF5"/>
    <w:rsid w:val="001F3409"/>
    <w:rsid w:val="0021462C"/>
    <w:rsid w:val="00255925"/>
    <w:rsid w:val="00265B72"/>
    <w:rsid w:val="002731A1"/>
    <w:rsid w:val="002D3115"/>
    <w:rsid w:val="002D6324"/>
    <w:rsid w:val="002E0484"/>
    <w:rsid w:val="002F00FD"/>
    <w:rsid w:val="00307183"/>
    <w:rsid w:val="00334B83"/>
    <w:rsid w:val="00335715"/>
    <w:rsid w:val="0035269F"/>
    <w:rsid w:val="003602F7"/>
    <w:rsid w:val="003A76A4"/>
    <w:rsid w:val="003A7CB9"/>
    <w:rsid w:val="003E23C3"/>
    <w:rsid w:val="00420236"/>
    <w:rsid w:val="00421C44"/>
    <w:rsid w:val="00462A1D"/>
    <w:rsid w:val="00466093"/>
    <w:rsid w:val="00473494"/>
    <w:rsid w:val="004A1397"/>
    <w:rsid w:val="004B23AC"/>
    <w:rsid w:val="004C2B0E"/>
    <w:rsid w:val="004F6860"/>
    <w:rsid w:val="00510D1D"/>
    <w:rsid w:val="00547988"/>
    <w:rsid w:val="00552F50"/>
    <w:rsid w:val="0056423A"/>
    <w:rsid w:val="005702CF"/>
    <w:rsid w:val="00575469"/>
    <w:rsid w:val="00585236"/>
    <w:rsid w:val="00596D6C"/>
    <w:rsid w:val="005A6E55"/>
    <w:rsid w:val="005C54F8"/>
    <w:rsid w:val="00617C7C"/>
    <w:rsid w:val="00636D00"/>
    <w:rsid w:val="006419C1"/>
    <w:rsid w:val="00673A8C"/>
    <w:rsid w:val="006A3AEB"/>
    <w:rsid w:val="006D36FD"/>
    <w:rsid w:val="006E26AE"/>
    <w:rsid w:val="006F33DE"/>
    <w:rsid w:val="007020CA"/>
    <w:rsid w:val="00716815"/>
    <w:rsid w:val="00720D57"/>
    <w:rsid w:val="00724E8D"/>
    <w:rsid w:val="00763304"/>
    <w:rsid w:val="00787415"/>
    <w:rsid w:val="007A0B17"/>
    <w:rsid w:val="007B7295"/>
    <w:rsid w:val="007E3DC1"/>
    <w:rsid w:val="007F0F05"/>
    <w:rsid w:val="00802A06"/>
    <w:rsid w:val="0081592C"/>
    <w:rsid w:val="008235F0"/>
    <w:rsid w:val="008B03CF"/>
    <w:rsid w:val="008D2918"/>
    <w:rsid w:val="00902436"/>
    <w:rsid w:val="00915234"/>
    <w:rsid w:val="00920ABC"/>
    <w:rsid w:val="00964978"/>
    <w:rsid w:val="00983A54"/>
    <w:rsid w:val="0099073D"/>
    <w:rsid w:val="009E098F"/>
    <w:rsid w:val="009E3993"/>
    <w:rsid w:val="009F311E"/>
    <w:rsid w:val="00A01420"/>
    <w:rsid w:val="00A73B53"/>
    <w:rsid w:val="00A82AD8"/>
    <w:rsid w:val="00A8787D"/>
    <w:rsid w:val="00A87D34"/>
    <w:rsid w:val="00A97C42"/>
    <w:rsid w:val="00AA31B3"/>
    <w:rsid w:val="00AB2011"/>
    <w:rsid w:val="00AD2D3B"/>
    <w:rsid w:val="00B11BE6"/>
    <w:rsid w:val="00B24A33"/>
    <w:rsid w:val="00B57D96"/>
    <w:rsid w:val="00B77BFB"/>
    <w:rsid w:val="00B77E49"/>
    <w:rsid w:val="00B85546"/>
    <w:rsid w:val="00B85981"/>
    <w:rsid w:val="00B87A11"/>
    <w:rsid w:val="00B968CC"/>
    <w:rsid w:val="00BA1F94"/>
    <w:rsid w:val="00BA5370"/>
    <w:rsid w:val="00BC6F5E"/>
    <w:rsid w:val="00BF64DD"/>
    <w:rsid w:val="00C56908"/>
    <w:rsid w:val="00C86BDE"/>
    <w:rsid w:val="00C925C7"/>
    <w:rsid w:val="00C9595C"/>
    <w:rsid w:val="00CA2809"/>
    <w:rsid w:val="00CB50FF"/>
    <w:rsid w:val="00CE6C3F"/>
    <w:rsid w:val="00D14593"/>
    <w:rsid w:val="00D439F7"/>
    <w:rsid w:val="00D934F0"/>
    <w:rsid w:val="00DB7797"/>
    <w:rsid w:val="00E260D2"/>
    <w:rsid w:val="00E93C31"/>
    <w:rsid w:val="00ED0C3A"/>
    <w:rsid w:val="00EE0ABC"/>
    <w:rsid w:val="00F10092"/>
    <w:rsid w:val="00F3233A"/>
    <w:rsid w:val="00F37C97"/>
    <w:rsid w:val="00F53D0B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F50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1212</Words>
  <Characters>6610</Characters>
  <Application>Microsoft Office Word</Application>
  <DocSecurity>0</DocSecurity>
  <Lines>127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4</cp:revision>
  <cp:lastPrinted>2025-10-14T13:26:00Z</cp:lastPrinted>
  <dcterms:created xsi:type="dcterms:W3CDTF">2025-12-25T19:10:00Z</dcterms:created>
  <dcterms:modified xsi:type="dcterms:W3CDTF">2025-12-25T19:12:00Z</dcterms:modified>
</cp:coreProperties>
</file>