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6F3949C"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AA08C3">
        <w:rPr>
          <w:rFonts w:ascii="Source Serif Pro" w:hAnsi="Source Serif Pro"/>
          <w:b/>
          <w:bCs/>
          <w:sz w:val="26"/>
          <w:szCs w:val="28"/>
        </w:rPr>
        <w:t>da 5ª Vara Criminal</w:t>
      </w:r>
    </w:p>
    <w:p w14:paraId="0BE51421" w14:textId="751A2211" w:rsidR="00B968CC" w:rsidRPr="00B24A33" w:rsidRDefault="00AA08C3"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07573816" w14:textId="0E3C4679"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750933D4" w:rsidR="00DB7797" w:rsidRPr="00B24A33" w:rsidRDefault="002A18AC" w:rsidP="00DB7797">
      <w:pPr>
        <w:spacing w:before="40" w:after="0"/>
        <w:rPr>
          <w:rFonts w:ascii="Source Serif Pro" w:hAnsi="Source Serif Pro" w:cs="Segoe UI"/>
          <w:sz w:val="18"/>
          <w:szCs w:val="18"/>
        </w:rPr>
      </w:pPr>
      <w:r>
        <w:rPr>
          <w:rFonts w:ascii="Source Serif Pro" w:hAnsi="Source Serif Pro" w:cs="Segoe UI Semibold"/>
          <w:sz w:val="18"/>
          <w:szCs w:val="18"/>
        </w:rPr>
        <w:t>Réu</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4ED38659"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7C0711">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sidR="007C0711">
        <w:rPr>
          <w:rFonts w:ascii="Source Serif Pro" w:hAnsi="Source Serif Pro"/>
        </w:rPr>
        <w:t>com base no art. 396 e 396-A do CPP, vem a presença de Vossa Excelência apresentar</w:t>
      </w:r>
    </w:p>
    <w:p w14:paraId="2CD2B9C5" w14:textId="2D16C945" w:rsidR="00B57D96" w:rsidRPr="007A0B17" w:rsidRDefault="007C071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RESPOSTA À ACUSAÇÃO</w:t>
      </w:r>
    </w:p>
    <w:p w14:paraId="46AE4AF2" w14:textId="27AF17D7" w:rsidR="00EE0ABC" w:rsidRDefault="007C0711" w:rsidP="00163268">
      <w:pPr>
        <w:spacing w:before="120" w:after="120" w:line="312" w:lineRule="auto"/>
        <w:ind w:firstLine="567"/>
        <w:jc w:val="both"/>
        <w:rPr>
          <w:rFonts w:ascii="Source Serif Pro" w:hAnsi="Source Serif Pro"/>
        </w:rPr>
      </w:pPr>
      <w:r>
        <w:rPr>
          <w:rFonts w:ascii="Source Serif Pro" w:hAnsi="Source Serif Pro"/>
        </w:rPr>
        <w:t>pelas razões de fato e de direito que passa a expor</w:t>
      </w:r>
      <w:r w:rsidR="002D3115">
        <w:rPr>
          <w:rFonts w:ascii="Source Serif Pro" w:hAnsi="Source Serif Pro"/>
        </w:rPr>
        <w:t>:</w:t>
      </w:r>
    </w:p>
    <w:p w14:paraId="39C3B02F" w14:textId="77777777" w:rsidR="009D20DB" w:rsidRPr="009D20DB" w:rsidRDefault="009D20DB" w:rsidP="009D20DB">
      <w:pPr>
        <w:pStyle w:val="SemEspaamento"/>
      </w:pPr>
      <w:r w:rsidRPr="009D20DB">
        <w:t xml:space="preserve">Nesta fase processual, após análise detida da denúncia e dos elementos que a instruem, a Defesa esclarece que </w:t>
      </w:r>
      <w:r w:rsidRPr="009D20DB">
        <w:rPr>
          <w:b/>
          <w:bCs/>
        </w:rPr>
        <w:t>não identifica, por ora, vícios formais ou nulidades processuais</w:t>
      </w:r>
      <w:r w:rsidRPr="009D20DB">
        <w:t xml:space="preserve"> que demandem o enfrentamento de preliminares específicas em sede de Resposta à Acusação. Assim, não há, neste momento, questões de ordem processual a serem suscitadas que possam obstar o regular prosseguimento do feito.</w:t>
      </w:r>
    </w:p>
    <w:p w14:paraId="234AD1EB" w14:textId="77777777" w:rsidR="009D20DB" w:rsidRPr="009D20DB" w:rsidRDefault="009D20DB" w:rsidP="009D20DB">
      <w:pPr>
        <w:pStyle w:val="SemEspaamento"/>
      </w:pPr>
      <w:r w:rsidRPr="009D20DB">
        <w:t xml:space="preserve">Ressalte-se, entretanto, que a </w:t>
      </w:r>
      <w:r w:rsidRPr="009D20DB">
        <w:rPr>
          <w:b/>
          <w:bCs/>
        </w:rPr>
        <w:t>ausência de preliminares</w:t>
      </w:r>
      <w:r w:rsidRPr="009D20DB">
        <w:t xml:space="preserve"> nesta oportunidade não implica renúncia a eventuais teses que venham a surgir no decorrer da instrução, sobretudo diante da produção de novas provas ou da juntada de documentos pelo Ministério Público. Caso sobrevenham elementos que revelem nulidades, irregularidades ou qualquer violação às garantias constitucionais do acusado, a Defesa se reserva o direito de suscitá-las oportunamente, pela via processual adequada.</w:t>
      </w:r>
    </w:p>
    <w:p w14:paraId="0863EBDB" w14:textId="77777777" w:rsidR="009D20DB" w:rsidRPr="009D20DB" w:rsidRDefault="009D20DB" w:rsidP="009D20DB">
      <w:pPr>
        <w:pStyle w:val="SemEspaamento"/>
      </w:pPr>
      <w:r w:rsidRPr="009D20DB">
        <w:t xml:space="preserve">No que se refere ao </w:t>
      </w:r>
      <w:r w:rsidRPr="009D20DB">
        <w:rPr>
          <w:b/>
          <w:bCs/>
        </w:rPr>
        <w:t>mérito propriamente dito</w:t>
      </w:r>
      <w:r w:rsidRPr="009D20DB">
        <w:t xml:space="preserve">, a Defesa entende que o exame aprofundado das imputações deverá ser realizado em momento posterior, especialmente após a colheita da prova oral e demais elementos de convicção em audiência de instrução e julgamento. Somente então, de posse de um quadro probatório completo, será possível o desenvolvimento pleno das teses defensivas de fato e de </w:t>
      </w:r>
      <w:r w:rsidRPr="009D20DB">
        <w:lastRenderedPageBreak/>
        <w:t>direito, com a devida demonstração da inocência do acusado ou da improcedência da pretensão punitiva</w:t>
      </w:r>
    </w:p>
    <w:p w14:paraId="6E4DAA96" w14:textId="77777777" w:rsidR="009D20DB" w:rsidRDefault="009D20DB" w:rsidP="009D20DB">
      <w:pPr>
        <w:pStyle w:val="SemEspaamento"/>
      </w:pPr>
      <w:r>
        <w:t xml:space="preserve">Outrossim, requer que todas as publicações sejam feitas exclusivamente no nome do advogado </w:t>
      </w:r>
      <w:r>
        <w:rPr>
          <w:b/>
          <w:bCs/>
        </w:rPr>
        <w:t>....., OAB/.... XXX.XXX</w:t>
      </w:r>
      <w:r>
        <w:t>, sob pena de nulidade.</w:t>
      </w:r>
    </w:p>
    <w:p w14:paraId="34961C7A" w14:textId="77777777" w:rsidR="009D20DB" w:rsidRDefault="009D20DB" w:rsidP="009D20DB">
      <w:pPr>
        <w:pStyle w:val="SemEspaamento"/>
        <w:pBdr>
          <w:bottom w:val="single" w:sz="4" w:space="1" w:color="auto"/>
        </w:pBdr>
        <w:spacing w:before="0" w:after="0" w:line="240" w:lineRule="auto"/>
        <w:ind w:left="2268" w:firstLine="0"/>
      </w:pPr>
      <w:r>
        <w:rPr>
          <w:b/>
          <w:bCs/>
          <w:sz w:val="36"/>
          <w:szCs w:val="36"/>
        </w:rPr>
        <w:t>STJ</w:t>
      </w:r>
      <w:r>
        <w:t xml:space="preserve"> </w:t>
      </w:r>
      <w:r>
        <w:rPr>
          <w:color w:val="808080" w:themeColor="background1" w:themeShade="80"/>
        </w:rPr>
        <w:t>– HC n. 270.534/SC, relator Ministro Ribeiro Dantas</w:t>
      </w:r>
    </w:p>
    <w:p w14:paraId="7DCF4204" w14:textId="77777777" w:rsidR="009D20DB" w:rsidRDefault="009D20DB" w:rsidP="009D20DB">
      <w:pPr>
        <w:pStyle w:val="SemEspaamento"/>
        <w:spacing w:before="0" w:after="0" w:line="240" w:lineRule="auto"/>
        <w:ind w:left="2268" w:firstLine="0"/>
      </w:pPr>
      <w:r>
        <w:rPr>
          <w:i/>
          <w:iCs/>
        </w:rPr>
        <w:t xml:space="preserve">Segundo entendimento desta Corte, estando o réu representado por mais de um advogado, basta, em regra, que a intimação seja realizada em nome de um deles para a validade dos atos processuais, </w:t>
      </w:r>
      <w:r>
        <w:rPr>
          <w:b/>
          <w:bCs/>
          <w:i/>
          <w:iCs/>
        </w:rPr>
        <w:t>salvo quando houver requerimento expresso para que as publicações sejam feitas de forma diversa</w:t>
      </w:r>
      <w:r>
        <w:rPr>
          <w:i/>
          <w:iCs/>
        </w:rPr>
        <w:t>.</w:t>
      </w:r>
    </w:p>
    <w:p w14:paraId="7BB49DA4" w14:textId="77777777" w:rsidR="009D20DB" w:rsidRDefault="009D20DB" w:rsidP="007C59F9">
      <w:pPr>
        <w:spacing w:before="120" w:after="120" w:line="312" w:lineRule="auto"/>
        <w:ind w:firstLine="567"/>
        <w:jc w:val="both"/>
        <w:rPr>
          <w:rFonts w:ascii="Source Serif Pro" w:hAnsi="Source Serif Pro"/>
        </w:rPr>
      </w:pPr>
    </w:p>
    <w:p w14:paraId="07B64C32" w14:textId="06D0AECB" w:rsidR="007C59F9" w:rsidRPr="007C59F9" w:rsidRDefault="009D20DB" w:rsidP="007C59F9">
      <w:pPr>
        <w:spacing w:before="120" w:after="120" w:line="312" w:lineRule="auto"/>
        <w:ind w:firstLine="567"/>
        <w:jc w:val="both"/>
        <w:rPr>
          <w:rFonts w:ascii="Source Serif Pro" w:hAnsi="Source Serif Pro"/>
        </w:rPr>
      </w:pPr>
      <w:r>
        <w:rPr>
          <w:rFonts w:ascii="Source Serif Pro" w:hAnsi="Source Serif Pro"/>
        </w:rPr>
        <w:t>A</w:t>
      </w:r>
      <w:r w:rsidR="007C59F9">
        <w:rPr>
          <w:rFonts w:ascii="Source Serif Pro" w:hAnsi="Source Serif Pro"/>
        </w:rPr>
        <w:t>rrola como testemunhas as mesmas apontadas pelo Ministério Público e as pessoas indicadas no rol ao final.</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6D2CF3F0"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5F65F7">
        <w:rPr>
          <w:rFonts w:ascii="Source Serif Pro" w:hAnsi="Source Serif Pro"/>
          <w:noProof/>
        </w:rPr>
        <w:t>21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p w14:paraId="37796586" w14:textId="77777777" w:rsidR="00A67F26" w:rsidRDefault="00A67F26" w:rsidP="00A67F26">
      <w:pPr>
        <w:spacing w:after="0" w:line="240" w:lineRule="auto"/>
        <w:rPr>
          <w:rFonts w:ascii="Source Serif Pro" w:hAnsi="Source Serif Pro"/>
        </w:rPr>
      </w:pPr>
    </w:p>
    <w:p w14:paraId="61CE08AD" w14:textId="46A2D4E8" w:rsidR="00A67F26" w:rsidRDefault="00A67F26" w:rsidP="00A67F26">
      <w:pPr>
        <w:spacing w:before="120" w:after="120" w:line="288" w:lineRule="auto"/>
        <w:rPr>
          <w:rFonts w:ascii="Source Serif Pro" w:hAnsi="Source Serif Pro"/>
        </w:rPr>
      </w:pPr>
      <w:r w:rsidRPr="00A67F26">
        <w:rPr>
          <w:rFonts w:ascii="Source Serif Pro" w:hAnsi="Source Serif Pro"/>
          <w:b/>
          <w:bCs/>
        </w:rPr>
        <w:t>Rol de testemunhas</w:t>
      </w:r>
      <w:r>
        <w:rPr>
          <w:rFonts w:ascii="Source Serif Pro" w:hAnsi="Source Serif Pro"/>
        </w:rPr>
        <w:t>:</w:t>
      </w:r>
    </w:p>
    <w:p w14:paraId="67D79248" w14:textId="7AF866A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2A3DF07A" w14:textId="6E5D502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6B60B8BD" w14:textId="77777777" w:rsidR="00A67F26" w:rsidRP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19F87301" w14:textId="77777777" w:rsidR="00A67F26" w:rsidRPr="00A67F26" w:rsidRDefault="00A67F26" w:rsidP="00A67F26">
      <w:pPr>
        <w:spacing w:after="0" w:line="240" w:lineRule="auto"/>
        <w:ind w:left="360"/>
        <w:rPr>
          <w:rFonts w:ascii="Source Serif Pro" w:hAnsi="Source Serif Pro"/>
        </w:rPr>
      </w:pPr>
    </w:p>
    <w:sectPr w:rsidR="00A67F26" w:rsidRPr="00A67F26"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EC00" w14:textId="77777777" w:rsidR="007803C7" w:rsidRDefault="007803C7" w:rsidP="00BA1F94">
      <w:pPr>
        <w:spacing w:after="0" w:line="240" w:lineRule="auto"/>
      </w:pPr>
      <w:r>
        <w:separator/>
      </w:r>
    </w:p>
  </w:endnote>
  <w:endnote w:type="continuationSeparator" w:id="0">
    <w:p w14:paraId="4C9F310B" w14:textId="77777777" w:rsidR="007803C7" w:rsidRDefault="007803C7"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8F5A2" w14:textId="77777777" w:rsidR="007803C7" w:rsidRDefault="007803C7" w:rsidP="00BA1F94">
      <w:pPr>
        <w:spacing w:after="0" w:line="240" w:lineRule="auto"/>
      </w:pPr>
      <w:r>
        <w:separator/>
      </w:r>
    </w:p>
  </w:footnote>
  <w:footnote w:type="continuationSeparator" w:id="0">
    <w:p w14:paraId="3BF413A0" w14:textId="77777777" w:rsidR="007803C7" w:rsidRDefault="007803C7"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1920"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7"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9"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29"/>
  </w:num>
  <w:num w:numId="15" w16cid:durableId="189689990">
    <w:abstractNumId w:val="23"/>
  </w:num>
  <w:num w:numId="16" w16cid:durableId="106320463">
    <w:abstractNumId w:val="26"/>
  </w:num>
  <w:num w:numId="17" w16cid:durableId="757795001">
    <w:abstractNumId w:val="7"/>
  </w:num>
  <w:num w:numId="18" w16cid:durableId="507915239">
    <w:abstractNumId w:val="25"/>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7"/>
  </w:num>
  <w:num w:numId="31" w16cid:durableId="939022436">
    <w:abstractNumId w:val="18"/>
  </w:num>
  <w:num w:numId="32" w16cid:durableId="1358387731">
    <w:abstractNumId w:val="28"/>
  </w:num>
  <w:num w:numId="33" w16cid:durableId="1918588421">
    <w:abstractNumId w:val="14"/>
  </w:num>
  <w:num w:numId="34" w16cid:durableId="508368672">
    <w:abstractNumId w:val="8"/>
  </w:num>
  <w:num w:numId="35" w16cid:durableId="997265681">
    <w:abstractNumId w:val="24"/>
  </w:num>
  <w:num w:numId="36" w16cid:durableId="1900631713">
    <w:abstractNumId w:val="4"/>
  </w:num>
  <w:num w:numId="37" w16cid:durableId="2024433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633B8"/>
    <w:rsid w:val="000765C6"/>
    <w:rsid w:val="000911F8"/>
    <w:rsid w:val="000A234B"/>
    <w:rsid w:val="000B2591"/>
    <w:rsid w:val="001153D8"/>
    <w:rsid w:val="00144A4B"/>
    <w:rsid w:val="0015581C"/>
    <w:rsid w:val="00163268"/>
    <w:rsid w:val="001C6CE0"/>
    <w:rsid w:val="001E64BE"/>
    <w:rsid w:val="001E7DF5"/>
    <w:rsid w:val="001F3409"/>
    <w:rsid w:val="00205995"/>
    <w:rsid w:val="0021210F"/>
    <w:rsid w:val="0021462C"/>
    <w:rsid w:val="00255925"/>
    <w:rsid w:val="00265B72"/>
    <w:rsid w:val="002731A1"/>
    <w:rsid w:val="002A18AC"/>
    <w:rsid w:val="002C012C"/>
    <w:rsid w:val="002D3115"/>
    <w:rsid w:val="002E0484"/>
    <w:rsid w:val="002F00FD"/>
    <w:rsid w:val="002F4394"/>
    <w:rsid w:val="00307183"/>
    <w:rsid w:val="00334B83"/>
    <w:rsid w:val="00335715"/>
    <w:rsid w:val="0035269F"/>
    <w:rsid w:val="003602F7"/>
    <w:rsid w:val="003A171C"/>
    <w:rsid w:val="003A1DD2"/>
    <w:rsid w:val="003A4B72"/>
    <w:rsid w:val="003A76A4"/>
    <w:rsid w:val="003A7CB9"/>
    <w:rsid w:val="0041600B"/>
    <w:rsid w:val="00421C44"/>
    <w:rsid w:val="004526A3"/>
    <w:rsid w:val="00462A1D"/>
    <w:rsid w:val="00466093"/>
    <w:rsid w:val="00473494"/>
    <w:rsid w:val="004A1397"/>
    <w:rsid w:val="004B23AC"/>
    <w:rsid w:val="004C2B0E"/>
    <w:rsid w:val="004C78F2"/>
    <w:rsid w:val="004E1F61"/>
    <w:rsid w:val="004F6860"/>
    <w:rsid w:val="00502064"/>
    <w:rsid w:val="00510D1D"/>
    <w:rsid w:val="005177F9"/>
    <w:rsid w:val="005271CA"/>
    <w:rsid w:val="00547988"/>
    <w:rsid w:val="00552F50"/>
    <w:rsid w:val="0056423A"/>
    <w:rsid w:val="005701F5"/>
    <w:rsid w:val="005702CF"/>
    <w:rsid w:val="00575469"/>
    <w:rsid w:val="00585236"/>
    <w:rsid w:val="00596D6C"/>
    <w:rsid w:val="005A6E55"/>
    <w:rsid w:val="005C54F8"/>
    <w:rsid w:val="005F47A7"/>
    <w:rsid w:val="005F65F7"/>
    <w:rsid w:val="00610355"/>
    <w:rsid w:val="00617C7C"/>
    <w:rsid w:val="00636660"/>
    <w:rsid w:val="00636D00"/>
    <w:rsid w:val="006419C1"/>
    <w:rsid w:val="0064461A"/>
    <w:rsid w:val="00673A8C"/>
    <w:rsid w:val="006916BF"/>
    <w:rsid w:val="006A3AEB"/>
    <w:rsid w:val="006B1A62"/>
    <w:rsid w:val="006B1C85"/>
    <w:rsid w:val="006D5BE0"/>
    <w:rsid w:val="006E26AE"/>
    <w:rsid w:val="006F33DE"/>
    <w:rsid w:val="007020CA"/>
    <w:rsid w:val="00716815"/>
    <w:rsid w:val="00720D57"/>
    <w:rsid w:val="00724E8D"/>
    <w:rsid w:val="00763304"/>
    <w:rsid w:val="007803C7"/>
    <w:rsid w:val="007A0B17"/>
    <w:rsid w:val="007B7295"/>
    <w:rsid w:val="007C0711"/>
    <w:rsid w:val="007C59F9"/>
    <w:rsid w:val="007E3DC1"/>
    <w:rsid w:val="007F0F05"/>
    <w:rsid w:val="00802A06"/>
    <w:rsid w:val="0081592C"/>
    <w:rsid w:val="008235F0"/>
    <w:rsid w:val="00860199"/>
    <w:rsid w:val="00880278"/>
    <w:rsid w:val="00884412"/>
    <w:rsid w:val="008B03CF"/>
    <w:rsid w:val="008B41F3"/>
    <w:rsid w:val="008F0F7D"/>
    <w:rsid w:val="00902436"/>
    <w:rsid w:val="00915234"/>
    <w:rsid w:val="00924899"/>
    <w:rsid w:val="009825A3"/>
    <w:rsid w:val="00983A54"/>
    <w:rsid w:val="0099073D"/>
    <w:rsid w:val="0099435F"/>
    <w:rsid w:val="009A601B"/>
    <w:rsid w:val="009D178E"/>
    <w:rsid w:val="009D20DB"/>
    <w:rsid w:val="009E098F"/>
    <w:rsid w:val="009F311E"/>
    <w:rsid w:val="00A01420"/>
    <w:rsid w:val="00A47F27"/>
    <w:rsid w:val="00A67F26"/>
    <w:rsid w:val="00A73B53"/>
    <w:rsid w:val="00A82AD8"/>
    <w:rsid w:val="00A8787D"/>
    <w:rsid w:val="00A87D34"/>
    <w:rsid w:val="00A97C42"/>
    <w:rsid w:val="00AA08C3"/>
    <w:rsid w:val="00AA31B3"/>
    <w:rsid w:val="00AB2011"/>
    <w:rsid w:val="00B0317F"/>
    <w:rsid w:val="00B04357"/>
    <w:rsid w:val="00B24A33"/>
    <w:rsid w:val="00B57D96"/>
    <w:rsid w:val="00B77BFB"/>
    <w:rsid w:val="00B77E49"/>
    <w:rsid w:val="00B85546"/>
    <w:rsid w:val="00B85981"/>
    <w:rsid w:val="00B968CC"/>
    <w:rsid w:val="00BA1F94"/>
    <w:rsid w:val="00BA5370"/>
    <w:rsid w:val="00BC6F5E"/>
    <w:rsid w:val="00BF64DD"/>
    <w:rsid w:val="00C56908"/>
    <w:rsid w:val="00C86BDE"/>
    <w:rsid w:val="00C925C7"/>
    <w:rsid w:val="00C9595C"/>
    <w:rsid w:val="00CA2809"/>
    <w:rsid w:val="00CA3287"/>
    <w:rsid w:val="00CB50FF"/>
    <w:rsid w:val="00CE6C3F"/>
    <w:rsid w:val="00D14593"/>
    <w:rsid w:val="00D343B2"/>
    <w:rsid w:val="00D37B62"/>
    <w:rsid w:val="00D75D54"/>
    <w:rsid w:val="00D7692D"/>
    <w:rsid w:val="00D934F0"/>
    <w:rsid w:val="00D94708"/>
    <w:rsid w:val="00DB0C17"/>
    <w:rsid w:val="00DB7797"/>
    <w:rsid w:val="00E260D2"/>
    <w:rsid w:val="00E70C92"/>
    <w:rsid w:val="00EA061D"/>
    <w:rsid w:val="00ED0C3A"/>
    <w:rsid w:val="00EE0ABC"/>
    <w:rsid w:val="00F10092"/>
    <w:rsid w:val="00F3233A"/>
    <w:rsid w:val="00F37C97"/>
    <w:rsid w:val="00F46652"/>
    <w:rsid w:val="00F53D0B"/>
    <w:rsid w:val="00F81339"/>
    <w:rsid w:val="00F84566"/>
    <w:rsid w:val="00F85AD9"/>
    <w:rsid w:val="00F961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F50"/>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408</Words>
  <Characters>2220</Characters>
  <Application>Microsoft Office Word</Application>
  <DocSecurity>0</DocSecurity>
  <Lines>41</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3</cp:revision>
  <cp:lastPrinted>2025-10-14T13:26:00Z</cp:lastPrinted>
  <dcterms:created xsi:type="dcterms:W3CDTF">2025-11-21T20:49:00Z</dcterms:created>
  <dcterms:modified xsi:type="dcterms:W3CDTF">2025-11-21T20:51:00Z</dcterms:modified>
</cp:coreProperties>
</file>