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36F3949C"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Juiz de Direito</w:t>
      </w:r>
      <w:r w:rsidRPr="0015581C">
        <w:rPr>
          <w:rFonts w:ascii="Source Serif Pro" w:hAnsi="Source Serif Pro"/>
          <w:b/>
          <w:bCs/>
          <w:sz w:val="26"/>
          <w:szCs w:val="28"/>
        </w:rPr>
        <w:t xml:space="preserve"> </w:t>
      </w:r>
      <w:r w:rsidR="00AA08C3">
        <w:rPr>
          <w:rFonts w:ascii="Source Serif Pro" w:hAnsi="Source Serif Pro"/>
          <w:b/>
          <w:bCs/>
          <w:sz w:val="26"/>
          <w:szCs w:val="28"/>
        </w:rPr>
        <w:t>da 5ª Vara Criminal</w:t>
      </w:r>
    </w:p>
    <w:p w14:paraId="0BE51421" w14:textId="751A2211" w:rsidR="00B968CC" w:rsidRPr="00B24A33" w:rsidRDefault="00AA08C3" w:rsidP="00AB2011">
      <w:pPr>
        <w:spacing w:after="0" w:line="240" w:lineRule="auto"/>
        <w:rPr>
          <w:rFonts w:ascii="Source Serif Pro" w:hAnsi="Source Serif Pro"/>
          <w:i/>
          <w:iCs/>
          <w:sz w:val="22"/>
          <w:szCs w:val="22"/>
        </w:rPr>
      </w:pPr>
      <w:r>
        <w:rPr>
          <w:rFonts w:ascii="Source Serif Pro" w:hAnsi="Source Serif Pro"/>
          <w:i/>
          <w:iCs/>
          <w:sz w:val="22"/>
          <w:szCs w:val="22"/>
        </w:rPr>
        <w:t>Comarca de São Paulo - SP</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07573816" w14:textId="0E3C4679"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4B23AC">
        <w:rPr>
          <w:rFonts w:ascii="Source Serif Pro" w:hAnsi="Source Serif Pro" w:cs="Segoe UI Semibold"/>
          <w:noProof/>
          <w:spacing w:val="10"/>
          <w:sz w:val="21"/>
          <w:szCs w:val="21"/>
        </w:rPr>
        <w:t xml:space="preserve">Autos n. </w:t>
      </w:r>
      <w:r w:rsidR="005A6E55">
        <w:rPr>
          <w:rFonts w:ascii="Source Serif Pro" w:hAnsi="Source Serif Pro" w:cs="Segoe UI Semibold"/>
          <w:noProof/>
          <w:spacing w:val="10"/>
          <w:sz w:val="21"/>
          <w:szCs w:val="21"/>
        </w:rPr>
        <w:t>.....</w:t>
      </w:r>
    </w:p>
    <w:p w14:paraId="41C34F6F" w14:textId="750933D4" w:rsidR="00DB7797" w:rsidRPr="00B24A33" w:rsidRDefault="002A18AC" w:rsidP="00DB7797">
      <w:pPr>
        <w:spacing w:before="40" w:after="0"/>
        <w:rPr>
          <w:rFonts w:ascii="Source Serif Pro" w:hAnsi="Source Serif Pro" w:cs="Segoe UI"/>
          <w:sz w:val="18"/>
          <w:szCs w:val="18"/>
        </w:rPr>
      </w:pPr>
      <w:r>
        <w:rPr>
          <w:rFonts w:ascii="Source Serif Pro" w:hAnsi="Source Serif Pro" w:cs="Segoe UI Semibold"/>
          <w:sz w:val="18"/>
          <w:szCs w:val="18"/>
        </w:rPr>
        <w:t>Réu</w:t>
      </w:r>
      <w:r w:rsidR="00DB7797" w:rsidRPr="00B24A33">
        <w:rPr>
          <w:rFonts w:ascii="Source Serif Pro" w:hAnsi="Source Serif Pro" w:cs="Segoe UI Semibold"/>
          <w:sz w:val="18"/>
          <w:szCs w:val="18"/>
        </w:rPr>
        <w:t xml:space="preserve">: </w:t>
      </w:r>
      <w:r w:rsidR="001C6CE0">
        <w:rPr>
          <w:rFonts w:ascii="Source Serif Pro" w:hAnsi="Source Serif Pro" w:cs="Segoe UI"/>
          <w:sz w:val="18"/>
          <w:szCs w:val="18"/>
        </w:rPr>
        <w:t>Nome do Cliente</w:t>
      </w: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4ED38659"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7C0711">
        <w:rPr>
          <w:rFonts w:ascii="Source Serif Pro" w:hAnsi="Source Serif Pro"/>
        </w:rPr>
        <w:t>já qualificado nos autos em epígrafe</w:t>
      </w:r>
      <w:r w:rsidR="0015581C" w:rsidRPr="0015581C">
        <w:rPr>
          <w:rFonts w:ascii="Source Serif Pro" w:hAnsi="Source Serif Pro"/>
        </w:rPr>
        <w:t xml:space="preserve">, por meio de seu advogado que esta subscreve, </w:t>
      </w:r>
      <w:r w:rsidR="007C0711">
        <w:rPr>
          <w:rFonts w:ascii="Source Serif Pro" w:hAnsi="Source Serif Pro"/>
        </w:rPr>
        <w:t>com base no art. 396 e 396-A do CPP, vem a presença de Vossa Excelência apresentar</w:t>
      </w:r>
    </w:p>
    <w:p w14:paraId="2CD2B9C5" w14:textId="2D16C945" w:rsidR="00B57D96" w:rsidRPr="007A0B17" w:rsidRDefault="007C071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RESPOSTA À ACUSAÇÃO</w:t>
      </w:r>
    </w:p>
    <w:p w14:paraId="46AE4AF2" w14:textId="27AF17D7" w:rsidR="00EE0ABC" w:rsidRDefault="007C0711" w:rsidP="00163268">
      <w:pPr>
        <w:spacing w:before="120" w:after="120" w:line="312" w:lineRule="auto"/>
        <w:ind w:firstLine="567"/>
        <w:jc w:val="both"/>
        <w:rPr>
          <w:rFonts w:ascii="Source Serif Pro" w:hAnsi="Source Serif Pro"/>
        </w:rPr>
      </w:pPr>
      <w:r>
        <w:rPr>
          <w:rFonts w:ascii="Source Serif Pro" w:hAnsi="Source Serif Pro"/>
        </w:rPr>
        <w:t>pelas razões de fato e de direito que passa a expor</w:t>
      </w:r>
      <w:r w:rsidR="002D3115">
        <w:rPr>
          <w:rFonts w:ascii="Source Serif Pro" w:hAnsi="Source Serif Pro"/>
        </w:rPr>
        <w:t>:</w:t>
      </w:r>
    </w:p>
    <w:p w14:paraId="1E74CFFF" w14:textId="77777777" w:rsidR="002D3115" w:rsidRPr="007A0B17" w:rsidRDefault="002D3115" w:rsidP="002D3115">
      <w:pPr>
        <w:pStyle w:val="Ttulo1"/>
      </w:pPr>
      <w:r>
        <w:t>DOS FATOS</w:t>
      </w:r>
    </w:p>
    <w:p w14:paraId="542A052E" w14:textId="77777777" w:rsidR="007C59F9" w:rsidRDefault="007C59F9" w:rsidP="007C59F9">
      <w:pPr>
        <w:pStyle w:val="SemEspaamento"/>
      </w:pPr>
      <w:r>
        <w:t>O acusado foi preso em flagrante em razão de suposta prática de crime de tráfico de drogas (ou outro descrito na denúncia), após diligência policial realizada na residência onde vive com sua família. Consta do auto de prisão em flagrante que policiais militares receberam denúncia anônima informando que no local haveria comércio de entorpecentes e, de imediato, dirigiram-se ao endereço indicado, sem que houvesse investigação prévia, campana ou qualquer outra medida de verificação da veracidade da notícia.</w:t>
      </w:r>
    </w:p>
    <w:p w14:paraId="36D772E2" w14:textId="77777777" w:rsidR="007C59F9" w:rsidRDefault="007C59F9" w:rsidP="007C59F9">
      <w:pPr>
        <w:pStyle w:val="SemEspaamento"/>
      </w:pPr>
      <w:r>
        <w:t>Ao chegarem ao imóvel, os agentes afirmam que o acusado, ao perceber a presença da viatura, correu para o interior da casa, ocasião em que decidiram ingressar no domicílio, sem apresentação de mandado judicial e sem a formalização de qualquer autorização escrita ou registrada do morador. A entrada foi feita de forma abrupta, sem que fossem relatadas circunstâncias concretas que indicassem, de forma clara e objetiva, a ocorrência de flagrante delito no interior da residência antes da invasão.</w:t>
      </w:r>
    </w:p>
    <w:p w14:paraId="17CB1F09" w14:textId="77777777" w:rsidR="007C59F9" w:rsidRDefault="007C59F9" w:rsidP="007C59F9">
      <w:pPr>
        <w:pStyle w:val="SemEspaamento"/>
      </w:pPr>
      <w:r>
        <w:lastRenderedPageBreak/>
        <w:t>Já dentro do imóvel, os policiais narram ter localizado certa quantidade de substância que afirmam ser droga, além de alguns objetos que entenderam relacionados à prática delitiva, procedendo à apreensão de tudo e à condução do acusado à delegacia de polícia. Toda a materialidade apontada na denúncia – apreensão, laudos e demais elementos – deriva exclusivamente dessa incursão domiciliar realizada sem mandado e sem comprovação idônea de consentimento do morador.</w:t>
      </w:r>
    </w:p>
    <w:p w14:paraId="4E142076" w14:textId="0400A171" w:rsidR="00F3233A" w:rsidRDefault="007C59F9" w:rsidP="007C59F9">
      <w:pPr>
        <w:pStyle w:val="SemEspaamento"/>
      </w:pPr>
      <w:r>
        <w:t>Desde o início, o acusado sustenta que jamais autorizou a entrada dos policiais em sua casa, tampouco foi informado de qualquer motivo concreto para a invasão, limitando-se os agentes a justificar a diligência com base em denúncia anônima e na suposta “atitude suspeita” de correr para o interior do imóvel. É a partir dessa dinâmica fática – de ingresso forçado em domicílio e de obtenção de provas dentro da residência – que se estrutura a presente resposta à acusação, voltada a demonstrar a ilegalidade do flagrante e a ilicitude das provas produzidas.</w:t>
      </w:r>
    </w:p>
    <w:p w14:paraId="2DA54DAD" w14:textId="77777777" w:rsidR="004E1F61" w:rsidRDefault="004E1F61" w:rsidP="004E1F61">
      <w:pPr>
        <w:pStyle w:val="SemEspaamento"/>
      </w:pPr>
    </w:p>
    <w:p w14:paraId="5087947A" w14:textId="67EED28A" w:rsidR="002D3115" w:rsidRDefault="00205995" w:rsidP="002D3115">
      <w:pPr>
        <w:pStyle w:val="Ttulo1"/>
        <w:spacing w:before="0" w:after="0" w:line="240" w:lineRule="auto"/>
      </w:pPr>
      <w:r>
        <w:t>INGRESSO FORÇADO EM DOMICÍLIO</w:t>
      </w:r>
    </w:p>
    <w:p w14:paraId="7C57FDD5" w14:textId="3D16C9EE" w:rsidR="002D3115" w:rsidRPr="00547988" w:rsidRDefault="00205995" w:rsidP="002D3115">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Ilegalidade do flagrante – STJ </w:t>
      </w:r>
      <w:proofErr w:type="spellStart"/>
      <w:r w:rsidRPr="00205995">
        <w:rPr>
          <w:rFonts w:ascii="Source Sans Pro" w:hAnsi="Source Sans Pro"/>
          <w:i/>
          <w:iCs/>
          <w:shd w:val="clear" w:color="auto" w:fill="FFFFFF" w:themeFill="background1"/>
        </w:rPr>
        <w:t>AgRg</w:t>
      </w:r>
      <w:proofErr w:type="spellEnd"/>
      <w:r w:rsidRPr="00205995">
        <w:rPr>
          <w:rFonts w:ascii="Source Sans Pro" w:hAnsi="Source Sans Pro"/>
          <w:i/>
          <w:iCs/>
          <w:shd w:val="clear" w:color="auto" w:fill="FFFFFF" w:themeFill="background1"/>
        </w:rPr>
        <w:t xml:space="preserve"> no HC n. 984.397/MG</w:t>
      </w:r>
    </w:p>
    <w:p w14:paraId="4F7AF8DD" w14:textId="1ED47441" w:rsidR="00205995" w:rsidRPr="00205995" w:rsidRDefault="00205995" w:rsidP="00205995">
      <w:pPr>
        <w:pStyle w:val="SemEspaamento"/>
      </w:pPr>
      <w:r w:rsidRPr="00205995">
        <w:t xml:space="preserve">O ingresso em domicílio, sem mandado judicial, é </w:t>
      </w:r>
      <w:proofErr w:type="gramStart"/>
      <w:r w:rsidRPr="00205995">
        <w:t>medida</w:t>
      </w:r>
      <w:proofErr w:type="gramEnd"/>
      <w:r w:rsidRPr="00205995">
        <w:t xml:space="preserve"> absolutamente excepcional, somente admitida quando presentes, de forma prévia e objetivamente demonstrada, </w:t>
      </w:r>
      <w:r w:rsidRPr="00205995">
        <w:rPr>
          <w:b/>
          <w:bCs/>
        </w:rPr>
        <w:t>fundadas razões</w:t>
      </w:r>
      <w:r w:rsidRPr="00205995">
        <w:t xml:space="preserve"> de que, no interior da residência, esteja ocorrendo situação de flagrante delito. Trata-se de exigência que decorre diretamente do art. 5º, XI, da Constituição Federal, bem como da interpretação conferida pelo STF e pelo STJ, segundo a qual a mera intuição policial, denúncia anônima desacompanhada de diligências prévias ou alegadas “atitudes suspeitas” não bastam para legitimar a violação da casa. </w:t>
      </w:r>
    </w:p>
    <w:p w14:paraId="3BAA15BF" w14:textId="045D3D67" w:rsidR="00205995" w:rsidRPr="00205995" w:rsidRDefault="00205995" w:rsidP="00205995">
      <w:pPr>
        <w:pStyle w:val="SemEspaamento"/>
      </w:pPr>
      <w:r w:rsidRPr="00205995">
        <w:t xml:space="preserve">No caso concreto, conforme se extrai do auto de prisão em flagrante e dos depoimentos dos próprios policiais, o ingresso na residência do acusado foi motivado, essencialmente, por denúncia anônima e pelo fato de o réu, ao avistar a viatura, ter corrido em direção ao interior do imóvel. Não havia prévia investigação, monitoramento, campana, compra controlada ou qualquer outro elemento objetivo que pudesse caracterizar “fundadas razões” de tráfico de drogas ou outro crime </w:t>
      </w:r>
      <w:r w:rsidRPr="00205995">
        <w:lastRenderedPageBreak/>
        <w:t>permanente em andamento. Em outras palavras, a diligência foi deflagrada com base em meras suspeitas genéricas, o que não atende ao padrão constitucional exigido.</w:t>
      </w:r>
    </w:p>
    <w:p w14:paraId="5EFDDEB3" w14:textId="65D43754" w:rsidR="003A171C" w:rsidRPr="003A171C" w:rsidRDefault="00205995" w:rsidP="00205995">
      <w:pPr>
        <w:pStyle w:val="SemEspaamento"/>
      </w:pPr>
      <w:r w:rsidRPr="00205995">
        <w:t xml:space="preserve">Os tribunais superiores vêm reiterando que </w:t>
      </w:r>
      <w:r w:rsidRPr="00205995">
        <w:rPr>
          <w:b/>
          <w:bCs/>
        </w:rPr>
        <w:t>denúncia anônima somada à fuga do indivíduo ao avistar a polícia, por si sós, não configuram justa causa</w:t>
      </w:r>
      <w:r w:rsidRPr="00205995">
        <w:t xml:space="preserve"> para o ingresso forçado em domicílio. Exige-se, para tanto, a existência de dados objetivos, colhidos previamente, que demonstrem a probabilidade real de ocorrência de crime no interior da residência, sob pena de nulidade da diligência e de ilicitude de todas as provas obtidas a partir dela.</w:t>
      </w:r>
    </w:p>
    <w:p w14:paraId="6A0A018A" w14:textId="77777777" w:rsidR="00205995" w:rsidRDefault="00205995" w:rsidP="00205995">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bookmarkStart w:id="0" w:name="_Hlk214467994"/>
      <w:proofErr w:type="spellStart"/>
      <w:r w:rsidRPr="0064461A">
        <w:rPr>
          <w:color w:val="808080" w:themeColor="background1" w:themeShade="80"/>
        </w:rPr>
        <w:t>AgRg</w:t>
      </w:r>
      <w:proofErr w:type="spellEnd"/>
      <w:r w:rsidRPr="0064461A">
        <w:rPr>
          <w:color w:val="808080" w:themeColor="background1" w:themeShade="80"/>
        </w:rPr>
        <w:t xml:space="preserve"> no HC n. 984.397/MG</w:t>
      </w:r>
      <w:bookmarkEnd w:id="0"/>
      <w:r w:rsidRPr="0064461A">
        <w:rPr>
          <w:color w:val="808080" w:themeColor="background1" w:themeShade="80"/>
        </w:rPr>
        <w:t xml:space="preserve">, relator Ministro </w:t>
      </w:r>
      <w:proofErr w:type="spellStart"/>
      <w:r w:rsidRPr="0064461A">
        <w:rPr>
          <w:color w:val="808080" w:themeColor="background1" w:themeShade="80"/>
        </w:rPr>
        <w:t>Antonio</w:t>
      </w:r>
      <w:proofErr w:type="spellEnd"/>
      <w:r w:rsidRPr="0064461A">
        <w:rPr>
          <w:color w:val="808080" w:themeColor="background1" w:themeShade="80"/>
        </w:rPr>
        <w:t xml:space="preserve"> Saldanha Palheiro, Sexta Turma, julgado em 10/9/2025</w:t>
      </w:r>
      <w:r w:rsidRPr="00580B73">
        <w:rPr>
          <w:color w:val="808080" w:themeColor="background1" w:themeShade="80"/>
        </w:rPr>
        <w:t>.</w:t>
      </w:r>
    </w:p>
    <w:p w14:paraId="02333851" w14:textId="164A6FA6" w:rsidR="00334B83" w:rsidRDefault="00205995" w:rsidP="00205995">
      <w:pPr>
        <w:pStyle w:val="SemEspaamento"/>
        <w:spacing w:before="60" w:after="60" w:line="276" w:lineRule="auto"/>
        <w:ind w:left="2268" w:firstLine="0"/>
        <w:rPr>
          <w:i/>
          <w:iCs/>
        </w:rPr>
      </w:pPr>
      <w:r w:rsidRPr="0064461A">
        <w:rPr>
          <w:i/>
          <w:iCs/>
        </w:rPr>
        <w:t>3. No caso em tela, constata-se que o ingresso forçado na residência onde foram apreendidas as drogas não se sustenta em fundadas razões. Isso, porque a diligência apoiou-se em denúncia anônima e na suposta autorização, combatida pela defesa e sem a respectiva comprovação da voluntariedade do residente; circunstâncias que não justificam, por si sós, a dispensa de investigações prévias ou do mandado judicial.</w:t>
      </w:r>
    </w:p>
    <w:p w14:paraId="56C03796" w14:textId="77777777" w:rsidR="00A67F26" w:rsidRDefault="00205995" w:rsidP="00205995">
      <w:pPr>
        <w:pStyle w:val="SemEspaamento"/>
      </w:pPr>
      <w:r w:rsidRPr="00205995">
        <w:t>Some-se a isso que não há registro idôneo de autorização do morador para a entrada dos policiais. Não foi colhida autorização escrita, tampouco há qualquer gravação audiovisual que comprove, de forma clara e voluntária, o consentimento do acusado (ou de outro legitimado) para a busca domiciliar. O STJ tem decidido que, em caso de alegado consentimento, incumbe ao Estado o ônus de comprovar a voluntariedade e a legalidade dessa autorização, preferencialmente por registro em áudio e vídeo; na ausência dessa prova, presume-se a invalidade do alegado consentimento.</w:t>
      </w:r>
    </w:p>
    <w:p w14:paraId="272165A9" w14:textId="77777777" w:rsidR="00A67F26" w:rsidRDefault="00A67F26" w:rsidP="00A67F26">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proofErr w:type="spellStart"/>
      <w:r w:rsidRPr="00552F50">
        <w:rPr>
          <w:color w:val="808080" w:themeColor="background1" w:themeShade="80"/>
        </w:rPr>
        <w:t>AgRg</w:t>
      </w:r>
      <w:proofErr w:type="spellEnd"/>
      <w:r w:rsidRPr="00552F50">
        <w:rPr>
          <w:color w:val="808080" w:themeColor="background1" w:themeShade="80"/>
        </w:rPr>
        <w:t xml:space="preserve"> no HC n. 757.228/SP, relator Ministro Sebastião Reis Júnior, Sexta Turma, julgado em 20/3/2023</w:t>
      </w:r>
      <w:r w:rsidRPr="00580B73">
        <w:rPr>
          <w:color w:val="808080" w:themeColor="background1" w:themeShade="80"/>
        </w:rPr>
        <w:t>.</w:t>
      </w:r>
    </w:p>
    <w:p w14:paraId="45454D47" w14:textId="4745DB03" w:rsidR="00205995" w:rsidRPr="00205995" w:rsidRDefault="00A67F26" w:rsidP="00A67F26">
      <w:pPr>
        <w:pStyle w:val="SemEspaamento"/>
        <w:spacing w:before="60" w:after="60" w:line="276" w:lineRule="auto"/>
        <w:ind w:left="2268" w:firstLine="0"/>
        <w:rPr>
          <w:i/>
          <w:iCs/>
        </w:rPr>
      </w:pPr>
      <w:r w:rsidRPr="00552F50">
        <w:rPr>
          <w:i/>
          <w:iCs/>
        </w:rPr>
        <w:t xml:space="preserve">A prova da legalidade e da voluntariedade do consentimento para o ingresso na residência do suspeito incumbe, em caso de dúvida, </w:t>
      </w:r>
      <w:r w:rsidRPr="00552F50">
        <w:rPr>
          <w:i/>
          <w:iCs/>
        </w:rPr>
        <w:lastRenderedPageBreak/>
        <w:t>ao Estado, e deve ser registrada em áudio-vídeo e preservada tal prova enquanto durar o processo</w:t>
      </w:r>
      <w:r w:rsidR="00205995" w:rsidRPr="00A67F26">
        <w:rPr>
          <w:i/>
          <w:iCs/>
        </w:rPr>
        <w:t xml:space="preserve"> </w:t>
      </w:r>
    </w:p>
    <w:p w14:paraId="0EB26B65" w14:textId="5A164ACE" w:rsidR="00205995" w:rsidRPr="00205995" w:rsidRDefault="00205995" w:rsidP="00205995">
      <w:pPr>
        <w:pStyle w:val="SemEspaamento"/>
      </w:pPr>
      <w:r w:rsidRPr="00205995">
        <w:t xml:space="preserve">Em síntese, o que se verifica é que o flagrante foi produzido a partir de uma verdadeira invasão de domicílio, sem mandado judicial, sem consentimento válido e sem a presença de fundadas razões prévias. A simples descoberta posterior de droga no interior da casa não tem o condão de convalidar a diligência ilegal, sob pena de se admitir que o êxito da busca justifica retroativamente a violação da garantia constitucional, o que já foi expressamente rechaçado pelo STJ em casos análogos. </w:t>
      </w:r>
    </w:p>
    <w:p w14:paraId="6DCEC9EB" w14:textId="77777777" w:rsidR="00205995" w:rsidRPr="00205995" w:rsidRDefault="00205995" w:rsidP="00205995">
      <w:pPr>
        <w:pStyle w:val="SemEspaamento"/>
      </w:pPr>
      <w:r w:rsidRPr="00205995">
        <w:t>Importa destacar que a narrativa policial, tal como lançada nos autos, confirma a tese defensiva: os próprios agentes relatam que foram ao local em razão de denúncia anônima, que o acusado correu para o interior da residência e que, em seguida, ingressaram no domicílio para proceder à abordagem. Não há notícia de flagrante visual prévio (como avistamento de droga, entrega a terceiro, odor intenso típico, movimentação típica de tráfico) que pudesse legitimar a violação domiciliar à luz da jurisprudência consolidada.</w:t>
      </w:r>
    </w:p>
    <w:p w14:paraId="31254079" w14:textId="77777777" w:rsidR="00205995" w:rsidRPr="00205995" w:rsidRDefault="00205995" w:rsidP="00205995">
      <w:pPr>
        <w:pStyle w:val="SemEspaamento"/>
      </w:pPr>
      <w:r w:rsidRPr="00205995">
        <w:t>Dessa forma, o flagrante se mostra materialmente ilegal, pois decorreu de ato de polícia incompatível com as exigências constitucionais e legais de proteção à inviolabilidade do domicílio. A ilegalidade não se restringe à forma, mas atinge o próprio núcleo da diligência, contaminando todo o resultado probatório produzido a partir da entrada irregular na residência do acusado.</w:t>
      </w:r>
    </w:p>
    <w:p w14:paraId="2349ED57" w14:textId="08F87176" w:rsidR="003A171C" w:rsidRPr="003A171C" w:rsidRDefault="00205995" w:rsidP="00205995">
      <w:pPr>
        <w:pStyle w:val="SemEspaamento"/>
      </w:pPr>
      <w:r w:rsidRPr="00205995">
        <w:t>Em sede de Resposta à Acusação, portanto, a defesa requer que seja reconhecida a nulidade do ingresso forçado em domicílio e, por consequência, a ilegalidade do flagrante, como premissa indispensável para o exame do próximo tópico, referente à ilicitude das provas colhidas e à falta de justa causa para o prosseguimento da ação penal.</w:t>
      </w:r>
    </w:p>
    <w:p w14:paraId="7FFAEC71" w14:textId="77777777" w:rsidR="00860199" w:rsidRDefault="00860199" w:rsidP="00D343B2">
      <w:pPr>
        <w:pStyle w:val="SemEspaamento"/>
      </w:pPr>
    </w:p>
    <w:p w14:paraId="5EEA9FF7" w14:textId="77777777" w:rsidR="00A67F26" w:rsidRDefault="00A67F26" w:rsidP="00D343B2">
      <w:pPr>
        <w:pStyle w:val="SemEspaamento"/>
      </w:pPr>
    </w:p>
    <w:p w14:paraId="430682EF" w14:textId="77777777" w:rsidR="00A67F26" w:rsidRPr="00D343B2" w:rsidRDefault="00A67F26" w:rsidP="00D343B2">
      <w:pPr>
        <w:pStyle w:val="SemEspaamento"/>
      </w:pPr>
    </w:p>
    <w:p w14:paraId="0B2FB9AB" w14:textId="3A52453D" w:rsidR="000633B8" w:rsidRDefault="00A67F26" w:rsidP="000633B8">
      <w:pPr>
        <w:pStyle w:val="Ttulo1"/>
        <w:spacing w:before="0" w:after="0" w:line="240" w:lineRule="auto"/>
      </w:pPr>
      <w:r>
        <w:lastRenderedPageBreak/>
        <w:t>PROVAS ILÍCITAS DESENTRANHAMENTO – Art. 157 CPP</w:t>
      </w:r>
      <w:r w:rsidR="000633B8">
        <w:t xml:space="preserve"> </w:t>
      </w:r>
    </w:p>
    <w:p w14:paraId="40F28CCB" w14:textId="38E25599" w:rsidR="000633B8" w:rsidRPr="00547988" w:rsidRDefault="00A67F26" w:rsidP="000633B8">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Necessidade de rejeição da denúncia</w:t>
      </w:r>
    </w:p>
    <w:p w14:paraId="7EE4B443" w14:textId="48F3A184" w:rsidR="00A67F26" w:rsidRPr="00A67F26" w:rsidRDefault="00A67F26" w:rsidP="00A67F26">
      <w:pPr>
        <w:pStyle w:val="SemEspaamento"/>
      </w:pPr>
      <w:r w:rsidRPr="00A67F26">
        <w:t xml:space="preserve">Reconhecida a ilegalidade do ingresso em domicílio, impõe-se o enquadramento das provas colhidas na residência do acusado – notadamente a suposta apreensão de drogas ou objetos incriminadores – como provas ilícitas, nos termos do art. 157 do Código de Processo Penal. O dispositivo é categórico ao estabelecer que são inadmissíveis, devendo ser desentranhadas dos autos, as provas obtidas com violação a normas constitucionais ou legais. </w:t>
      </w:r>
    </w:p>
    <w:p w14:paraId="26E47031" w14:textId="3CA960CE" w:rsidR="00A67F26" w:rsidRPr="00A67F26" w:rsidRDefault="00A67F26" w:rsidP="00A67F26">
      <w:pPr>
        <w:pStyle w:val="SemEspaamento"/>
      </w:pPr>
      <w:r w:rsidRPr="00A67F26">
        <w:t xml:space="preserve">No caso em análise, a violação atinge diretamente garantia fundamental prevista no art. 5º, XI, da Constituição Federal (inviolabilidade de domicílio). Trata-se de hipótese clássica de ilicitude probatória, em que a diligência invasiva – sem mandado, sem consentimento válido e sem fundadas razões – serve de origem para todas as demais provas produzidas. Assim, tanto a apreensão realizada dentro da residência quanto os laudos periciais dela decorrentes são frutos diretos de um ato inconstitucional, devendo ser excluídos do acervo probatório pela teoria dos frutos da árvore envenenada. </w:t>
      </w:r>
    </w:p>
    <w:p w14:paraId="4A9B6BC3" w14:textId="2D98094B" w:rsidR="00860199" w:rsidRPr="00860199" w:rsidRDefault="00A67F26" w:rsidP="00A67F26">
      <w:pPr>
        <w:pStyle w:val="SemEspaamento"/>
      </w:pPr>
      <w:r w:rsidRPr="00A67F26">
        <w:t xml:space="preserve">A jurisprudência do STJ e do STF vem afirmando, em diversos precedentes, que a anulação da busca domiciliar ilegal implica a nulidade de todas as provas derivadas, inclusive laudos, depoimentos e demais elementos que apenas existiram em razão da diligência viciada. Em decisões recentes, a Sexta Turma do STJ reconheceu a invasão ilegal e determinou o desentranhamento das provas, chegando, inclusive, à rejeição da denúncia ou ao trancamento da ação penal quando inexistiam outros elementos autônomos de materialidade e autoria. </w:t>
      </w:r>
    </w:p>
    <w:p w14:paraId="661A7F45" w14:textId="406AE2ED" w:rsidR="000633B8" w:rsidRDefault="000633B8" w:rsidP="000633B8">
      <w:pPr>
        <w:pStyle w:val="SemEspaamento"/>
        <w:pBdr>
          <w:bottom w:val="single" w:sz="4" w:space="1" w:color="auto"/>
        </w:pBdr>
        <w:spacing w:before="60" w:after="60" w:line="240" w:lineRule="auto"/>
        <w:ind w:left="2268" w:firstLine="0"/>
      </w:pPr>
      <w:r w:rsidRPr="00ED0C3A">
        <w:rPr>
          <w:b/>
          <w:bCs/>
          <w:sz w:val="36"/>
          <w:szCs w:val="36"/>
        </w:rPr>
        <w:t>STJ</w:t>
      </w:r>
      <w:r>
        <w:t xml:space="preserve"> </w:t>
      </w:r>
      <w:r w:rsidRPr="00ED0C3A">
        <w:rPr>
          <w:color w:val="808080" w:themeColor="background1" w:themeShade="80"/>
        </w:rPr>
        <w:t xml:space="preserve">– </w:t>
      </w:r>
      <w:proofErr w:type="spellStart"/>
      <w:r w:rsidR="00A67F26" w:rsidRPr="00A67F26">
        <w:rPr>
          <w:color w:val="808080" w:themeColor="background1" w:themeShade="80"/>
        </w:rPr>
        <w:t>AgRg</w:t>
      </w:r>
      <w:proofErr w:type="spellEnd"/>
      <w:r w:rsidR="00A67F26" w:rsidRPr="00A67F26">
        <w:rPr>
          <w:color w:val="808080" w:themeColor="background1" w:themeShade="80"/>
        </w:rPr>
        <w:t xml:space="preserve"> no HC n. 950.425/SP, relator Ministro Rogerio </w:t>
      </w:r>
      <w:proofErr w:type="spellStart"/>
      <w:r w:rsidR="00A67F26" w:rsidRPr="00A67F26">
        <w:rPr>
          <w:color w:val="808080" w:themeColor="background1" w:themeShade="80"/>
        </w:rPr>
        <w:t>Schietti</w:t>
      </w:r>
      <w:proofErr w:type="spellEnd"/>
      <w:r w:rsidR="00A67F26" w:rsidRPr="00A67F26">
        <w:rPr>
          <w:color w:val="808080" w:themeColor="background1" w:themeShade="80"/>
        </w:rPr>
        <w:t xml:space="preserve"> Cruz, Sexta Turma, julgado em 20/8/2025</w:t>
      </w:r>
      <w:r w:rsidRPr="00580B73">
        <w:rPr>
          <w:color w:val="808080" w:themeColor="background1" w:themeShade="80"/>
        </w:rPr>
        <w:t>.</w:t>
      </w:r>
    </w:p>
    <w:p w14:paraId="21916969" w14:textId="4F957EFB" w:rsidR="000633B8" w:rsidRPr="00A67F26" w:rsidRDefault="00A67F26" w:rsidP="000633B8">
      <w:pPr>
        <w:pStyle w:val="SemEspaamento"/>
        <w:spacing w:before="60" w:after="60" w:line="276" w:lineRule="auto"/>
        <w:ind w:left="2268" w:firstLine="0"/>
        <w:rPr>
          <w:i/>
          <w:iCs/>
        </w:rPr>
      </w:pPr>
      <w:r w:rsidRPr="00A67F26">
        <w:rPr>
          <w:i/>
          <w:iCs/>
        </w:rPr>
        <w:t>5. Como decorrência da proibição das provas ilícitas por derivação (art. 5º, LVI, da Constituição da República), é nula a prova derivada de conduta ilícita, pois evidente o nexo causal entre uma e outra conduta, ou seja, entre a invasão de domicílio (permeada de ilicitude) e a apreensão das referidas substâncias.</w:t>
      </w:r>
    </w:p>
    <w:p w14:paraId="0B773D5F" w14:textId="19E1E1E3" w:rsidR="00A67F26" w:rsidRPr="00A67F26" w:rsidRDefault="00A67F26" w:rsidP="00A67F26">
      <w:pPr>
        <w:pStyle w:val="SemEspaamento"/>
      </w:pPr>
      <w:r w:rsidRPr="00A67F26">
        <w:lastRenderedPageBreak/>
        <w:t xml:space="preserve">Desentranhadas as provas ilícitas, o processo fica esvaziado de suporte probatório mínimo. Se a única materialidade do crime imputado decorre da apreensão realizada dentro da residência (droga, arma, objetos etc.), e essa apreensão é juridicamente imprestável, o resultado é a </w:t>
      </w:r>
      <w:r w:rsidRPr="00A67F26">
        <w:rPr>
          <w:b/>
          <w:bCs/>
        </w:rPr>
        <w:t>ausência de justa causa</w:t>
      </w:r>
      <w:r w:rsidRPr="00A67F26">
        <w:t xml:space="preserve"> para a ação penal – vale dizer, falta de prova mínima de materialidade delitiva idônea. Em situações assim, o STJ tem reconhecido que a ação penal não pode subsistir, impondo-se sua extinção ou a rejeição da denúncia, por completa carência de lastro probatório</w:t>
      </w:r>
      <w:r>
        <w:t>.</w:t>
      </w:r>
    </w:p>
    <w:p w14:paraId="787A098D" w14:textId="77777777" w:rsidR="00A67F26" w:rsidRPr="00A67F26" w:rsidRDefault="00A67F26" w:rsidP="00A67F26">
      <w:pPr>
        <w:pStyle w:val="SemEspaamento"/>
      </w:pPr>
      <w:r w:rsidRPr="00A67F26">
        <w:t>Em sede de Resposta à Acusação, o instrumento adequado é requerer que Vossa Excelência, reconhecendo a ilicitude das provas e determinando seu desentranhamento com base no art. 157 do CPP, rejeite a denúncia por ausência de justa causa, nos termos do art. 395, III, do Código de Processo Penal, porquanto não subsiste prova idônea de materialidade do crime após a exclusão das provas ilícitas. Onde não há prova lícita da existência do fato típico, não há falar em prosseguimento válido da ação penal.</w:t>
      </w:r>
    </w:p>
    <w:p w14:paraId="7CCD4E38" w14:textId="5FC427F8" w:rsidR="00A67F26" w:rsidRPr="00A67F26" w:rsidRDefault="00A67F26" w:rsidP="00A67F26">
      <w:pPr>
        <w:pStyle w:val="SemEspaamento"/>
      </w:pPr>
      <w:r w:rsidRPr="00A67F26">
        <w:t xml:space="preserve">Ressalte-se que a rejeição da denúncia, nesse contexto, não se confunde com análise aprofundada do mérito, mas com o exame das condições mínimas para o exercício válido da ação penal. Se o órgão acusador sustenta a imputação exclusivamente em provas contaminadas pela ilicitude, não estão presentes os requisitos essenciais para o recebimento da denúncia, devendo o processo ser estancado ainda nesta fase, sob pena de violação ao devido processo legal e ao princípio da presunção de inocência. </w:t>
      </w:r>
    </w:p>
    <w:p w14:paraId="6B3EBF0A" w14:textId="77777777" w:rsidR="00A67F26" w:rsidRPr="00A67F26" w:rsidRDefault="00A67F26" w:rsidP="00A67F26">
      <w:pPr>
        <w:pStyle w:val="SemEspaamento"/>
      </w:pPr>
      <w:r w:rsidRPr="00A67F26">
        <w:t>Caso Vossa Excelência, em juízo subsidiário, entenda não ser o caso de rejeição liminar da denúncia, a defesa requer, ao menos, o desentranhamento de todas as provas ilícitas e das que delas derivam, com a consequente impossibilidade de utilização desses elementos para qualquer ato decisório, seja na fase de instrução, seja na sentença. A partir daí, deverá o juízo aferir se remanesce, ou não, algum suporte independente de materialidade e autoria capaz de justificar a continuação do processo.</w:t>
      </w:r>
    </w:p>
    <w:p w14:paraId="6133D6D8" w14:textId="77777777" w:rsidR="00A67F26" w:rsidRPr="00A67F26" w:rsidRDefault="00A67F26" w:rsidP="00A67F26">
      <w:pPr>
        <w:pStyle w:val="SemEspaamento"/>
      </w:pPr>
      <w:r w:rsidRPr="00A67F26">
        <w:t xml:space="preserve">Todavia, diante do quadro típico desses casos – em que toda a imputação se assenta na apreensão realizada dentro do domicílio invadido –, a tendência é que, uma vez retiradas as provas ilícitas, não reste qualquer elemento robusto que </w:t>
      </w:r>
      <w:r w:rsidRPr="00A67F26">
        <w:lastRenderedPageBreak/>
        <w:t>sustente a acusação. Nessa hipótese, insistir no prosseguimento da ação penal representaria mera persecução formal, desprovida de justa causa, o que é vedado pelo sistema constitucional e processual penal.</w:t>
      </w:r>
    </w:p>
    <w:p w14:paraId="6285B7D6" w14:textId="074D0DF4" w:rsidR="000633B8" w:rsidRDefault="00A67F26" w:rsidP="00A67F26">
      <w:pPr>
        <w:pStyle w:val="SemEspaamento"/>
      </w:pPr>
      <w:r w:rsidRPr="00A67F26">
        <w:t>Por todas essas razões, a defesa afirma, nesta Resposta à Acusação, a ilicitude das provas colhidas por ocasião do flagrante domiciliar, requer seu desentranhamento com fulcro no art. 157 do CPP e, por consequência lógica, a rejeição da denúncia por ausência de materialidade e de justa causa para a ação penal (art. 395, III, do CPP), sem prejuízo de outros pedidos que venham a ser formulados ao final da peça, conforme a estratégia defensiva que você queira adotar no modelo completo.</w:t>
      </w:r>
    </w:p>
    <w:p w14:paraId="2D40DB7A" w14:textId="77777777" w:rsidR="000765C6" w:rsidRDefault="000765C6" w:rsidP="000633B8">
      <w:pPr>
        <w:pStyle w:val="SemEspaamento"/>
      </w:pPr>
    </w:p>
    <w:p w14:paraId="7B8B00C9" w14:textId="77777777" w:rsidR="00552F50" w:rsidRDefault="00552F50" w:rsidP="00552F50">
      <w:pPr>
        <w:pStyle w:val="Ttulo1"/>
        <w:spacing w:before="0" w:after="0" w:line="240" w:lineRule="auto"/>
      </w:pPr>
      <w:r w:rsidRPr="00E71747">
        <w:t>NECESSIDADE DE DISTINGUISHING</w:t>
      </w:r>
    </w:p>
    <w:p w14:paraId="1EAA19FB" w14:textId="77777777" w:rsidR="00552F50" w:rsidRPr="00547988" w:rsidRDefault="00552F50" w:rsidP="00552F50">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7EB36881" w14:textId="499FC31F" w:rsidR="00552F50" w:rsidRPr="00150C5B" w:rsidRDefault="00552F50" w:rsidP="00552F50">
      <w:pPr>
        <w:pStyle w:val="SemEspaamento"/>
      </w:pPr>
      <w:r w:rsidRPr="00150C5B">
        <w:t xml:space="preserve">O patrono do </w:t>
      </w:r>
      <w:r w:rsidR="00A67F26">
        <w:t xml:space="preserve">denunciado </w:t>
      </w:r>
      <w:r w:rsidRPr="00150C5B">
        <w:t>apresent</w:t>
      </w:r>
      <w:r>
        <w:t>ou</w:t>
      </w:r>
      <w:r w:rsidRPr="00150C5B">
        <w:t xml:space="preserve"> julgados e decisões dos tribunais superiores para corroborar as teses defensivas lançadas na presente peça.</w:t>
      </w:r>
    </w:p>
    <w:p w14:paraId="43BD1127" w14:textId="77777777" w:rsidR="00552F50" w:rsidRPr="00150C5B" w:rsidRDefault="00552F50" w:rsidP="00552F50">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4747DB69" w14:textId="77777777" w:rsidR="00552F50" w:rsidRDefault="00552F50" w:rsidP="00552F50">
      <w:pPr>
        <w:pStyle w:val="SemEspaamento"/>
      </w:pPr>
      <w:r w:rsidRPr="00150C5B">
        <w:t>Deve ser ressaltado que eventual decisão que não faça essa distinção não poderá ser considerada como suficientemente fundamentada nos termos do art. 315, §2º, VI, gerando vício insuperável.</w:t>
      </w:r>
    </w:p>
    <w:p w14:paraId="2AB9279C" w14:textId="77777777" w:rsidR="00552F50" w:rsidRDefault="00552F50" w:rsidP="00552F50">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C3144B2" w14:textId="77777777" w:rsidR="00552F50" w:rsidRPr="00E71747" w:rsidRDefault="00552F50" w:rsidP="00552F50">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0FD2CB9F" w14:textId="77777777" w:rsidR="00552F50" w:rsidRPr="00E71747" w:rsidRDefault="00552F50" w:rsidP="00552F50">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672F6806" w14:textId="77777777" w:rsidR="00552F50" w:rsidRDefault="00552F50" w:rsidP="00552F50">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6623218C" w14:textId="77777777" w:rsidR="002D3115" w:rsidRDefault="002D3115" w:rsidP="002D3115">
      <w:pPr>
        <w:pStyle w:val="Ttulo1"/>
        <w:spacing w:before="0" w:after="0" w:line="240" w:lineRule="auto"/>
      </w:pPr>
      <w:r>
        <w:lastRenderedPageBreak/>
        <w:t>DO PEDIDO</w:t>
      </w:r>
    </w:p>
    <w:p w14:paraId="73E39172" w14:textId="77777777" w:rsidR="00B85546" w:rsidRDefault="00B85546" w:rsidP="008235F0">
      <w:pPr>
        <w:spacing w:before="120" w:after="120" w:line="312" w:lineRule="auto"/>
        <w:ind w:firstLine="567"/>
        <w:jc w:val="both"/>
        <w:rPr>
          <w:rFonts w:ascii="Source Serif Pro" w:hAnsi="Source Serif Pro"/>
        </w:rPr>
      </w:pPr>
    </w:p>
    <w:p w14:paraId="53EC1B8F" w14:textId="5B1AACD8" w:rsidR="007C59F9" w:rsidRPr="007C59F9" w:rsidRDefault="007C59F9" w:rsidP="007C59F9">
      <w:pPr>
        <w:spacing w:before="120" w:after="120" w:line="312" w:lineRule="auto"/>
        <w:ind w:firstLine="567"/>
        <w:jc w:val="both"/>
        <w:rPr>
          <w:rFonts w:ascii="Source Serif Pro" w:hAnsi="Source Serif Pro"/>
        </w:rPr>
      </w:pPr>
      <w:r w:rsidRPr="007C59F9">
        <w:rPr>
          <w:rFonts w:ascii="Source Serif Pro" w:hAnsi="Source Serif Pro"/>
        </w:rPr>
        <w:t xml:space="preserve">Diante de todo o exposto, requer o acusado seja </w:t>
      </w:r>
      <w:r w:rsidRPr="007C59F9">
        <w:rPr>
          <w:rFonts w:ascii="Source Serif Pro" w:hAnsi="Source Serif Pro"/>
          <w:b/>
          <w:bCs/>
        </w:rPr>
        <w:t>acolhida a preliminar de nulidade do ingresso forçado em domicílio</w:t>
      </w:r>
      <w:r w:rsidRPr="007C59F9">
        <w:rPr>
          <w:rFonts w:ascii="Source Serif Pro" w:hAnsi="Source Serif Pro"/>
        </w:rPr>
        <w:t xml:space="preserve">, reconhecendo-se a ilegalidade da atuação policial por violação ao art. 5º, XI, da Constituição Federal, com a consequente declaração de </w:t>
      </w:r>
      <w:r w:rsidRPr="007C59F9">
        <w:rPr>
          <w:rFonts w:ascii="Source Serif Pro" w:hAnsi="Source Serif Pro"/>
          <w:b/>
          <w:bCs/>
        </w:rPr>
        <w:t>ilegalidade do flagrante</w:t>
      </w:r>
      <w:r w:rsidRPr="007C59F9">
        <w:rPr>
          <w:rFonts w:ascii="Source Serif Pro" w:hAnsi="Source Serif Pro"/>
        </w:rPr>
        <w:t xml:space="preserve"> que deu origem à persecução penal.</w:t>
      </w:r>
    </w:p>
    <w:p w14:paraId="369F1190" w14:textId="5B9B5EED" w:rsidR="007C59F9" w:rsidRDefault="007C59F9" w:rsidP="007C59F9">
      <w:pPr>
        <w:spacing w:before="120" w:after="120" w:line="312" w:lineRule="auto"/>
        <w:ind w:firstLine="567"/>
        <w:jc w:val="both"/>
        <w:rPr>
          <w:rFonts w:ascii="Source Serif Pro" w:hAnsi="Source Serif Pro"/>
        </w:rPr>
      </w:pPr>
      <w:r w:rsidRPr="007C59F9">
        <w:rPr>
          <w:rFonts w:ascii="Source Serif Pro" w:hAnsi="Source Serif Pro"/>
        </w:rPr>
        <w:t>Reconhecida a nulidade do ingresso domiciliar, requer a defesa, com fundamento no art. 157 do Código de Processo Penal:</w:t>
      </w:r>
    </w:p>
    <w:p w14:paraId="31C28B4D" w14:textId="66F2D847" w:rsidR="007C59F9" w:rsidRPr="007C59F9" w:rsidRDefault="007C59F9" w:rsidP="007C59F9">
      <w:pPr>
        <w:pStyle w:val="PargrafodaLista"/>
        <w:numPr>
          <w:ilvl w:val="0"/>
          <w:numId w:val="35"/>
        </w:numPr>
        <w:spacing w:before="120" w:after="120" w:line="312" w:lineRule="auto"/>
        <w:jc w:val="both"/>
        <w:rPr>
          <w:rFonts w:ascii="Source Serif Pro" w:hAnsi="Source Serif Pro"/>
        </w:rPr>
      </w:pPr>
      <w:r w:rsidRPr="007C59F9">
        <w:rPr>
          <w:rFonts w:ascii="Source Serif Pro" w:hAnsi="Source Serif Pro"/>
        </w:rPr>
        <w:t xml:space="preserve">a declaração de que </w:t>
      </w:r>
      <w:r w:rsidRPr="007C59F9">
        <w:rPr>
          <w:rFonts w:ascii="Source Serif Pro" w:hAnsi="Source Serif Pro"/>
          <w:b/>
          <w:bCs/>
        </w:rPr>
        <w:t>todas as provas obtidas em razão da invasão de domicílio são ilícitas</w:t>
      </w:r>
      <w:r w:rsidRPr="007C59F9">
        <w:rPr>
          <w:rFonts w:ascii="Source Serif Pro" w:hAnsi="Source Serif Pro"/>
        </w:rPr>
        <w:t>, por derivarem de ato inconstitucional;</w:t>
      </w:r>
    </w:p>
    <w:p w14:paraId="34B58E31" w14:textId="60C6E5E8" w:rsidR="007C59F9" w:rsidRPr="007C59F9" w:rsidRDefault="007C59F9" w:rsidP="007C59F9">
      <w:pPr>
        <w:pStyle w:val="PargrafodaLista"/>
        <w:numPr>
          <w:ilvl w:val="0"/>
          <w:numId w:val="35"/>
        </w:numPr>
        <w:spacing w:before="120" w:after="120" w:line="312" w:lineRule="auto"/>
        <w:jc w:val="both"/>
        <w:rPr>
          <w:rFonts w:ascii="Source Serif Pro" w:hAnsi="Source Serif Pro"/>
        </w:rPr>
      </w:pPr>
      <w:r w:rsidRPr="007C59F9">
        <w:rPr>
          <w:rFonts w:ascii="Source Serif Pro" w:hAnsi="Source Serif Pro"/>
        </w:rPr>
        <w:t xml:space="preserve">o </w:t>
      </w:r>
      <w:r w:rsidRPr="007C59F9">
        <w:rPr>
          <w:rFonts w:ascii="Source Serif Pro" w:hAnsi="Source Serif Pro"/>
          <w:b/>
          <w:bCs/>
        </w:rPr>
        <w:t>desentranhamento</w:t>
      </w:r>
      <w:r w:rsidRPr="007C59F9">
        <w:rPr>
          <w:rFonts w:ascii="Source Serif Pro" w:hAnsi="Source Serif Pro"/>
        </w:rPr>
        <w:t xml:space="preserve"> dos autos de tais provas e de todas aquelas que delas derivarem (laudos, depoimentos, termos de apreensão etc.);</w:t>
      </w:r>
    </w:p>
    <w:p w14:paraId="23EA2913" w14:textId="6789D051" w:rsidR="007C59F9" w:rsidRPr="007C59F9" w:rsidRDefault="007C59F9" w:rsidP="007C59F9">
      <w:pPr>
        <w:pStyle w:val="PargrafodaLista"/>
        <w:numPr>
          <w:ilvl w:val="0"/>
          <w:numId w:val="35"/>
        </w:numPr>
        <w:spacing w:before="120" w:after="120" w:line="312" w:lineRule="auto"/>
        <w:jc w:val="both"/>
        <w:rPr>
          <w:rFonts w:ascii="Source Serif Pro" w:hAnsi="Source Serif Pro"/>
        </w:rPr>
      </w:pPr>
      <w:r w:rsidRPr="007C59F9">
        <w:rPr>
          <w:rFonts w:ascii="Source Serif Pro" w:hAnsi="Source Serif Pro"/>
        </w:rPr>
        <w:t xml:space="preserve">a expedição das anotações necessárias, para que tais elementos </w:t>
      </w:r>
      <w:r w:rsidRPr="007C59F9">
        <w:rPr>
          <w:rFonts w:ascii="Source Serif Pro" w:hAnsi="Source Serif Pro"/>
          <w:b/>
          <w:bCs/>
        </w:rPr>
        <w:t>não possam ser utilizados</w:t>
      </w:r>
      <w:r w:rsidRPr="007C59F9">
        <w:rPr>
          <w:rFonts w:ascii="Source Serif Pro" w:hAnsi="Source Serif Pro"/>
        </w:rPr>
        <w:t xml:space="preserve"> em qualquer ato decisório no processo.</w:t>
      </w:r>
    </w:p>
    <w:p w14:paraId="6936757F" w14:textId="551A38A6" w:rsidR="007C59F9" w:rsidRPr="007C59F9" w:rsidRDefault="007C59F9" w:rsidP="007C59F9">
      <w:pPr>
        <w:spacing w:before="120" w:after="120" w:line="312" w:lineRule="auto"/>
        <w:ind w:firstLine="567"/>
        <w:jc w:val="both"/>
        <w:rPr>
          <w:rFonts w:ascii="Source Serif Pro" w:hAnsi="Source Serif Pro"/>
        </w:rPr>
      </w:pPr>
      <w:r w:rsidRPr="007C59F9">
        <w:rPr>
          <w:rFonts w:ascii="Source Serif Pro" w:hAnsi="Source Serif Pro"/>
        </w:rPr>
        <w:t xml:space="preserve">Uma vez desentranhadas as provas ilícitas e não remanescendo suporte probatório mínimo idôneo de materialidade delitiva, requer a defesa a </w:t>
      </w:r>
      <w:r w:rsidRPr="007C59F9">
        <w:rPr>
          <w:rFonts w:ascii="Source Serif Pro" w:hAnsi="Source Serif Pro"/>
          <w:b/>
          <w:bCs/>
        </w:rPr>
        <w:t>REJEIÇÃO DA DENÚNCIA</w:t>
      </w:r>
      <w:r w:rsidRPr="007C59F9">
        <w:rPr>
          <w:rFonts w:ascii="Source Serif Pro" w:hAnsi="Source Serif Pro"/>
        </w:rPr>
        <w:t xml:space="preserve">, com fulcro no art. 395, III, do Código de Processo Penal, por </w:t>
      </w:r>
      <w:r w:rsidRPr="007C59F9">
        <w:rPr>
          <w:rFonts w:ascii="Source Serif Pro" w:hAnsi="Source Serif Pro"/>
          <w:b/>
          <w:bCs/>
        </w:rPr>
        <w:t>ausência de justa causa para a ação penal</w:t>
      </w:r>
      <w:r w:rsidRPr="007C59F9">
        <w:rPr>
          <w:rFonts w:ascii="Source Serif Pro" w:hAnsi="Source Serif Pro"/>
        </w:rPr>
        <w:t>, ante a inexistência de prova lícita da existência do fato.</w:t>
      </w:r>
    </w:p>
    <w:p w14:paraId="5109D1D8" w14:textId="77777777" w:rsidR="007C59F9" w:rsidRDefault="007C59F9" w:rsidP="007C59F9">
      <w:pPr>
        <w:spacing w:before="120" w:after="120" w:line="312" w:lineRule="auto"/>
        <w:ind w:firstLine="567"/>
        <w:jc w:val="both"/>
        <w:rPr>
          <w:rFonts w:ascii="Source Serif Pro" w:hAnsi="Source Serif Pro"/>
        </w:rPr>
      </w:pPr>
      <w:r w:rsidRPr="007C59F9">
        <w:rPr>
          <w:rFonts w:ascii="Source Serif Pro" w:hAnsi="Source Serif Pro"/>
        </w:rPr>
        <w:t xml:space="preserve"> Subsidiariamente, para o caso de Vossa Excelência entender pelo prosseguimento do feito, requer:</w:t>
      </w:r>
    </w:p>
    <w:p w14:paraId="5765D14B" w14:textId="781B1055" w:rsidR="007C59F9" w:rsidRPr="007C59F9" w:rsidRDefault="007C59F9" w:rsidP="00F961EF">
      <w:pPr>
        <w:pStyle w:val="PargrafodaLista"/>
        <w:numPr>
          <w:ilvl w:val="0"/>
          <w:numId w:val="36"/>
        </w:numPr>
        <w:spacing w:before="120" w:after="120" w:line="312" w:lineRule="auto"/>
        <w:ind w:left="1276"/>
        <w:jc w:val="both"/>
        <w:rPr>
          <w:rFonts w:ascii="Source Serif Pro" w:hAnsi="Source Serif Pro"/>
        </w:rPr>
      </w:pPr>
      <w:r w:rsidRPr="007C59F9">
        <w:rPr>
          <w:rFonts w:ascii="Source Serif Pro" w:hAnsi="Source Serif Pro"/>
        </w:rPr>
        <w:t>o reconhecimento da ilicitude das provas e seu desentranhamento, nos termos do art. 157 do CPP;</w:t>
      </w:r>
    </w:p>
    <w:p w14:paraId="694680CC" w14:textId="38FBCF4E" w:rsidR="007C59F9" w:rsidRPr="007C59F9" w:rsidRDefault="007C59F9" w:rsidP="00F961EF">
      <w:pPr>
        <w:pStyle w:val="PargrafodaLista"/>
        <w:numPr>
          <w:ilvl w:val="0"/>
          <w:numId w:val="36"/>
        </w:numPr>
        <w:spacing w:before="120" w:after="120" w:line="312" w:lineRule="auto"/>
        <w:ind w:left="1276"/>
        <w:jc w:val="both"/>
        <w:rPr>
          <w:rFonts w:ascii="Source Serif Pro" w:hAnsi="Source Serif Pro"/>
        </w:rPr>
      </w:pPr>
      <w:r w:rsidRPr="007C59F9">
        <w:rPr>
          <w:rFonts w:ascii="Source Serif Pro" w:hAnsi="Source Serif Pro"/>
        </w:rPr>
        <w:t xml:space="preserve">que tal reconhecimento repercuta na sentença, com a </w:t>
      </w:r>
      <w:r w:rsidRPr="007C59F9">
        <w:rPr>
          <w:rFonts w:ascii="Source Serif Pro" w:hAnsi="Source Serif Pro"/>
          <w:b/>
          <w:bCs/>
        </w:rPr>
        <w:t>desconsideração absoluta</w:t>
      </w:r>
      <w:r w:rsidRPr="007C59F9">
        <w:rPr>
          <w:rFonts w:ascii="Source Serif Pro" w:hAnsi="Source Serif Pro"/>
        </w:rPr>
        <w:t xml:space="preserve"> desses elementos na formação do convencimento judicial, resguardando-se ao acusado o direito à absolvição por insuficiência probatória, na forma do art. 386 do CPP.</w:t>
      </w:r>
    </w:p>
    <w:p w14:paraId="212975A6" w14:textId="6D1ED6AC" w:rsidR="007C59F9" w:rsidRDefault="007C59F9" w:rsidP="007C59F9">
      <w:pPr>
        <w:spacing w:before="120" w:after="120" w:line="312" w:lineRule="auto"/>
        <w:ind w:firstLine="567"/>
        <w:jc w:val="both"/>
        <w:rPr>
          <w:rFonts w:ascii="Source Serif Pro" w:hAnsi="Source Serif Pro"/>
        </w:rPr>
      </w:pPr>
      <w:r w:rsidRPr="007C59F9">
        <w:rPr>
          <w:rFonts w:ascii="Source Serif Pro" w:hAnsi="Source Serif Pro"/>
        </w:rPr>
        <w:t xml:space="preserve">Por fim, pugna a defesa pelo </w:t>
      </w:r>
      <w:r w:rsidRPr="007C59F9">
        <w:rPr>
          <w:rFonts w:ascii="Source Serif Pro" w:hAnsi="Source Serif Pro"/>
          <w:b/>
          <w:bCs/>
        </w:rPr>
        <w:t>integral acolhimento dos pedidos acima</w:t>
      </w:r>
      <w:r w:rsidRPr="007C59F9">
        <w:rPr>
          <w:rFonts w:ascii="Source Serif Pro" w:hAnsi="Source Serif Pro"/>
        </w:rPr>
        <w:t>, como medida de justiça e de respeito às garantias constitucionais do devido processo legal, da inviolabilidade de domicílio e da inadmissibilidade das provas ilícitas.</w:t>
      </w:r>
    </w:p>
    <w:p w14:paraId="07B64C32" w14:textId="39C31AAB" w:rsidR="007C59F9" w:rsidRPr="007C59F9" w:rsidRDefault="007C59F9" w:rsidP="007C59F9">
      <w:pPr>
        <w:spacing w:before="120" w:after="120" w:line="312" w:lineRule="auto"/>
        <w:ind w:firstLine="567"/>
        <w:jc w:val="both"/>
        <w:rPr>
          <w:rFonts w:ascii="Source Serif Pro" w:hAnsi="Source Serif Pro"/>
        </w:rPr>
      </w:pPr>
      <w:r>
        <w:rPr>
          <w:rFonts w:ascii="Source Serif Pro" w:hAnsi="Source Serif Pro"/>
        </w:rPr>
        <w:lastRenderedPageBreak/>
        <w:t>Em caso de prosseguimento do feito, o que não se espera, arrola como testemunhas as mesmas apontadas pelo Ministério Público e as pessoas indicadas no rol ao final.</w:t>
      </w:r>
    </w:p>
    <w:p w14:paraId="191844BF" w14:textId="143B63BC"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6AB8F647"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F961EF">
        <w:rPr>
          <w:rFonts w:ascii="Source Serif Pro" w:hAnsi="Source Serif Pro"/>
          <w:noProof/>
        </w:rPr>
        <w:t>20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p w14:paraId="37796586" w14:textId="77777777" w:rsidR="00A67F26" w:rsidRDefault="00A67F26" w:rsidP="00A67F26">
      <w:pPr>
        <w:spacing w:after="0" w:line="240" w:lineRule="auto"/>
        <w:rPr>
          <w:rFonts w:ascii="Source Serif Pro" w:hAnsi="Source Serif Pro"/>
        </w:rPr>
      </w:pPr>
    </w:p>
    <w:p w14:paraId="61CE08AD" w14:textId="46A2D4E8" w:rsidR="00A67F26" w:rsidRDefault="00A67F26" w:rsidP="00A67F26">
      <w:pPr>
        <w:spacing w:before="120" w:after="120" w:line="288" w:lineRule="auto"/>
        <w:rPr>
          <w:rFonts w:ascii="Source Serif Pro" w:hAnsi="Source Serif Pro"/>
        </w:rPr>
      </w:pPr>
      <w:r w:rsidRPr="00A67F26">
        <w:rPr>
          <w:rFonts w:ascii="Source Serif Pro" w:hAnsi="Source Serif Pro"/>
          <w:b/>
          <w:bCs/>
        </w:rPr>
        <w:t>Rol de testemunhas</w:t>
      </w:r>
      <w:r>
        <w:rPr>
          <w:rFonts w:ascii="Source Serif Pro" w:hAnsi="Source Serif Pro"/>
        </w:rPr>
        <w:t>:</w:t>
      </w:r>
    </w:p>
    <w:p w14:paraId="67D79248" w14:textId="7AF866A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2A3DF07A" w14:textId="6E5D502D" w:rsid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6B60B8BD" w14:textId="77777777" w:rsidR="00A67F26" w:rsidRPr="00A67F26" w:rsidRDefault="00A67F26" w:rsidP="00A67F26">
      <w:pPr>
        <w:pStyle w:val="PargrafodaLista"/>
        <w:numPr>
          <w:ilvl w:val="0"/>
          <w:numId w:val="34"/>
        </w:numPr>
        <w:spacing w:before="120" w:after="120" w:line="288" w:lineRule="auto"/>
        <w:contextualSpacing w:val="0"/>
        <w:rPr>
          <w:rFonts w:ascii="Source Serif Pro" w:hAnsi="Source Serif Pro"/>
        </w:rPr>
      </w:pPr>
      <w:r>
        <w:rPr>
          <w:rFonts w:ascii="Source Serif Pro" w:hAnsi="Source Serif Pro"/>
        </w:rPr>
        <w:t>Nome completo, endereço e contato whatsapp;</w:t>
      </w:r>
    </w:p>
    <w:p w14:paraId="19F87301" w14:textId="77777777" w:rsidR="00A67F26" w:rsidRPr="00A67F26" w:rsidRDefault="00A67F26" w:rsidP="00A67F26">
      <w:pPr>
        <w:spacing w:after="0" w:line="240" w:lineRule="auto"/>
        <w:ind w:left="360"/>
        <w:rPr>
          <w:rFonts w:ascii="Source Serif Pro" w:hAnsi="Source Serif Pro"/>
        </w:rPr>
      </w:pPr>
    </w:p>
    <w:sectPr w:rsidR="00A67F26" w:rsidRPr="00A67F26"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A590B" w14:textId="77777777" w:rsidR="005177F9" w:rsidRDefault="005177F9" w:rsidP="00BA1F94">
      <w:pPr>
        <w:spacing w:after="0" w:line="240" w:lineRule="auto"/>
      </w:pPr>
      <w:r>
        <w:separator/>
      </w:r>
    </w:p>
  </w:endnote>
  <w:endnote w:type="continuationSeparator" w:id="0">
    <w:p w14:paraId="4AA63649" w14:textId="77777777" w:rsidR="005177F9" w:rsidRDefault="005177F9"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8B92C" w14:textId="77777777" w:rsidR="005177F9" w:rsidRDefault="005177F9" w:rsidP="00BA1F94">
      <w:pPr>
        <w:spacing w:after="0" w:line="240" w:lineRule="auto"/>
      </w:pPr>
      <w:r>
        <w:separator/>
      </w:r>
    </w:p>
  </w:footnote>
  <w:footnote w:type="continuationSeparator" w:id="0">
    <w:p w14:paraId="09AB1364" w14:textId="77777777" w:rsidR="005177F9" w:rsidRDefault="005177F9"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1920"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7"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9"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29"/>
  </w:num>
  <w:num w:numId="15" w16cid:durableId="189689990">
    <w:abstractNumId w:val="23"/>
  </w:num>
  <w:num w:numId="16" w16cid:durableId="106320463">
    <w:abstractNumId w:val="26"/>
  </w:num>
  <w:num w:numId="17" w16cid:durableId="757795001">
    <w:abstractNumId w:val="7"/>
  </w:num>
  <w:num w:numId="18" w16cid:durableId="507915239">
    <w:abstractNumId w:val="25"/>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7"/>
  </w:num>
  <w:num w:numId="31" w16cid:durableId="939022436">
    <w:abstractNumId w:val="18"/>
  </w:num>
  <w:num w:numId="32" w16cid:durableId="1358387731">
    <w:abstractNumId w:val="28"/>
  </w:num>
  <w:num w:numId="33" w16cid:durableId="1918588421">
    <w:abstractNumId w:val="14"/>
  </w:num>
  <w:num w:numId="34" w16cid:durableId="508368672">
    <w:abstractNumId w:val="8"/>
  </w:num>
  <w:num w:numId="35" w16cid:durableId="997265681">
    <w:abstractNumId w:val="24"/>
  </w:num>
  <w:num w:numId="36" w16cid:durableId="1900631713">
    <w:abstractNumId w:val="4"/>
  </w:num>
  <w:num w:numId="37" w16cid:durableId="2024433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45565"/>
    <w:rsid w:val="000633B8"/>
    <w:rsid w:val="000765C6"/>
    <w:rsid w:val="000911F8"/>
    <w:rsid w:val="000A234B"/>
    <w:rsid w:val="000B2591"/>
    <w:rsid w:val="001153D8"/>
    <w:rsid w:val="00144A4B"/>
    <w:rsid w:val="0015581C"/>
    <w:rsid w:val="00163268"/>
    <w:rsid w:val="001C6CE0"/>
    <w:rsid w:val="001E64BE"/>
    <w:rsid w:val="001E7DF5"/>
    <w:rsid w:val="001F3409"/>
    <w:rsid w:val="00205995"/>
    <w:rsid w:val="0021210F"/>
    <w:rsid w:val="0021462C"/>
    <w:rsid w:val="00255925"/>
    <w:rsid w:val="00265B72"/>
    <w:rsid w:val="002731A1"/>
    <w:rsid w:val="002A18AC"/>
    <w:rsid w:val="002C012C"/>
    <w:rsid w:val="002D3115"/>
    <w:rsid w:val="002E0484"/>
    <w:rsid w:val="002F00FD"/>
    <w:rsid w:val="002F4394"/>
    <w:rsid w:val="00307183"/>
    <w:rsid w:val="00334B83"/>
    <w:rsid w:val="00335715"/>
    <w:rsid w:val="0035269F"/>
    <w:rsid w:val="003602F7"/>
    <w:rsid w:val="003A171C"/>
    <w:rsid w:val="003A1DD2"/>
    <w:rsid w:val="003A4B72"/>
    <w:rsid w:val="003A76A4"/>
    <w:rsid w:val="003A7CB9"/>
    <w:rsid w:val="0041600B"/>
    <w:rsid w:val="00421C44"/>
    <w:rsid w:val="004526A3"/>
    <w:rsid w:val="00462A1D"/>
    <w:rsid w:val="00466093"/>
    <w:rsid w:val="00473494"/>
    <w:rsid w:val="004A1397"/>
    <w:rsid w:val="004B23AC"/>
    <w:rsid w:val="004C2B0E"/>
    <w:rsid w:val="004C78F2"/>
    <w:rsid w:val="004E1F61"/>
    <w:rsid w:val="004F6860"/>
    <w:rsid w:val="00502064"/>
    <w:rsid w:val="00510D1D"/>
    <w:rsid w:val="005177F9"/>
    <w:rsid w:val="005271CA"/>
    <w:rsid w:val="00547988"/>
    <w:rsid w:val="00552F50"/>
    <w:rsid w:val="0056423A"/>
    <w:rsid w:val="005701F5"/>
    <w:rsid w:val="005702CF"/>
    <w:rsid w:val="00575469"/>
    <w:rsid w:val="00585236"/>
    <w:rsid w:val="00596D6C"/>
    <w:rsid w:val="005A6E55"/>
    <w:rsid w:val="005C54F8"/>
    <w:rsid w:val="005F47A7"/>
    <w:rsid w:val="00617C7C"/>
    <w:rsid w:val="00636660"/>
    <w:rsid w:val="00636D00"/>
    <w:rsid w:val="006419C1"/>
    <w:rsid w:val="0064461A"/>
    <w:rsid w:val="00673A8C"/>
    <w:rsid w:val="006916BF"/>
    <w:rsid w:val="006A3AEB"/>
    <w:rsid w:val="006B1A62"/>
    <w:rsid w:val="006B1C85"/>
    <w:rsid w:val="006D5BE0"/>
    <w:rsid w:val="006E26AE"/>
    <w:rsid w:val="006F33DE"/>
    <w:rsid w:val="007020CA"/>
    <w:rsid w:val="00716815"/>
    <w:rsid w:val="00720D57"/>
    <w:rsid w:val="00724E8D"/>
    <w:rsid w:val="00763304"/>
    <w:rsid w:val="007A0B17"/>
    <w:rsid w:val="007B7295"/>
    <w:rsid w:val="007C0711"/>
    <w:rsid w:val="007C59F9"/>
    <w:rsid w:val="007E3DC1"/>
    <w:rsid w:val="007F0F05"/>
    <w:rsid w:val="00802A06"/>
    <w:rsid w:val="0081592C"/>
    <w:rsid w:val="008235F0"/>
    <w:rsid w:val="00860199"/>
    <w:rsid w:val="00880278"/>
    <w:rsid w:val="00884412"/>
    <w:rsid w:val="008B03CF"/>
    <w:rsid w:val="008B41F3"/>
    <w:rsid w:val="008F0F7D"/>
    <w:rsid w:val="00902436"/>
    <w:rsid w:val="00915234"/>
    <w:rsid w:val="00924899"/>
    <w:rsid w:val="009825A3"/>
    <w:rsid w:val="00983A54"/>
    <w:rsid w:val="0099073D"/>
    <w:rsid w:val="0099435F"/>
    <w:rsid w:val="009A601B"/>
    <w:rsid w:val="009D178E"/>
    <w:rsid w:val="009E098F"/>
    <w:rsid w:val="009F311E"/>
    <w:rsid w:val="00A01420"/>
    <w:rsid w:val="00A47F27"/>
    <w:rsid w:val="00A67F26"/>
    <w:rsid w:val="00A73B53"/>
    <w:rsid w:val="00A82AD8"/>
    <w:rsid w:val="00A8787D"/>
    <w:rsid w:val="00A87D34"/>
    <w:rsid w:val="00A97C42"/>
    <w:rsid w:val="00AA08C3"/>
    <w:rsid w:val="00AA31B3"/>
    <w:rsid w:val="00AB2011"/>
    <w:rsid w:val="00B0317F"/>
    <w:rsid w:val="00B04357"/>
    <w:rsid w:val="00B24A33"/>
    <w:rsid w:val="00B57D96"/>
    <w:rsid w:val="00B77BFB"/>
    <w:rsid w:val="00B77E49"/>
    <w:rsid w:val="00B85546"/>
    <w:rsid w:val="00B85981"/>
    <w:rsid w:val="00B968CC"/>
    <w:rsid w:val="00BA1F94"/>
    <w:rsid w:val="00BA5370"/>
    <w:rsid w:val="00BC6F5E"/>
    <w:rsid w:val="00BF64DD"/>
    <w:rsid w:val="00C56908"/>
    <w:rsid w:val="00C86BDE"/>
    <w:rsid w:val="00C925C7"/>
    <w:rsid w:val="00C9595C"/>
    <w:rsid w:val="00CA2809"/>
    <w:rsid w:val="00CA3287"/>
    <w:rsid w:val="00CB50FF"/>
    <w:rsid w:val="00CE6C3F"/>
    <w:rsid w:val="00D14593"/>
    <w:rsid w:val="00D343B2"/>
    <w:rsid w:val="00D37B62"/>
    <w:rsid w:val="00D75D54"/>
    <w:rsid w:val="00D7692D"/>
    <w:rsid w:val="00D934F0"/>
    <w:rsid w:val="00D94708"/>
    <w:rsid w:val="00DB0C17"/>
    <w:rsid w:val="00DB7797"/>
    <w:rsid w:val="00E260D2"/>
    <w:rsid w:val="00E70C92"/>
    <w:rsid w:val="00EA061D"/>
    <w:rsid w:val="00ED0C3A"/>
    <w:rsid w:val="00EE0ABC"/>
    <w:rsid w:val="00F10092"/>
    <w:rsid w:val="00F3233A"/>
    <w:rsid w:val="00F37C97"/>
    <w:rsid w:val="00F46652"/>
    <w:rsid w:val="00F53D0B"/>
    <w:rsid w:val="00F81339"/>
    <w:rsid w:val="00F84566"/>
    <w:rsid w:val="00F85AD9"/>
    <w:rsid w:val="00F961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F50"/>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2457</Words>
  <Characters>13358</Characters>
  <Application>Microsoft Office Word</Application>
  <DocSecurity>0</DocSecurity>
  <Lines>250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5</cp:revision>
  <cp:lastPrinted>2025-10-14T13:26:00Z</cp:lastPrinted>
  <dcterms:created xsi:type="dcterms:W3CDTF">2025-11-19T21:46:00Z</dcterms:created>
  <dcterms:modified xsi:type="dcterms:W3CDTF">2025-11-20T14:46:00Z</dcterms:modified>
</cp:coreProperties>
</file>