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36F3949C"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884412">
        <w:rPr>
          <w:rFonts w:ascii="Source Serif Pro" w:hAnsi="Source Serif Pro"/>
          <w:b/>
          <w:bCs/>
          <w:sz w:val="26"/>
          <w:szCs w:val="28"/>
        </w:rPr>
        <w:t>mo</w:t>
      </w:r>
      <w:r w:rsidR="004B23AC">
        <w:rPr>
          <w:rFonts w:ascii="Source Serif Pro" w:hAnsi="Source Serif Pro"/>
          <w:b/>
          <w:bCs/>
          <w:sz w:val="26"/>
          <w:szCs w:val="28"/>
        </w:rPr>
        <w:t>. Juiz de Direito</w:t>
      </w:r>
      <w:r w:rsidRPr="0015581C">
        <w:rPr>
          <w:rFonts w:ascii="Source Serif Pro" w:hAnsi="Source Serif Pro"/>
          <w:b/>
          <w:bCs/>
          <w:sz w:val="26"/>
          <w:szCs w:val="28"/>
        </w:rPr>
        <w:t xml:space="preserve"> </w:t>
      </w:r>
      <w:r w:rsidR="00AA08C3">
        <w:rPr>
          <w:rFonts w:ascii="Source Serif Pro" w:hAnsi="Source Serif Pro"/>
          <w:b/>
          <w:bCs/>
          <w:sz w:val="26"/>
          <w:szCs w:val="28"/>
        </w:rPr>
        <w:t>da 5ª Vara Criminal</w:t>
      </w:r>
    </w:p>
    <w:p w14:paraId="0BE51421" w14:textId="751A2211" w:rsidR="00B968CC" w:rsidRPr="00B24A33" w:rsidRDefault="00AA08C3" w:rsidP="00AB2011">
      <w:pPr>
        <w:spacing w:after="0" w:line="240" w:lineRule="auto"/>
        <w:rPr>
          <w:rFonts w:ascii="Source Serif Pro" w:hAnsi="Source Serif Pro"/>
          <w:i/>
          <w:iCs/>
          <w:sz w:val="22"/>
          <w:szCs w:val="22"/>
        </w:rPr>
      </w:pPr>
      <w:r>
        <w:rPr>
          <w:rFonts w:ascii="Source Serif Pro" w:hAnsi="Source Serif Pro"/>
          <w:i/>
          <w:iCs/>
          <w:sz w:val="22"/>
          <w:szCs w:val="22"/>
        </w:rPr>
        <w:t>Comarca de São Paulo - SP</w:t>
      </w:r>
    </w:p>
    <w:p w14:paraId="39684049" w14:textId="77777777" w:rsidR="00F3233A" w:rsidRDefault="00F3233A" w:rsidP="00DB7797">
      <w:pPr>
        <w:spacing w:before="360" w:after="0"/>
        <w:rPr>
          <w:rFonts w:ascii="Source Serif Pro" w:hAnsi="Source Serif Pro" w:cs="Segoe UI Semibold"/>
          <w:noProof/>
          <w:spacing w:val="10"/>
          <w:sz w:val="21"/>
          <w:szCs w:val="21"/>
        </w:rPr>
      </w:pPr>
    </w:p>
    <w:p w14:paraId="07573816" w14:textId="0E3C4679" w:rsidR="00DB7797" w:rsidRPr="00B24A33" w:rsidRDefault="00DB7797" w:rsidP="00DB7797">
      <w:pPr>
        <w:spacing w:before="360" w:after="0"/>
        <w:rPr>
          <w:rFonts w:ascii="Source Serif Pro" w:hAnsi="Source Serif Pro" w:cs="Segoe UI Semibold"/>
          <w:spacing w:val="10"/>
          <w:sz w:val="21"/>
          <w:szCs w:val="21"/>
        </w:rPr>
      </w:pPr>
      <w:r w:rsidRPr="00B24A33">
        <w:rPr>
          <w:rFonts w:ascii="Source Serif Pro" w:hAnsi="Source Serif Pro" w:cs="Segoe UI Semibold"/>
          <w:noProof/>
          <w:spacing w:val="10"/>
          <w:sz w:val="21"/>
          <w:szCs w:val="21"/>
        </w:rPr>
        <mc:AlternateContent>
          <mc:Choice Requires="wps">
            <w:drawing>
              <wp:anchor distT="0" distB="0" distL="114300" distR="114300" simplePos="0" relativeHeight="251659264" behindDoc="0" locked="0" layoutInCell="1" allowOverlap="1" wp14:anchorId="7CCB3D19" wp14:editId="1BF3D7E1">
                <wp:simplePos x="0" y="0"/>
                <wp:positionH relativeFrom="column">
                  <wp:posOffset>-683260</wp:posOffset>
                </wp:positionH>
                <wp:positionV relativeFrom="paragraph">
                  <wp:posOffset>343535</wp:posOffset>
                </wp:positionV>
                <wp:extent cx="623570" cy="491490"/>
                <wp:effectExtent l="0" t="0" r="0" b="3810"/>
                <wp:wrapNone/>
                <wp:docPr id="4" name="Caixa de Texto 4"/>
                <wp:cNvGraphicFramePr/>
                <a:graphic xmlns:a="http://schemas.openxmlformats.org/drawingml/2006/main">
                  <a:graphicData uri="http://schemas.microsoft.com/office/word/2010/wordprocessingShape">
                    <wps:wsp>
                      <wps:cNvSpPr txBox="1"/>
                      <wps:spPr>
                        <a:xfrm>
                          <a:off x="0" y="0"/>
                          <a:ext cx="623570" cy="491490"/>
                        </a:xfrm>
                        <a:prstGeom prst="rect">
                          <a:avLst/>
                        </a:prstGeom>
                        <a:noFill/>
                        <a:ln w="6350">
                          <a:noFill/>
                        </a:ln>
                      </wps:spPr>
                      <wps:txb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CB3D19" id="_x0000_t202" coordsize="21600,21600" o:spt="202" path="m,l,21600r21600,l21600,xe">
                <v:stroke joinstyle="miter"/>
                <v:path gradientshapeok="t" o:connecttype="rect"/>
              </v:shapetype>
              <v:shape id="Caixa de Texto 4" o:spid="_x0000_s1026" type="#_x0000_t202" style="position:absolute;margin-left:-53.8pt;margin-top:27.05pt;width:49.1pt;height:3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" filled="f" stroked="f" strokeweight=".5pt">
                <v:textbo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v:textbox>
              </v:shape>
            </w:pict>
          </mc:Fallback>
        </mc:AlternateContent>
      </w:r>
      <w:r w:rsidR="004B23AC">
        <w:rPr>
          <w:rFonts w:ascii="Source Serif Pro" w:hAnsi="Source Serif Pro" w:cs="Segoe UI Semibold"/>
          <w:noProof/>
          <w:spacing w:val="10"/>
          <w:sz w:val="21"/>
          <w:szCs w:val="21"/>
        </w:rPr>
        <w:t xml:space="preserve">Autos n. </w:t>
      </w:r>
      <w:r w:rsidR="005A6E55">
        <w:rPr>
          <w:rFonts w:ascii="Source Serif Pro" w:hAnsi="Source Serif Pro" w:cs="Segoe UI Semibold"/>
          <w:noProof/>
          <w:spacing w:val="10"/>
          <w:sz w:val="21"/>
          <w:szCs w:val="21"/>
        </w:rPr>
        <w:t>.....</w:t>
      </w:r>
    </w:p>
    <w:p w14:paraId="41C34F6F" w14:textId="750933D4" w:rsidR="00DB7797" w:rsidRPr="00B24A33" w:rsidRDefault="002A18AC" w:rsidP="00DB7797">
      <w:pPr>
        <w:spacing w:before="40" w:after="0"/>
        <w:rPr>
          <w:rFonts w:ascii="Source Serif Pro" w:hAnsi="Source Serif Pro" w:cs="Segoe UI"/>
          <w:sz w:val="18"/>
          <w:szCs w:val="18"/>
        </w:rPr>
      </w:pPr>
      <w:r>
        <w:rPr>
          <w:rFonts w:ascii="Source Serif Pro" w:hAnsi="Source Serif Pro" w:cs="Segoe UI Semibold"/>
          <w:sz w:val="18"/>
          <w:szCs w:val="18"/>
        </w:rPr>
        <w:t>Réu</w:t>
      </w:r>
      <w:r w:rsidR="00DB7797" w:rsidRPr="00B24A33">
        <w:rPr>
          <w:rFonts w:ascii="Source Serif Pro" w:hAnsi="Source Serif Pro" w:cs="Segoe UI Semibold"/>
          <w:sz w:val="18"/>
          <w:szCs w:val="18"/>
        </w:rPr>
        <w:t xml:space="preserve">: </w:t>
      </w:r>
      <w:r w:rsidR="001C6CE0">
        <w:rPr>
          <w:rFonts w:ascii="Source Serif Pro" w:hAnsi="Source Serif Pro" w:cs="Segoe UI"/>
          <w:sz w:val="18"/>
          <w:szCs w:val="18"/>
        </w:rPr>
        <w:t>Nome do Cliente</w:t>
      </w:r>
    </w:p>
    <w:p w14:paraId="5A87B2C6" w14:textId="17D198C5" w:rsidR="00EE0ABC" w:rsidRDefault="00EE0ABC">
      <w:pPr>
        <w:rPr>
          <w:rFonts w:ascii="Source Serif Pro" w:hAnsi="Source Serif Pro"/>
        </w:rPr>
      </w:pPr>
    </w:p>
    <w:p w14:paraId="45BE129E" w14:textId="77777777" w:rsidR="00F3233A" w:rsidRPr="00B24A33" w:rsidRDefault="00F3233A">
      <w:pPr>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4ED38659" w:rsidR="00B57D96" w:rsidRPr="00B24A33" w:rsidRDefault="001C6CE0" w:rsidP="00163268">
      <w:pPr>
        <w:spacing w:before="120" w:after="120" w:line="312" w:lineRule="auto"/>
        <w:ind w:firstLine="567"/>
        <w:jc w:val="both"/>
        <w:rPr>
          <w:rFonts w:ascii="Source Serif Pro" w:hAnsi="Source Serif Pro"/>
        </w:rPr>
      </w:pPr>
      <w:r>
        <w:rPr>
          <w:rFonts w:ascii="Source Serif Pro" w:hAnsi="Source Serif Pro"/>
          <w:smallCaps/>
        </w:rPr>
        <w:t>NOME DO CLIENTE</w:t>
      </w:r>
      <w:r w:rsidR="00EE0ABC" w:rsidRPr="00B24A33">
        <w:rPr>
          <w:rFonts w:ascii="Source Serif Pro" w:hAnsi="Source Serif Pro"/>
          <w:smallCaps/>
        </w:rPr>
        <w:t xml:space="preserve">, </w:t>
      </w:r>
      <w:r w:rsidR="007C0711">
        <w:rPr>
          <w:rFonts w:ascii="Source Serif Pro" w:hAnsi="Source Serif Pro"/>
        </w:rPr>
        <w:t>já qualificado nos autos em epígrafe</w:t>
      </w:r>
      <w:r w:rsidR="0015581C" w:rsidRPr="0015581C">
        <w:rPr>
          <w:rFonts w:ascii="Source Serif Pro" w:hAnsi="Source Serif Pro"/>
        </w:rPr>
        <w:t xml:space="preserve">, por meio de seu advogado que esta subscreve, </w:t>
      </w:r>
      <w:r w:rsidR="007C0711">
        <w:rPr>
          <w:rFonts w:ascii="Source Serif Pro" w:hAnsi="Source Serif Pro"/>
        </w:rPr>
        <w:t>com base no art. 396 e 396-A do CPP, vem a presença de Vossa Excelência apresentar</w:t>
      </w:r>
    </w:p>
    <w:p w14:paraId="2CD2B9C5" w14:textId="2D16C945" w:rsidR="00B57D96" w:rsidRPr="007A0B17" w:rsidRDefault="007C0711"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RESPOSTA À ACUSAÇÃO</w:t>
      </w:r>
    </w:p>
    <w:p w14:paraId="46AE4AF2" w14:textId="27AF17D7" w:rsidR="00EE0ABC" w:rsidRDefault="007C0711" w:rsidP="00163268">
      <w:pPr>
        <w:spacing w:before="120" w:after="120" w:line="312" w:lineRule="auto"/>
        <w:ind w:firstLine="567"/>
        <w:jc w:val="both"/>
        <w:rPr>
          <w:rFonts w:ascii="Source Serif Pro" w:hAnsi="Source Serif Pro"/>
        </w:rPr>
      </w:pPr>
      <w:r>
        <w:rPr>
          <w:rFonts w:ascii="Source Serif Pro" w:hAnsi="Source Serif Pro"/>
        </w:rPr>
        <w:t>pelas razões de fato e de direito que passa a expor</w:t>
      </w:r>
      <w:r w:rsidR="002D3115">
        <w:rPr>
          <w:rFonts w:ascii="Source Serif Pro" w:hAnsi="Source Serif Pro"/>
        </w:rPr>
        <w:t>:</w:t>
      </w:r>
    </w:p>
    <w:p w14:paraId="1E74CFFF" w14:textId="77777777" w:rsidR="002D3115" w:rsidRPr="007A0B17" w:rsidRDefault="002D3115" w:rsidP="002D3115">
      <w:pPr>
        <w:pStyle w:val="Ttulo1"/>
      </w:pPr>
      <w:r>
        <w:t>DOS FATOS</w:t>
      </w:r>
    </w:p>
    <w:p w14:paraId="69EDDC36" w14:textId="77777777" w:rsidR="00015D08" w:rsidRDefault="00015D08" w:rsidP="00015D08">
      <w:pPr>
        <w:pStyle w:val="SemEspaamento"/>
      </w:pPr>
      <w:r>
        <w:t>O denunciado foi abordado por policiais militares em via pública (ou em local indicado no auto de prisão em flagrante), durante patrulhamento de rotina. No curso da revista pessoal, os agentes encontraram em seu bolso/pertences uma pequena quantidade de munições de uso permitido, devidamente apreendidas e encaminhadas à delegacia. Não houve, em momento algum, qualquer relato de disparo, ameaça, emprego de arma de fogo ou envolvimento em situação de violência.</w:t>
      </w:r>
    </w:p>
    <w:p w14:paraId="7E0025DF" w14:textId="77777777" w:rsidR="00015D08" w:rsidRDefault="00015D08" w:rsidP="00015D08">
      <w:pPr>
        <w:pStyle w:val="SemEspaamento"/>
      </w:pPr>
      <w:r>
        <w:t>Conduzido à unidade policial, foi lavrado auto de prisão em flagrante exclusivamente pela suposta posse dessas poucas munições, desacompanhadas de qualquer arma de fogo. Conforme se extrai dos próprios autos, não foi apreendido revólver, pistola ou outro artefato apto a deflagrar os cartuchos, tampouco foram localizadas armas no domicílio do acusado ou em locais por ele frequentados. A narrativa fática limita-se, portanto, à detenção de reduzido número de projéteis.</w:t>
      </w:r>
    </w:p>
    <w:p w14:paraId="66B9DEE9" w14:textId="77777777" w:rsidR="00015D08" w:rsidRDefault="00015D08" w:rsidP="00015D08">
      <w:pPr>
        <w:pStyle w:val="SemEspaamento"/>
      </w:pPr>
    </w:p>
    <w:p w14:paraId="03A97713" w14:textId="77777777" w:rsidR="00015D08" w:rsidRDefault="00015D08" w:rsidP="00015D08">
      <w:pPr>
        <w:pStyle w:val="SemEspaamento"/>
      </w:pPr>
      <w:r>
        <w:lastRenderedPageBreak/>
        <w:t xml:space="preserve">Também não há nos autos qualquer elemento que indique utilização, destinação específica ou ligação dessas munições com outras práticas delitivas, como roubos, tráfico de drogas, organização criminosa ou comércio ilegal de armas. Não se noticia registro de planejamento criminoso, tampouco existência de inquéritos ou ações penais em andamento por crimes armados. Trata-se de fato isolado, sem contexto de maior gravidade, praticado por </w:t>
      </w:r>
      <w:proofErr w:type="gramStart"/>
      <w:r>
        <w:t>agente</w:t>
      </w:r>
      <w:proofErr w:type="gramEnd"/>
      <w:r>
        <w:t xml:space="preserve"> que, até então, não ostentava histórico de envolvimento com delitos dessa natureza.</w:t>
      </w:r>
    </w:p>
    <w:p w14:paraId="4E142076" w14:textId="063031DE" w:rsidR="00F3233A" w:rsidRDefault="00015D08" w:rsidP="00015D08">
      <w:pPr>
        <w:pStyle w:val="SemEspaamento"/>
      </w:pPr>
      <w:r>
        <w:t>Ainda assim, com base apenas nessa apreensão mínima de munição, foi oferecida denúncia em desfavor do acusado, imputando-lhe a prática de crime previsto no Estatuto do Desarmamento, sem qualquer ponderação sobre a ínfima quantidade de cartuchos, a ausência de arma de fogo e a inexistência de efetivo perigo concreto à coletividade. É contra essa imputação, construída sobre fato de reduzidíssima relevância penal, que se volta a presente Resposta à Acusação, a fim de ver reconhecida a incidência do princípio da insignificância e a consequente atipicidade material da conduta.</w:t>
      </w:r>
    </w:p>
    <w:p w14:paraId="2DA54DAD" w14:textId="77777777" w:rsidR="004E1F61" w:rsidRDefault="004E1F61" w:rsidP="004E1F61">
      <w:pPr>
        <w:pStyle w:val="SemEspaamento"/>
      </w:pPr>
    </w:p>
    <w:p w14:paraId="5087947A" w14:textId="5BF2B3D6" w:rsidR="002D3115" w:rsidRDefault="0044781C" w:rsidP="002D3115">
      <w:pPr>
        <w:pStyle w:val="Ttulo1"/>
        <w:spacing w:before="0" w:after="0" w:line="240" w:lineRule="auto"/>
      </w:pPr>
      <w:bookmarkStart w:id="0" w:name="_Hlk214782609"/>
      <w:r>
        <w:t>INCIDÊNCIA DO PRINCÍPIO DA INSIGNIFICÂNCIA</w:t>
      </w:r>
      <w:bookmarkEnd w:id="0"/>
    </w:p>
    <w:p w14:paraId="7C57FDD5" w14:textId="3C43263D" w:rsidR="002D3115" w:rsidRPr="00547988" w:rsidRDefault="0044781C" w:rsidP="0044781C">
      <w:pPr>
        <w:pBdr>
          <w:top w:val="single" w:sz="4" w:space="1" w:color="auto"/>
        </w:pBdr>
        <w:shd w:val="clear" w:color="auto" w:fill="FFFFFF" w:themeFill="background1"/>
        <w:spacing w:after="240"/>
        <w:ind w:firstLine="283"/>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Possibilidade de incidência – entendimento </w:t>
      </w:r>
      <w:bookmarkStart w:id="1" w:name="_Hlk214782636"/>
      <w:r>
        <w:rPr>
          <w:rFonts w:ascii="Source Sans Pro" w:hAnsi="Source Sans Pro"/>
          <w:i/>
          <w:iCs/>
          <w:shd w:val="clear" w:color="auto" w:fill="FFFFFF" w:themeFill="background1"/>
        </w:rPr>
        <w:t xml:space="preserve">STJ </w:t>
      </w:r>
      <w:proofErr w:type="spellStart"/>
      <w:r w:rsidRPr="0044781C">
        <w:rPr>
          <w:rFonts w:ascii="Source Sans Pro" w:hAnsi="Source Sans Pro"/>
          <w:i/>
          <w:iCs/>
          <w:shd w:val="clear" w:color="auto" w:fill="FFFFFF" w:themeFill="background1"/>
        </w:rPr>
        <w:t>AgRg</w:t>
      </w:r>
      <w:proofErr w:type="spellEnd"/>
      <w:r w:rsidRPr="0044781C">
        <w:rPr>
          <w:rFonts w:ascii="Source Sans Pro" w:hAnsi="Source Sans Pro"/>
          <w:i/>
          <w:iCs/>
          <w:shd w:val="clear" w:color="auto" w:fill="FFFFFF" w:themeFill="background1"/>
        </w:rPr>
        <w:t xml:space="preserve"> no </w:t>
      </w:r>
      <w:proofErr w:type="spellStart"/>
      <w:r w:rsidRPr="0044781C">
        <w:rPr>
          <w:rFonts w:ascii="Source Sans Pro" w:hAnsi="Source Sans Pro"/>
          <w:i/>
          <w:iCs/>
          <w:shd w:val="clear" w:color="auto" w:fill="FFFFFF" w:themeFill="background1"/>
        </w:rPr>
        <w:t>AREsp</w:t>
      </w:r>
      <w:proofErr w:type="spellEnd"/>
      <w:r w:rsidRPr="0044781C">
        <w:rPr>
          <w:rFonts w:ascii="Source Sans Pro" w:hAnsi="Source Sans Pro"/>
          <w:i/>
          <w:iCs/>
          <w:shd w:val="clear" w:color="auto" w:fill="FFFFFF" w:themeFill="background1"/>
        </w:rPr>
        <w:t xml:space="preserve"> n. 2.789.925/RS</w:t>
      </w:r>
      <w:bookmarkEnd w:id="1"/>
    </w:p>
    <w:p w14:paraId="707AA38C" w14:textId="77777777" w:rsidR="0044781C" w:rsidRPr="0044781C" w:rsidRDefault="0044781C" w:rsidP="0044781C">
      <w:pPr>
        <w:pStyle w:val="SemEspaamento"/>
      </w:pPr>
      <w:r w:rsidRPr="0044781C">
        <w:t>O delito imputado ao acusado diz respeito à suposta posse de pequena quantidade de munições de uso permitido, desacompanhadas de qualquer arma de fogo. A própria moldura fática delineada na denúncia evidencia que não houve emprego, ameaça, disparo ou qualquer outra conduta que extrapolasse a mera detenção desses poucos cartuchos, em contexto totalmente dissociado de prática delitiva violenta. Tal cenário permite – e impõe – a análise da tipicidade material à luz do princípio da insignificância, que funciona como filtro de intervenção mínima do Direito Penal.</w:t>
      </w:r>
    </w:p>
    <w:p w14:paraId="2BE118BD" w14:textId="77777777" w:rsidR="0044781C" w:rsidRPr="0044781C" w:rsidRDefault="0044781C" w:rsidP="0044781C">
      <w:pPr>
        <w:pStyle w:val="SemEspaamento"/>
      </w:pPr>
      <w:r w:rsidRPr="0044781C">
        <w:t xml:space="preserve">A jurisprudência nacional, em especial do Superior Tribunal de Justiça, consolidou entendimento de que a incidência do princípio da insignificância depende da verificação conjunta de quatro vetores: (a) mínima ofensividade da conduta do agente; (b) nenhuma periculosidade social da ação; (c) reduzido grau de </w:t>
      </w:r>
      <w:r w:rsidRPr="0044781C">
        <w:lastRenderedPageBreak/>
        <w:t>reprovabilidade do comportamento; e (d) inexpressividade da lesão jurídica provocada. Em situações de posse de quantidade ínfima de munição, principalmente quando desacompanhada de arma de fogo, esses requisitos costumam estar presentes de forma evidente.</w:t>
      </w:r>
    </w:p>
    <w:p w14:paraId="757ECD45" w14:textId="77777777" w:rsidR="0044781C" w:rsidRPr="0044781C" w:rsidRDefault="0044781C" w:rsidP="0044781C">
      <w:pPr>
        <w:pStyle w:val="SemEspaamento"/>
      </w:pPr>
      <w:r w:rsidRPr="0044781C">
        <w:t>No caso concreto, a denúncia descreve apreensão de poucas munições de uso permitido, em número reduzido, sem qualquer indicação de que estivessem sendo utilizadas ou destinadas a ações criminosas. Não há relato de arma apreendida, tampouco de envolvimento do acusado com organização criminosa, tráfico de armas ou qualquer outra atividade que pudesse potencializar o risco derivado da posse desses cartuchos. A conduta reveste-se, portanto, de baixa ofensividade e de nítida ausência de periculosidade social concreta.</w:t>
      </w:r>
    </w:p>
    <w:p w14:paraId="1C95BC44" w14:textId="77777777" w:rsidR="0044781C" w:rsidRPr="0044781C" w:rsidRDefault="0044781C" w:rsidP="0044781C">
      <w:pPr>
        <w:pStyle w:val="SemEspaamento"/>
      </w:pPr>
      <w:r w:rsidRPr="0044781C">
        <w:t>O STJ já reconheceu, em hipóteses semelhantes, que é desprovida de tipicidade material a conduta de acusado primário e de bons antecedentes surpreendido com apenas quatro cartuchos intactos e alguns estojos deflagrados, desacompanhados de arma e sem conexão com outros delitos, assentando a possibilidade de incidência do princípio da insignificância em matéria de munição quando presentes os vetores acima mencionados. A lógica desses precedentes se aplica integralmente ao caso aqui tratado, guardadas as peculiaridades fáticas.</w:t>
      </w:r>
    </w:p>
    <w:p w14:paraId="511ED555" w14:textId="009E494B" w:rsidR="0044781C" w:rsidRDefault="0044781C" w:rsidP="0044781C">
      <w:pPr>
        <w:pStyle w:val="SemEspaamento"/>
        <w:pBdr>
          <w:bottom w:val="single" w:sz="4" w:space="1" w:color="auto"/>
        </w:pBdr>
        <w:spacing w:before="60" w:after="60" w:line="240" w:lineRule="auto"/>
        <w:ind w:left="2268" w:firstLine="0"/>
      </w:pPr>
      <w:bookmarkStart w:id="2" w:name="_Hlk214782687"/>
      <w:r w:rsidRPr="00ED0C3A">
        <w:rPr>
          <w:b/>
          <w:bCs/>
          <w:sz w:val="36"/>
          <w:szCs w:val="36"/>
        </w:rPr>
        <w:t>STJ</w:t>
      </w:r>
      <w:r>
        <w:t xml:space="preserve"> </w:t>
      </w:r>
      <w:r w:rsidRPr="00ED0C3A">
        <w:rPr>
          <w:color w:val="808080" w:themeColor="background1" w:themeShade="80"/>
        </w:rPr>
        <w:t xml:space="preserve">– </w:t>
      </w:r>
      <w:proofErr w:type="spellStart"/>
      <w:r w:rsidR="00015D08" w:rsidRPr="00015D08">
        <w:rPr>
          <w:color w:val="808080" w:themeColor="background1" w:themeShade="80"/>
        </w:rPr>
        <w:t>AgRg</w:t>
      </w:r>
      <w:proofErr w:type="spellEnd"/>
      <w:r w:rsidR="00015D08" w:rsidRPr="00015D08">
        <w:rPr>
          <w:color w:val="808080" w:themeColor="background1" w:themeShade="80"/>
        </w:rPr>
        <w:t xml:space="preserve"> no </w:t>
      </w:r>
      <w:proofErr w:type="spellStart"/>
      <w:r w:rsidR="00015D08" w:rsidRPr="00015D08">
        <w:rPr>
          <w:color w:val="808080" w:themeColor="background1" w:themeShade="80"/>
        </w:rPr>
        <w:t>AREsp</w:t>
      </w:r>
      <w:proofErr w:type="spellEnd"/>
      <w:r w:rsidR="00015D08" w:rsidRPr="00015D08">
        <w:rPr>
          <w:color w:val="808080" w:themeColor="background1" w:themeShade="80"/>
        </w:rPr>
        <w:t xml:space="preserve"> n. 2.789.925/RS, relator Ministro Otávio de Almeida Toledo (Desembargador Convocado do TJSP), Sexta Turma, julgado em 26/2/2025</w:t>
      </w:r>
      <w:r w:rsidRPr="00580B73">
        <w:rPr>
          <w:color w:val="808080" w:themeColor="background1" w:themeShade="80"/>
        </w:rPr>
        <w:t>.</w:t>
      </w:r>
    </w:p>
    <w:p w14:paraId="26EAF433" w14:textId="03BBEA67" w:rsidR="0044781C" w:rsidRPr="00A67F26" w:rsidRDefault="00015D08" w:rsidP="0044781C">
      <w:pPr>
        <w:pStyle w:val="SemEspaamento"/>
        <w:spacing w:before="60" w:after="60" w:line="276" w:lineRule="auto"/>
        <w:ind w:left="2268" w:firstLine="0"/>
        <w:rPr>
          <w:i/>
          <w:iCs/>
        </w:rPr>
      </w:pPr>
      <w:r w:rsidRPr="00015D08">
        <w:rPr>
          <w:i/>
          <w:iCs/>
        </w:rPr>
        <w:t>1. Há muito se fixou a jurisprudência nacional no sentido de que a aplicação do princípio da insignificância está condicionada aos seguintes requisitos: a) a mínima ofensividade da conduta do agente, b) nenhuma periculosidade social da ação, c) o reduzidíssimo grau de reprovabilidade do comportamento e d) a inexpressividade da lesão jurídica provocada. 2. É desprovida de tipicidade material a conduta do acusado, primário e de bons antecedentes, de ter posse de apenas 04 (quatro) cartuchos de arma de fogo intactos, além de alguns poucos estojos já deflagrados, máxime quando desacompanhada de arma de fogo e ausente qualquer conexão da referida munição com outras práticas delitivas</w:t>
      </w:r>
      <w:bookmarkEnd w:id="2"/>
      <w:r w:rsidRPr="00015D08">
        <w:rPr>
          <w:i/>
          <w:iCs/>
        </w:rPr>
        <w:t>.</w:t>
      </w:r>
    </w:p>
    <w:p w14:paraId="1CCAF431" w14:textId="77777777" w:rsidR="00015D08" w:rsidRPr="00015D08" w:rsidRDefault="00015D08" w:rsidP="00015D08">
      <w:pPr>
        <w:pStyle w:val="SemEspaamento"/>
      </w:pPr>
      <w:r w:rsidRPr="00015D08">
        <w:lastRenderedPageBreak/>
        <w:t>A mínima quantidade de munição apreendida revela também o reduzidíssimo grau de reprovabilidade do comportamento, sobretudo quando confrontada com a ausência de qualquer outra circunstância agravante concreta. Não se está diante de estoque de munições, de comércio ilícito ou de situação que exponha a coletividade a risco efetivo; trata-se de posse pontual de poucos projéteis, sem demonstração de destinação ilícita específica, o que afasta a necessidade de resposta penal severa.</w:t>
      </w:r>
    </w:p>
    <w:p w14:paraId="3106BD24" w14:textId="77777777" w:rsidR="00015D08" w:rsidRPr="00015D08" w:rsidRDefault="00015D08" w:rsidP="00015D08">
      <w:pPr>
        <w:pStyle w:val="SemEspaamento"/>
      </w:pPr>
      <w:r w:rsidRPr="00015D08">
        <w:t xml:space="preserve">Além disso, a inexpressividade da lesão jurídica ao bem tutelado – segurança coletiva – é patente. A simples existência de pequenas munições, desligadas de qualquer contexto de uso ou circulação e desacompanhadas de arma apta a deflagrá-las, não gera, no plano concreto, abalo relevante à paz social ou à segurança pública. Admitir que toda e qualquer posse mínima de cartuchos, por si só, seja suficiente para movimentar a máquina penal com todo o peso de um processo criminal significaria desvirtuar a própria função de </w:t>
      </w:r>
      <w:proofErr w:type="gramStart"/>
      <w:r w:rsidRPr="00015D08">
        <w:t>ultima</w:t>
      </w:r>
      <w:proofErr w:type="gramEnd"/>
      <w:r w:rsidRPr="00015D08">
        <w:t xml:space="preserve"> </w:t>
      </w:r>
      <w:proofErr w:type="spellStart"/>
      <w:r w:rsidRPr="00015D08">
        <w:t>ratio</w:t>
      </w:r>
      <w:proofErr w:type="spellEnd"/>
      <w:r w:rsidRPr="00015D08">
        <w:t xml:space="preserve"> do Direito Penal.</w:t>
      </w:r>
    </w:p>
    <w:p w14:paraId="6A92D08A" w14:textId="77777777" w:rsidR="00015D08" w:rsidRPr="00015D08" w:rsidRDefault="00015D08" w:rsidP="00015D08">
      <w:pPr>
        <w:pStyle w:val="SemEspaamento"/>
      </w:pPr>
      <w:r w:rsidRPr="00015D08">
        <w:t>Ressalte-se, ainda, que o acusando ostenta condições pessoais favoráveis – como primariedade e ausência de histórico de envolvimento em crimes armados –, o que reforça o caráter episódico e de baixa reprovabilidade da conduta. Não se pode equiparar tal situação à de indivíduos armados em contextos de tráfico de drogas, roubo, organização criminosa ou milícia, nos quais a munição, em regra, se encontra associada a efetivo aumento de risco social. Aqui, essa ligação simplesmente não existe nos autos.</w:t>
      </w:r>
    </w:p>
    <w:p w14:paraId="1D571C65" w14:textId="77777777" w:rsidR="00015D08" w:rsidRPr="00015D08" w:rsidRDefault="00015D08" w:rsidP="00015D08">
      <w:pPr>
        <w:pStyle w:val="SemEspaamento"/>
      </w:pPr>
      <w:r w:rsidRPr="00015D08">
        <w:t>Por tudo isso, a manutenção da persecução penal em cenário de quantidade ínfima de munição, de uso permitido, desacompanhada de arma de fogo e sem ligação com outros delitos afronta os princípios da proporcionalidade, da intervenção mínima e da fragmentariedade do Direito Penal. O Estado-juiz não deve intervir penalmente em situações em que a conduta, embora formalmente típica, não alcança grau de lesividade suficiente para justificar o peso de um processo criminal e eventual condenação.</w:t>
      </w:r>
    </w:p>
    <w:p w14:paraId="31E91580" w14:textId="77777777" w:rsidR="00015D08" w:rsidRDefault="00015D08" w:rsidP="00015D08">
      <w:pPr>
        <w:pStyle w:val="SemEspaamento"/>
      </w:pPr>
      <w:r w:rsidRPr="00015D08">
        <w:t xml:space="preserve">Dessa forma, é plenamente cabível e necessário o reconhecimento da incidência do princípio da insignificância ao caso concreto, com o consequente afastamento da tipicidade material da conduta atribuída ao acusado, como passo lógico </w:t>
      </w:r>
      <w:r w:rsidRPr="00015D08">
        <w:lastRenderedPageBreak/>
        <w:t>para o pedido de rejeição da denúncia ou de absolvição, conforme se passa a expor no tópico seguinte.</w:t>
      </w:r>
    </w:p>
    <w:p w14:paraId="3FB89C0D" w14:textId="77777777" w:rsidR="00015D08" w:rsidRPr="00015D08" w:rsidRDefault="00015D08" w:rsidP="00015D08">
      <w:pPr>
        <w:pStyle w:val="SemEspaamento"/>
      </w:pPr>
    </w:p>
    <w:p w14:paraId="527E0488" w14:textId="60B79195" w:rsidR="008A42DE" w:rsidRDefault="00015D08" w:rsidP="008A42DE">
      <w:pPr>
        <w:pStyle w:val="Ttulo1"/>
        <w:spacing w:before="0" w:after="0" w:line="240" w:lineRule="auto"/>
      </w:pPr>
      <w:r w:rsidRPr="00015D08">
        <w:t>DA ATIPICIDADE DA CONDUTA</w:t>
      </w:r>
    </w:p>
    <w:p w14:paraId="4780BD8E" w14:textId="7C60CDFA" w:rsidR="008A42DE" w:rsidRPr="00547988" w:rsidRDefault="00015D08" w:rsidP="008A42DE">
      <w:pPr>
        <w:pBdr>
          <w:top w:val="single" w:sz="4" w:space="1" w:color="auto"/>
        </w:pBdr>
        <w:shd w:val="clear" w:color="auto" w:fill="FFFFFF" w:themeFill="background1"/>
        <w:spacing w:after="240"/>
        <w:ind w:firstLine="283"/>
        <w:rPr>
          <w:rFonts w:ascii="Source Sans Pro" w:hAnsi="Source Sans Pro"/>
          <w:i/>
          <w:iCs/>
          <w:shd w:val="clear" w:color="auto" w:fill="FFFFFF" w:themeFill="background1"/>
        </w:rPr>
      </w:pPr>
      <w:r>
        <w:rPr>
          <w:rFonts w:ascii="Source Sans Pro" w:hAnsi="Source Sans Pro"/>
          <w:i/>
          <w:iCs/>
          <w:shd w:val="clear" w:color="auto" w:fill="FFFFFF" w:themeFill="background1"/>
        </w:rPr>
        <w:t>Necessidade de rejeição da denúncia</w:t>
      </w:r>
    </w:p>
    <w:p w14:paraId="343BCFF5" w14:textId="77777777" w:rsidR="00015D08" w:rsidRPr="00015D08" w:rsidRDefault="00015D08" w:rsidP="00015D08">
      <w:pPr>
        <w:spacing w:before="120" w:after="120" w:line="312" w:lineRule="auto"/>
        <w:ind w:firstLine="567"/>
        <w:jc w:val="both"/>
        <w:rPr>
          <w:rFonts w:ascii="Source Serif Pro" w:hAnsi="Source Serif Pro"/>
        </w:rPr>
      </w:pPr>
      <w:r w:rsidRPr="00015D08">
        <w:rPr>
          <w:rFonts w:ascii="Source Serif Pro" w:hAnsi="Source Serif Pro"/>
        </w:rPr>
        <w:t>Uma vez afirmada a incidência do princípio da insignificância, torna-se evidente que a conduta imputada ao acusado é atípica em sua dimensão material, ainda que, em tese, se encaixe na descrição abstrata do tipo penal previsto no Estatuto do Desarmamento. A tipicidade, em um sistema penal comprometido com a Constituição, não se esgota na subsunção formal da conduta ao tipo; exige, também, relevância lesiva mínima ao bem jurídico tutelado. Quando essa relevância não se verifica, fala-se em atipicidade material.</w:t>
      </w:r>
    </w:p>
    <w:p w14:paraId="75A5C111" w14:textId="77777777" w:rsidR="00015D08" w:rsidRPr="00015D08" w:rsidRDefault="00015D08" w:rsidP="00015D08">
      <w:pPr>
        <w:spacing w:before="120" w:after="120" w:line="312" w:lineRule="auto"/>
        <w:ind w:firstLine="567"/>
        <w:jc w:val="both"/>
        <w:rPr>
          <w:rFonts w:ascii="Source Serif Pro" w:hAnsi="Source Serif Pro"/>
        </w:rPr>
      </w:pPr>
      <w:r w:rsidRPr="00015D08">
        <w:rPr>
          <w:rFonts w:ascii="Source Serif Pro" w:hAnsi="Source Serif Pro"/>
        </w:rPr>
        <w:t xml:space="preserve">No presente caso, a posse de poucas munições de uso permitido, desacompanhadas de arma de fogo, sem qualquer demonstração de destinação ilícita e sem conexão com outros delitos, representa justamente essa hipótese de tipicidade apenas formal, mas esvaziada de conteúdo material. Não há lesão concreta relevante à segurança pública, não há perigo real ou potencial significativo, não há demonstração de aumento do risco coletivo. Em suma, </w:t>
      </w:r>
      <w:r w:rsidRPr="00015D08">
        <w:rPr>
          <w:rFonts w:ascii="Source Serif Pro" w:hAnsi="Source Serif Pro"/>
          <w:b/>
          <w:bCs/>
        </w:rPr>
        <w:t>não há lesividade suficiente para legitimar a intervenção penal</w:t>
      </w:r>
      <w:r w:rsidRPr="00015D08">
        <w:rPr>
          <w:rFonts w:ascii="Source Serif Pro" w:hAnsi="Source Serif Pro"/>
        </w:rPr>
        <w:t>.</w:t>
      </w:r>
    </w:p>
    <w:p w14:paraId="72ECABEC" w14:textId="77777777" w:rsidR="00015D08" w:rsidRPr="00015D08" w:rsidRDefault="00015D08" w:rsidP="00015D08">
      <w:pPr>
        <w:spacing w:before="120" w:after="120" w:line="312" w:lineRule="auto"/>
        <w:ind w:firstLine="567"/>
        <w:jc w:val="both"/>
        <w:rPr>
          <w:rFonts w:ascii="Source Serif Pro" w:hAnsi="Source Serif Pro"/>
        </w:rPr>
      </w:pPr>
      <w:r w:rsidRPr="00015D08">
        <w:rPr>
          <w:rFonts w:ascii="Source Serif Pro" w:hAnsi="Source Serif Pro"/>
        </w:rPr>
        <w:t>A consequência jurídica desse reconhecimento é a atipicidade da conduta descrita na denúncia, o que impede o prosseguimento da ação penal. Se o fato, considerado em seus contornos concretos, não configura crime em sua essência material, não há justa causa para a persecução penal, devendo o Estado-juiz recusar-se a movimentar ou a manter um processo baseado em fato penalmente irrelevante. O processo penal não pode ser utilizado como instrumento simbólico de reprovação meramente moral.</w:t>
      </w:r>
    </w:p>
    <w:p w14:paraId="7C8C7B96" w14:textId="77777777" w:rsidR="00015D08" w:rsidRPr="00015D08" w:rsidRDefault="00015D08" w:rsidP="00015D08">
      <w:pPr>
        <w:spacing w:before="120" w:after="120" w:line="312" w:lineRule="auto"/>
        <w:ind w:firstLine="567"/>
        <w:jc w:val="both"/>
        <w:rPr>
          <w:rFonts w:ascii="Source Serif Pro" w:hAnsi="Source Serif Pro"/>
        </w:rPr>
      </w:pPr>
      <w:r w:rsidRPr="00015D08">
        <w:rPr>
          <w:rFonts w:ascii="Source Serif Pro" w:hAnsi="Source Serif Pro"/>
        </w:rPr>
        <w:t xml:space="preserve">Sob a ótica processual, a ausência de tipicidade material se enquadra na hipótese de falta de justa causa para a ação penal, na forma do art. 395, III, do Código de Processo Penal, quando ainda se está na fase de análise da admissibilidade da acusação. A denúncia, embora formalmente </w:t>
      </w:r>
      <w:proofErr w:type="gramStart"/>
      <w:r w:rsidRPr="00015D08">
        <w:rPr>
          <w:rFonts w:ascii="Source Serif Pro" w:hAnsi="Source Serif Pro"/>
        </w:rPr>
        <w:t>bem posta</w:t>
      </w:r>
      <w:proofErr w:type="gramEnd"/>
      <w:r w:rsidRPr="00015D08">
        <w:rPr>
          <w:rFonts w:ascii="Source Serif Pro" w:hAnsi="Source Serif Pro"/>
        </w:rPr>
        <w:t xml:space="preserve">, não encontra suporte em fato </w:t>
      </w:r>
      <w:r w:rsidRPr="00015D08">
        <w:rPr>
          <w:rFonts w:ascii="Source Serif Pro" w:hAnsi="Source Serif Pro"/>
        </w:rPr>
        <w:lastRenderedPageBreak/>
        <w:t>penalmente relevante, o que impõe sua rejeição, evitando-se que o acusado seja submetido a instrução criminal desnecessária e estigmatizante.</w:t>
      </w:r>
    </w:p>
    <w:p w14:paraId="346E1743" w14:textId="77777777" w:rsidR="00015D08" w:rsidRPr="00015D08" w:rsidRDefault="00015D08" w:rsidP="00015D08">
      <w:pPr>
        <w:spacing w:before="120" w:after="120" w:line="312" w:lineRule="auto"/>
        <w:ind w:firstLine="567"/>
        <w:jc w:val="both"/>
        <w:rPr>
          <w:rFonts w:ascii="Source Serif Pro" w:hAnsi="Source Serif Pro"/>
        </w:rPr>
      </w:pPr>
      <w:r w:rsidRPr="00015D08">
        <w:rPr>
          <w:rFonts w:ascii="Source Serif Pro" w:hAnsi="Source Serif Pro"/>
        </w:rPr>
        <w:t xml:space="preserve">Mesmo que se entenda pela superação da fase de admissibilidade, a conclusão, ao final da instrução, não pode ser </w:t>
      </w:r>
      <w:proofErr w:type="gramStart"/>
      <w:r w:rsidRPr="00015D08">
        <w:rPr>
          <w:rFonts w:ascii="Source Serif Pro" w:hAnsi="Source Serif Pro"/>
        </w:rPr>
        <w:t>outra senão</w:t>
      </w:r>
      <w:proofErr w:type="gramEnd"/>
      <w:r w:rsidRPr="00015D08">
        <w:rPr>
          <w:rFonts w:ascii="Source Serif Pro" w:hAnsi="Source Serif Pro"/>
        </w:rPr>
        <w:t xml:space="preserve"> a </w:t>
      </w:r>
      <w:r w:rsidRPr="00015D08">
        <w:rPr>
          <w:rFonts w:ascii="Source Serif Pro" w:hAnsi="Source Serif Pro"/>
          <w:b/>
          <w:bCs/>
        </w:rPr>
        <w:t>absolvição</w:t>
      </w:r>
      <w:r w:rsidRPr="00015D08">
        <w:rPr>
          <w:rFonts w:ascii="Source Serif Pro" w:hAnsi="Source Serif Pro"/>
        </w:rPr>
        <w:t xml:space="preserve"> do acusado, com fundamento na atipicidade do fato (art. 386, III, do CPP). Em qualquer das fases – recebimento ou sentença –, reconhecer a insignificância e a atipicidade material é reconhecer que o Direito Penal não deve se ocupar de condutas manifestamente irrelevantes.</w:t>
      </w:r>
    </w:p>
    <w:p w14:paraId="7E7F4339" w14:textId="77777777" w:rsidR="00015D08" w:rsidRPr="00015D08" w:rsidRDefault="00015D08" w:rsidP="00015D08">
      <w:pPr>
        <w:spacing w:before="120" w:after="120" w:line="312" w:lineRule="auto"/>
        <w:ind w:firstLine="567"/>
        <w:jc w:val="both"/>
        <w:rPr>
          <w:rFonts w:ascii="Source Serif Pro" w:hAnsi="Source Serif Pro"/>
        </w:rPr>
      </w:pPr>
      <w:r w:rsidRPr="00015D08">
        <w:rPr>
          <w:rFonts w:ascii="Source Serif Pro" w:hAnsi="Source Serif Pro"/>
        </w:rPr>
        <w:t>Ademais, admitir a punição em cenário de mera posse de ínfima quantidade de munição, desacompanhada de arma e de qualquer contexto delitivo mais grave, significaria abrir perigoso precedente de expansão desmedida do poder punitivo, permitindo que situações de mínima relevância passem a ser tratadas com o mesmo aparato repressivo reservado a fatos de real gravidade, o que contraria a jurisprudência dos Tribunais Superiores e os princípios estruturantes do sistema penal.</w:t>
      </w:r>
    </w:p>
    <w:p w14:paraId="7342D265" w14:textId="77777777" w:rsidR="00015D08" w:rsidRPr="00015D08" w:rsidRDefault="00015D08" w:rsidP="00015D08">
      <w:pPr>
        <w:spacing w:before="120" w:after="120" w:line="312" w:lineRule="auto"/>
        <w:ind w:firstLine="567"/>
        <w:jc w:val="both"/>
        <w:rPr>
          <w:rFonts w:ascii="Source Serif Pro" w:hAnsi="Source Serif Pro"/>
        </w:rPr>
      </w:pPr>
      <w:r w:rsidRPr="00015D08">
        <w:rPr>
          <w:rFonts w:ascii="Source Serif Pro" w:hAnsi="Source Serif Pro"/>
        </w:rPr>
        <w:t>A rejeição da denúncia, portanto, não é um favor, mas uma exigência de coerência sistêmica: se o próprio STJ reconhece, em hipóteses de posse de poucas munições desacompanhadas de arma, a possibilidade de incidência do princípio da insignificância por absoluta inexpressividade da lesão jurídica, não há fundamento legítimo para manter em curso uma ação penal contra o acusado nessas mesmas condições fáticas.</w:t>
      </w:r>
    </w:p>
    <w:p w14:paraId="658E7416" w14:textId="77777777" w:rsidR="00015D08" w:rsidRPr="00015D08" w:rsidRDefault="00015D08" w:rsidP="00015D08">
      <w:pPr>
        <w:spacing w:before="120" w:after="120" w:line="312" w:lineRule="auto"/>
        <w:ind w:firstLine="567"/>
        <w:jc w:val="both"/>
        <w:rPr>
          <w:rFonts w:ascii="Source Serif Pro" w:hAnsi="Source Serif Pro"/>
        </w:rPr>
      </w:pPr>
      <w:r w:rsidRPr="00015D08">
        <w:rPr>
          <w:rFonts w:ascii="Source Serif Pro" w:hAnsi="Source Serif Pro"/>
        </w:rPr>
        <w:t>Diante disso, a defesa sustenta que, reconhecida a insignificância e a atipicidade material da conduta, impõe-se a rejeição da denúncia, por ausência de justa causa, ou, subsidiariamente, a absolvição sumária do acusado, tudo em homenagem aos princípios da proporcionalidade, da intervenção mínima, da fragmentariedade e da própria dignidade da pessoa humana, que não pode ser submetida a um processo criminal por fato manifestamente irrelevante ao Direito Penal.</w:t>
      </w:r>
    </w:p>
    <w:p w14:paraId="68F06260" w14:textId="0A3C4203" w:rsidR="008A42DE" w:rsidRDefault="008A42DE" w:rsidP="008A42DE">
      <w:pPr>
        <w:spacing w:before="120" w:after="120" w:line="312" w:lineRule="auto"/>
        <w:ind w:firstLine="567"/>
        <w:jc w:val="both"/>
        <w:rPr>
          <w:rFonts w:ascii="Source Serif Pro" w:hAnsi="Source Serif Pro"/>
        </w:rPr>
      </w:pPr>
    </w:p>
    <w:p w14:paraId="20BDC83E" w14:textId="77777777" w:rsidR="00015D08" w:rsidRDefault="00015D08" w:rsidP="008A42DE">
      <w:pPr>
        <w:spacing w:before="120" w:after="120" w:line="312" w:lineRule="auto"/>
        <w:ind w:firstLine="567"/>
        <w:jc w:val="both"/>
        <w:rPr>
          <w:rFonts w:ascii="Source Serif Pro" w:hAnsi="Source Serif Pro"/>
        </w:rPr>
      </w:pPr>
    </w:p>
    <w:p w14:paraId="367F89FD" w14:textId="77777777" w:rsidR="00DD04F4" w:rsidRDefault="00DD04F4" w:rsidP="008A42DE">
      <w:pPr>
        <w:spacing w:before="120" w:after="120" w:line="312" w:lineRule="auto"/>
        <w:ind w:firstLine="567"/>
        <w:jc w:val="both"/>
        <w:rPr>
          <w:rFonts w:ascii="Source Serif Pro" w:hAnsi="Source Serif Pro"/>
        </w:rPr>
      </w:pPr>
    </w:p>
    <w:p w14:paraId="301BB0AE" w14:textId="77777777" w:rsidR="00DD04F4" w:rsidRPr="008A42DE" w:rsidRDefault="00DD04F4" w:rsidP="008A42DE">
      <w:pPr>
        <w:spacing w:before="120" w:after="120" w:line="312" w:lineRule="auto"/>
        <w:ind w:firstLine="567"/>
        <w:jc w:val="both"/>
        <w:rPr>
          <w:rFonts w:ascii="Source Serif Pro" w:hAnsi="Source Serif Pro"/>
        </w:rPr>
      </w:pPr>
    </w:p>
    <w:p w14:paraId="73E39172" w14:textId="0BA79212" w:rsidR="00B85546" w:rsidRPr="008A42DE" w:rsidRDefault="002D3115" w:rsidP="008A42DE">
      <w:pPr>
        <w:pStyle w:val="Ttulo1"/>
        <w:spacing w:before="0" w:after="0" w:line="240" w:lineRule="auto"/>
      </w:pPr>
      <w:r>
        <w:lastRenderedPageBreak/>
        <w:t>DO PEDIDO</w:t>
      </w:r>
    </w:p>
    <w:p w14:paraId="262ABB1F" w14:textId="77777777" w:rsidR="00015D08" w:rsidRDefault="00015D08" w:rsidP="00015D08">
      <w:pPr>
        <w:spacing w:before="120" w:after="120" w:line="312" w:lineRule="auto"/>
        <w:ind w:firstLine="567"/>
        <w:jc w:val="both"/>
        <w:rPr>
          <w:rFonts w:ascii="Source Serif Pro" w:hAnsi="Source Serif Pro"/>
        </w:rPr>
      </w:pPr>
    </w:p>
    <w:p w14:paraId="345C338B" w14:textId="0CB7689C" w:rsidR="00015D08" w:rsidRPr="00015D08" w:rsidRDefault="00015D08" w:rsidP="00015D08">
      <w:pPr>
        <w:spacing w:before="120" w:after="120" w:line="312" w:lineRule="auto"/>
        <w:ind w:firstLine="567"/>
        <w:jc w:val="both"/>
        <w:rPr>
          <w:rFonts w:ascii="Source Serif Pro" w:hAnsi="Source Serif Pro"/>
        </w:rPr>
      </w:pPr>
      <w:r w:rsidRPr="00015D08">
        <w:rPr>
          <w:rFonts w:ascii="Source Serif Pro" w:hAnsi="Source Serif Pro"/>
        </w:rPr>
        <w:t xml:space="preserve">Diante de todo o exposto, requer a Defesa que Vossa Excelência </w:t>
      </w:r>
      <w:r w:rsidRPr="00015D08">
        <w:rPr>
          <w:rFonts w:ascii="Source Serif Pro" w:hAnsi="Source Serif Pro"/>
          <w:b/>
          <w:bCs/>
        </w:rPr>
        <w:t>RECONHEÇA A INCIDÊNCIA DO PRINCÍPIO DA INSIGNIFICÂNCIA AO CASO CONCRETO</w:t>
      </w:r>
      <w:r w:rsidRPr="00015D08">
        <w:rPr>
          <w:rFonts w:ascii="Source Serif Pro" w:hAnsi="Source Serif Pro"/>
        </w:rPr>
        <w:t>, em razão da apreensão de ínfima quantidade de munição de uso permitido, desacompanhada de arma de fogo e desvinculada de qualquer outra prática delitiva, afastando-se, assim, a tipicidade material da conduta imputada ao acusado.</w:t>
      </w:r>
    </w:p>
    <w:p w14:paraId="2EED872C" w14:textId="44EDC21D" w:rsidR="00015D08" w:rsidRPr="00015D08" w:rsidRDefault="00015D08" w:rsidP="00015D08">
      <w:pPr>
        <w:spacing w:before="120" w:after="120" w:line="312" w:lineRule="auto"/>
        <w:ind w:firstLine="567"/>
        <w:jc w:val="both"/>
        <w:rPr>
          <w:rFonts w:ascii="Source Serif Pro" w:hAnsi="Source Serif Pro"/>
        </w:rPr>
      </w:pPr>
      <w:r w:rsidRPr="00015D08">
        <w:rPr>
          <w:rFonts w:ascii="Source Serif Pro" w:hAnsi="Source Serif Pro"/>
        </w:rPr>
        <w:t xml:space="preserve">Em consequência, requer seja </w:t>
      </w:r>
      <w:r w:rsidRPr="00015D08">
        <w:rPr>
          <w:rFonts w:ascii="Source Serif Pro" w:hAnsi="Source Serif Pro"/>
          <w:b/>
          <w:bCs/>
        </w:rPr>
        <w:t>DECLARADA A ATIPICIDADE DA CONDUTA</w:t>
      </w:r>
      <w:r w:rsidRPr="00015D08">
        <w:rPr>
          <w:rFonts w:ascii="Source Serif Pro" w:hAnsi="Source Serif Pro"/>
        </w:rPr>
        <w:t xml:space="preserve"> descrita na denúncia, por ausência de lesividade relevante ao bem jurídico tutelado, reconhecendo-se a falta de justa causa para a persecução penal. </w:t>
      </w:r>
      <w:r w:rsidRPr="00015D08">
        <w:rPr>
          <w:rFonts w:ascii="Source Serif Pro" w:hAnsi="Source Serif Pro"/>
          <w:b/>
          <w:bCs/>
        </w:rPr>
        <w:t>Assim, pugna a Defesa pela REJEIÇÃO DA DENÚNCIA, com fundamento no art. 395, III, do Código de Processo Penal</w:t>
      </w:r>
      <w:r w:rsidRPr="00015D08">
        <w:rPr>
          <w:rFonts w:ascii="Source Serif Pro" w:hAnsi="Source Serif Pro"/>
        </w:rPr>
        <w:t>.</w:t>
      </w:r>
    </w:p>
    <w:p w14:paraId="22D1BCFC" w14:textId="670DC8EA" w:rsidR="005E2F23" w:rsidRPr="005E2F23" w:rsidRDefault="00015D08" w:rsidP="006C5729">
      <w:pPr>
        <w:spacing w:before="120" w:after="120" w:line="312" w:lineRule="auto"/>
        <w:ind w:firstLine="567"/>
        <w:jc w:val="both"/>
        <w:rPr>
          <w:rFonts w:ascii="Source Serif Pro" w:hAnsi="Source Serif Pro"/>
        </w:rPr>
      </w:pPr>
      <w:r>
        <w:rPr>
          <w:rFonts w:ascii="Source Serif Pro" w:hAnsi="Source Serif Pro"/>
        </w:rPr>
        <w:t>Caso outro seja o entendimento, o que não se espera, d</w:t>
      </w:r>
      <w:r w:rsidR="006C5729">
        <w:rPr>
          <w:rFonts w:ascii="Source Serif Pro" w:hAnsi="Source Serif Pro"/>
        </w:rPr>
        <w:t>esde já a defesa arrola como testemunhas as mesmas indicadas pelo Ministério Público, além do rol de pessoas ao final apontadas.</w:t>
      </w:r>
    </w:p>
    <w:p w14:paraId="191844BF" w14:textId="143B63BC"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2F661AA8"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9E213A">
        <w:rPr>
          <w:rFonts w:ascii="Source Serif Pro" w:hAnsi="Source Serif Pro"/>
          <w:noProof/>
        </w:rPr>
        <w:t>23 de novembro de 2025</w:t>
      </w:r>
      <w:r w:rsidR="0015581C">
        <w:rPr>
          <w:rFonts w:ascii="Source Serif Pro" w:hAnsi="Source Serif Pro"/>
        </w:rPr>
        <w:fldChar w:fldCharType="end"/>
      </w:r>
      <w:r w:rsidR="0015581C" w:rsidRPr="0015581C">
        <w:rPr>
          <w:rFonts w:ascii="Source Serif Pro" w:hAnsi="Source Serif Pro"/>
        </w:rPr>
        <w:t>.</w:t>
      </w:r>
    </w:p>
    <w:p w14:paraId="6504CE75" w14:textId="77777777" w:rsidR="007C59F9" w:rsidRDefault="007C59F9" w:rsidP="006A3AEB">
      <w:pPr>
        <w:spacing w:after="0" w:line="240" w:lineRule="auto"/>
        <w:jc w:val="center"/>
        <w:rPr>
          <w:rFonts w:ascii="Source Serif Pro" w:hAnsi="Source Serif Pro"/>
        </w:rPr>
      </w:pPr>
    </w:p>
    <w:p w14:paraId="2DA090D7" w14:textId="533CF80C"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p w14:paraId="61CE08AD" w14:textId="46A2D4E8" w:rsidR="00A67F26" w:rsidRDefault="00A67F26" w:rsidP="00A67F26">
      <w:pPr>
        <w:spacing w:before="120" w:after="120" w:line="288" w:lineRule="auto"/>
        <w:rPr>
          <w:rFonts w:ascii="Source Serif Pro" w:hAnsi="Source Serif Pro"/>
        </w:rPr>
      </w:pPr>
      <w:r w:rsidRPr="00A67F26">
        <w:rPr>
          <w:rFonts w:ascii="Source Serif Pro" w:hAnsi="Source Serif Pro"/>
          <w:b/>
          <w:bCs/>
        </w:rPr>
        <w:t>Rol de testemunhas</w:t>
      </w:r>
      <w:r>
        <w:rPr>
          <w:rFonts w:ascii="Source Serif Pro" w:hAnsi="Source Serif Pro"/>
        </w:rPr>
        <w:t>:</w:t>
      </w:r>
    </w:p>
    <w:p w14:paraId="67D79248" w14:textId="7AF866AD" w:rsid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2A3DF07A" w14:textId="6E5D502D" w:rsid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6B60B8BD" w14:textId="77777777" w:rsidR="00A67F26" w:rsidRP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19F87301" w14:textId="77777777" w:rsidR="00A67F26" w:rsidRPr="00A67F26" w:rsidRDefault="00A67F26" w:rsidP="00A67F26">
      <w:pPr>
        <w:spacing w:after="0" w:line="240" w:lineRule="auto"/>
        <w:ind w:left="360"/>
        <w:rPr>
          <w:rFonts w:ascii="Source Serif Pro" w:hAnsi="Source Serif Pro"/>
        </w:rPr>
      </w:pPr>
    </w:p>
    <w:sectPr w:rsidR="00A67F26" w:rsidRPr="00A67F26" w:rsidSect="00466093">
      <w:headerReference w:type="default" r:id="rId8"/>
      <w:footerReference w:type="default" r:id="rId9"/>
      <w:headerReference w:type="first" r:id="rId10"/>
      <w:footerReference w:type="first" r:id="rId11"/>
      <w:pgSz w:w="11906" w:h="16838"/>
      <w:pgMar w:top="1871"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75998" w14:textId="77777777" w:rsidR="00907DBC" w:rsidRDefault="00907DBC" w:rsidP="00BA1F94">
      <w:pPr>
        <w:spacing w:after="0" w:line="240" w:lineRule="auto"/>
      </w:pPr>
      <w:r>
        <w:separator/>
      </w:r>
    </w:p>
  </w:endnote>
  <w:endnote w:type="continuationSeparator" w:id="0">
    <w:p w14:paraId="030746FB" w14:textId="77777777" w:rsidR="00907DBC" w:rsidRDefault="00907DBC"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Variable Display Semib">
    <w:panose1 w:val="00000000000000000000"/>
    <w:charset w:val="00"/>
    <w:family w:val="auto"/>
    <w:pitch w:val="variable"/>
    <w:sig w:usb0="A00002FF" w:usb1="0000000B"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32A23E0" w:rsidR="001E7DF5" w:rsidRPr="00D14593" w:rsidRDefault="00860199"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1359222494"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32A6B654"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proofErr w:type="gramStart"/>
    <w:r w:rsidRPr="00A97C42">
      <w:rPr>
        <w:rFonts w:ascii="Source Sans Pro" w:hAnsi="Source Sans Pro"/>
        <w:color w:val="0B0F23"/>
        <w:sz w:val="20"/>
        <w:szCs w:val="20"/>
      </w:rPr>
      <w:t>www.guarnierimartins.com.br</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 xml:space="preserve"> contato@guarnierimartins.com.br</w:t>
    </w:r>
    <w:proofErr w:type="gramEnd"/>
  </w:p>
  <w:p w14:paraId="1E5600C1" w14:textId="5A722ACD"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(67)9.9624-9366</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56BE0" w14:textId="77777777" w:rsidR="00907DBC" w:rsidRDefault="00907DBC" w:rsidP="00BA1F94">
      <w:pPr>
        <w:spacing w:after="0" w:line="240" w:lineRule="auto"/>
      </w:pPr>
      <w:r>
        <w:separator/>
      </w:r>
    </w:p>
  </w:footnote>
  <w:footnote w:type="continuationSeparator" w:id="0">
    <w:p w14:paraId="5374EEBC" w14:textId="77777777" w:rsidR="00907DBC" w:rsidRDefault="00907DBC"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3419882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56109678"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3777119"/>
    <w:multiLevelType w:val="hybridMultilevel"/>
    <w:tmpl w:val="DE66975C"/>
    <w:lvl w:ilvl="0" w:tplc="496E87F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4" w15:restartNumberingAfterBreak="0">
    <w:nsid w:val="14CC7B9E"/>
    <w:multiLevelType w:val="hybridMultilevel"/>
    <w:tmpl w:val="C3F0437C"/>
    <w:lvl w:ilvl="0" w:tplc="4EAC98C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 w15:restartNumberingAfterBreak="0">
    <w:nsid w:val="162B22D5"/>
    <w:multiLevelType w:val="hybridMultilevel"/>
    <w:tmpl w:val="9A3A1EFE"/>
    <w:lvl w:ilvl="0" w:tplc="F146C3D4">
      <w:start w:val="1"/>
      <w:numFmt w:val="decimal"/>
      <w:pStyle w:val="Ttulo1"/>
      <w:lvlText w:val="%1."/>
      <w:lvlJc w:val="left"/>
      <w:pPr>
        <w:ind w:left="1920"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8" w15:restartNumberingAfterBreak="0">
    <w:nsid w:val="19B56DA4"/>
    <w:multiLevelType w:val="hybridMultilevel"/>
    <w:tmpl w:val="9AEAB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1"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16528"/>
    <w:multiLevelType w:val="hybridMultilevel"/>
    <w:tmpl w:val="05AABD4C"/>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5"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1"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2"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3"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D57AA"/>
    <w:multiLevelType w:val="hybridMultilevel"/>
    <w:tmpl w:val="9744B53C"/>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61524E9E"/>
    <w:multiLevelType w:val="hybridMultilevel"/>
    <w:tmpl w:val="A18AB8A6"/>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6"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8"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68648E4"/>
    <w:multiLevelType w:val="hybridMultilevel"/>
    <w:tmpl w:val="2110CD96"/>
    <w:lvl w:ilvl="0" w:tplc="8B7480CC">
      <w:start w:val="1"/>
      <w:numFmt w:val="decimal"/>
      <w:lvlText w:val="%1."/>
      <w:lvlJc w:val="left"/>
      <w:pPr>
        <w:ind w:left="1211" w:hanging="360"/>
      </w:pPr>
      <w:rPr>
        <w:rFonts w:hint="default"/>
        <w:b w:val="0"/>
        <w:bCs/>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0"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5"/>
  </w:num>
  <w:num w:numId="2" w16cid:durableId="1455253303">
    <w:abstractNumId w:val="15"/>
  </w:num>
  <w:num w:numId="3" w16cid:durableId="555554971">
    <w:abstractNumId w:val="5"/>
  </w:num>
  <w:num w:numId="4" w16cid:durableId="1971129295">
    <w:abstractNumId w:val="5"/>
  </w:num>
  <w:num w:numId="5" w16cid:durableId="555433521">
    <w:abstractNumId w:val="5"/>
  </w:num>
  <w:num w:numId="6" w16cid:durableId="376053507">
    <w:abstractNumId w:val="5"/>
  </w:num>
  <w:num w:numId="7" w16cid:durableId="1819492703">
    <w:abstractNumId w:val="1"/>
  </w:num>
  <w:num w:numId="8" w16cid:durableId="214002896">
    <w:abstractNumId w:val="11"/>
  </w:num>
  <w:num w:numId="9" w16cid:durableId="1186557910">
    <w:abstractNumId w:val="19"/>
  </w:num>
  <w:num w:numId="10" w16cid:durableId="45959775">
    <w:abstractNumId w:val="5"/>
  </w:num>
  <w:num w:numId="11" w16cid:durableId="698555142">
    <w:abstractNumId w:val="5"/>
  </w:num>
  <w:num w:numId="12" w16cid:durableId="169760788">
    <w:abstractNumId w:val="16"/>
  </w:num>
  <w:num w:numId="13" w16cid:durableId="1542085398">
    <w:abstractNumId w:val="12"/>
  </w:num>
  <w:num w:numId="14" w16cid:durableId="1800220788">
    <w:abstractNumId w:val="30"/>
  </w:num>
  <w:num w:numId="15" w16cid:durableId="189689990">
    <w:abstractNumId w:val="23"/>
  </w:num>
  <w:num w:numId="16" w16cid:durableId="106320463">
    <w:abstractNumId w:val="27"/>
  </w:num>
  <w:num w:numId="17" w16cid:durableId="757795001">
    <w:abstractNumId w:val="7"/>
  </w:num>
  <w:num w:numId="18" w16cid:durableId="507915239">
    <w:abstractNumId w:val="26"/>
  </w:num>
  <w:num w:numId="19" w16cid:durableId="985084700">
    <w:abstractNumId w:val="22"/>
  </w:num>
  <w:num w:numId="20" w16cid:durableId="700283364">
    <w:abstractNumId w:val="20"/>
  </w:num>
  <w:num w:numId="21" w16cid:durableId="895627114">
    <w:abstractNumId w:val="10"/>
  </w:num>
  <w:num w:numId="22" w16cid:durableId="2089496448">
    <w:abstractNumId w:val="5"/>
  </w:num>
  <w:num w:numId="23" w16cid:durableId="561600074">
    <w:abstractNumId w:val="0"/>
  </w:num>
  <w:num w:numId="24" w16cid:durableId="278606713">
    <w:abstractNumId w:val="21"/>
  </w:num>
  <w:num w:numId="25" w16cid:durableId="556820897">
    <w:abstractNumId w:val="6"/>
  </w:num>
  <w:num w:numId="26" w16cid:durableId="648704854">
    <w:abstractNumId w:val="3"/>
  </w:num>
  <w:num w:numId="27" w16cid:durableId="1146168893">
    <w:abstractNumId w:val="17"/>
  </w:num>
  <w:num w:numId="28" w16cid:durableId="1280070271">
    <w:abstractNumId w:val="9"/>
  </w:num>
  <w:num w:numId="29" w16cid:durableId="1163280356">
    <w:abstractNumId w:val="13"/>
  </w:num>
  <w:num w:numId="30" w16cid:durableId="1479685322">
    <w:abstractNumId w:val="28"/>
  </w:num>
  <w:num w:numId="31" w16cid:durableId="939022436">
    <w:abstractNumId w:val="18"/>
  </w:num>
  <w:num w:numId="32" w16cid:durableId="1358387731">
    <w:abstractNumId w:val="29"/>
  </w:num>
  <w:num w:numId="33" w16cid:durableId="1918588421">
    <w:abstractNumId w:val="14"/>
  </w:num>
  <w:num w:numId="34" w16cid:durableId="508368672">
    <w:abstractNumId w:val="8"/>
  </w:num>
  <w:num w:numId="35" w16cid:durableId="997265681">
    <w:abstractNumId w:val="25"/>
  </w:num>
  <w:num w:numId="36" w16cid:durableId="1900631713">
    <w:abstractNumId w:val="4"/>
  </w:num>
  <w:num w:numId="37" w16cid:durableId="2024433701">
    <w:abstractNumId w:val="2"/>
  </w:num>
  <w:num w:numId="38" w16cid:durableId="18400012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15D08"/>
    <w:rsid w:val="00021F5D"/>
    <w:rsid w:val="00045565"/>
    <w:rsid w:val="000633B8"/>
    <w:rsid w:val="000765C6"/>
    <w:rsid w:val="000911F8"/>
    <w:rsid w:val="000A234B"/>
    <w:rsid w:val="000B1C85"/>
    <w:rsid w:val="000B2591"/>
    <w:rsid w:val="0011164C"/>
    <w:rsid w:val="001153D8"/>
    <w:rsid w:val="00144A4B"/>
    <w:rsid w:val="0015581C"/>
    <w:rsid w:val="00163268"/>
    <w:rsid w:val="0018525B"/>
    <w:rsid w:val="001C6CE0"/>
    <w:rsid w:val="001E64BE"/>
    <w:rsid w:val="001E7DF5"/>
    <w:rsid w:val="001F3409"/>
    <w:rsid w:val="00205995"/>
    <w:rsid w:val="0021210F"/>
    <w:rsid w:val="0021462C"/>
    <w:rsid w:val="00255925"/>
    <w:rsid w:val="00265B72"/>
    <w:rsid w:val="002731A1"/>
    <w:rsid w:val="002A18AC"/>
    <w:rsid w:val="002C012C"/>
    <w:rsid w:val="002D3115"/>
    <w:rsid w:val="002D79D9"/>
    <w:rsid w:val="002E0484"/>
    <w:rsid w:val="002F00FD"/>
    <w:rsid w:val="002F4394"/>
    <w:rsid w:val="00307183"/>
    <w:rsid w:val="0032114D"/>
    <w:rsid w:val="00334B83"/>
    <w:rsid w:val="00335715"/>
    <w:rsid w:val="0035269F"/>
    <w:rsid w:val="003602F7"/>
    <w:rsid w:val="003A171C"/>
    <w:rsid w:val="003A1DD2"/>
    <w:rsid w:val="003A4B72"/>
    <w:rsid w:val="003A76A4"/>
    <w:rsid w:val="003A7CB9"/>
    <w:rsid w:val="0041600B"/>
    <w:rsid w:val="00421C44"/>
    <w:rsid w:val="0044781C"/>
    <w:rsid w:val="004526A3"/>
    <w:rsid w:val="00462A1D"/>
    <w:rsid w:val="00466093"/>
    <w:rsid w:val="00473494"/>
    <w:rsid w:val="004A1397"/>
    <w:rsid w:val="004B23AC"/>
    <w:rsid w:val="004C2B0E"/>
    <w:rsid w:val="004C78F2"/>
    <w:rsid w:val="004E1F61"/>
    <w:rsid w:val="004F6860"/>
    <w:rsid w:val="00502064"/>
    <w:rsid w:val="00510D1D"/>
    <w:rsid w:val="005271CA"/>
    <w:rsid w:val="00547988"/>
    <w:rsid w:val="00552F50"/>
    <w:rsid w:val="0056423A"/>
    <w:rsid w:val="005701F5"/>
    <w:rsid w:val="005702CF"/>
    <w:rsid w:val="00575469"/>
    <w:rsid w:val="00585236"/>
    <w:rsid w:val="00596D6C"/>
    <w:rsid w:val="005A6E55"/>
    <w:rsid w:val="005B55D2"/>
    <w:rsid w:val="005C54F8"/>
    <w:rsid w:val="005E2F23"/>
    <w:rsid w:val="005E630E"/>
    <w:rsid w:val="005F47A7"/>
    <w:rsid w:val="00617C7C"/>
    <w:rsid w:val="00636660"/>
    <w:rsid w:val="00636D00"/>
    <w:rsid w:val="006419C1"/>
    <w:rsid w:val="0064461A"/>
    <w:rsid w:val="00672F34"/>
    <w:rsid w:val="00673A8C"/>
    <w:rsid w:val="006916BF"/>
    <w:rsid w:val="006A3AEB"/>
    <w:rsid w:val="006B1A62"/>
    <w:rsid w:val="006B1C85"/>
    <w:rsid w:val="006C5729"/>
    <w:rsid w:val="006D5BE0"/>
    <w:rsid w:val="006E26AE"/>
    <w:rsid w:val="006F33DE"/>
    <w:rsid w:val="007020CA"/>
    <w:rsid w:val="00714F6F"/>
    <w:rsid w:val="00716815"/>
    <w:rsid w:val="00720D57"/>
    <w:rsid w:val="00724E8D"/>
    <w:rsid w:val="00763304"/>
    <w:rsid w:val="007A0B17"/>
    <w:rsid w:val="007B7295"/>
    <w:rsid w:val="007C0711"/>
    <w:rsid w:val="007C59F9"/>
    <w:rsid w:val="007E3DC1"/>
    <w:rsid w:val="007F0F05"/>
    <w:rsid w:val="00802A06"/>
    <w:rsid w:val="0081592C"/>
    <w:rsid w:val="008235F0"/>
    <w:rsid w:val="00860199"/>
    <w:rsid w:val="00880278"/>
    <w:rsid w:val="00884412"/>
    <w:rsid w:val="008A42DE"/>
    <w:rsid w:val="008B00B1"/>
    <w:rsid w:val="008B03CF"/>
    <w:rsid w:val="008B41F3"/>
    <w:rsid w:val="008F0F7D"/>
    <w:rsid w:val="00902436"/>
    <w:rsid w:val="00907DBC"/>
    <w:rsid w:val="00915234"/>
    <w:rsid w:val="00924899"/>
    <w:rsid w:val="00933297"/>
    <w:rsid w:val="009825A3"/>
    <w:rsid w:val="00983A54"/>
    <w:rsid w:val="0099073D"/>
    <w:rsid w:val="0099435F"/>
    <w:rsid w:val="00996DA0"/>
    <w:rsid w:val="009A601B"/>
    <w:rsid w:val="009D178E"/>
    <w:rsid w:val="009E098F"/>
    <w:rsid w:val="009E213A"/>
    <w:rsid w:val="009F311E"/>
    <w:rsid w:val="00A01420"/>
    <w:rsid w:val="00A47F27"/>
    <w:rsid w:val="00A67F26"/>
    <w:rsid w:val="00A73B53"/>
    <w:rsid w:val="00A82AD8"/>
    <w:rsid w:val="00A8787D"/>
    <w:rsid w:val="00A87D34"/>
    <w:rsid w:val="00A97C42"/>
    <w:rsid w:val="00AA08C3"/>
    <w:rsid w:val="00AA31B3"/>
    <w:rsid w:val="00AB2011"/>
    <w:rsid w:val="00AC0BB4"/>
    <w:rsid w:val="00B0317F"/>
    <w:rsid w:val="00B04357"/>
    <w:rsid w:val="00B24A33"/>
    <w:rsid w:val="00B57D96"/>
    <w:rsid w:val="00B77BFB"/>
    <w:rsid w:val="00B77E49"/>
    <w:rsid w:val="00B85546"/>
    <w:rsid w:val="00B85981"/>
    <w:rsid w:val="00B968CC"/>
    <w:rsid w:val="00BA1F94"/>
    <w:rsid w:val="00BA5370"/>
    <w:rsid w:val="00BC28F2"/>
    <w:rsid w:val="00BC6F5E"/>
    <w:rsid w:val="00BC781A"/>
    <w:rsid w:val="00BF64DD"/>
    <w:rsid w:val="00C061A6"/>
    <w:rsid w:val="00C56908"/>
    <w:rsid w:val="00C86BDE"/>
    <w:rsid w:val="00C925C7"/>
    <w:rsid w:val="00C9595C"/>
    <w:rsid w:val="00CA2809"/>
    <w:rsid w:val="00CA3287"/>
    <w:rsid w:val="00CB50FF"/>
    <w:rsid w:val="00CE6C3F"/>
    <w:rsid w:val="00D14593"/>
    <w:rsid w:val="00D343B2"/>
    <w:rsid w:val="00D37B62"/>
    <w:rsid w:val="00D75D54"/>
    <w:rsid w:val="00D7692D"/>
    <w:rsid w:val="00D934F0"/>
    <w:rsid w:val="00D94708"/>
    <w:rsid w:val="00DB0C17"/>
    <w:rsid w:val="00DB287D"/>
    <w:rsid w:val="00DB7797"/>
    <w:rsid w:val="00DD04F4"/>
    <w:rsid w:val="00E260D2"/>
    <w:rsid w:val="00E70C92"/>
    <w:rsid w:val="00E939CA"/>
    <w:rsid w:val="00E93C31"/>
    <w:rsid w:val="00EA061D"/>
    <w:rsid w:val="00ED0C3A"/>
    <w:rsid w:val="00EE0ABC"/>
    <w:rsid w:val="00F10092"/>
    <w:rsid w:val="00F3233A"/>
    <w:rsid w:val="00F37C97"/>
    <w:rsid w:val="00F46652"/>
    <w:rsid w:val="00F53D0B"/>
    <w:rsid w:val="00F81339"/>
    <w:rsid w:val="00F84566"/>
    <w:rsid w:val="00F85AD9"/>
    <w:rsid w:val="00F961EF"/>
    <w:rsid w:val="00FD13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2DE"/>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1965</Words>
  <Characters>10948</Characters>
  <Application>Microsoft Office Word</Application>
  <DocSecurity>0</DocSecurity>
  <Lines>210</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5</cp:revision>
  <cp:lastPrinted>2025-10-14T13:26:00Z</cp:lastPrinted>
  <dcterms:created xsi:type="dcterms:W3CDTF">2025-11-21T20:18:00Z</dcterms:created>
  <dcterms:modified xsi:type="dcterms:W3CDTF">2025-11-23T14:17:00Z</dcterms:modified>
</cp:coreProperties>
</file>