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6F3949C"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AA08C3">
        <w:rPr>
          <w:rFonts w:ascii="Source Serif Pro" w:hAnsi="Source Serif Pro"/>
          <w:b/>
          <w:bCs/>
          <w:sz w:val="26"/>
          <w:szCs w:val="28"/>
        </w:rPr>
        <w:t>da 5ª Vara Criminal</w:t>
      </w:r>
    </w:p>
    <w:p w14:paraId="0BE51421" w14:textId="751A2211" w:rsidR="00B968CC" w:rsidRPr="00B24A33" w:rsidRDefault="00AA08C3"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07573816" w14:textId="0E3C4679"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750933D4" w:rsidR="00DB7797" w:rsidRPr="00B24A33" w:rsidRDefault="002A18AC" w:rsidP="00DB7797">
      <w:pPr>
        <w:spacing w:before="40" w:after="0"/>
        <w:rPr>
          <w:rFonts w:ascii="Source Serif Pro" w:hAnsi="Source Serif Pro" w:cs="Segoe UI"/>
          <w:sz w:val="18"/>
          <w:szCs w:val="18"/>
        </w:rPr>
      </w:pPr>
      <w:r>
        <w:rPr>
          <w:rFonts w:ascii="Source Serif Pro" w:hAnsi="Source Serif Pro" w:cs="Segoe UI Semibold"/>
          <w:sz w:val="18"/>
          <w:szCs w:val="18"/>
        </w:rPr>
        <w:t>Réu</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4ED38659"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7C0711">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sidR="007C0711">
        <w:rPr>
          <w:rFonts w:ascii="Source Serif Pro" w:hAnsi="Source Serif Pro"/>
        </w:rPr>
        <w:t>com base no art. 396 e 396-A do CPP, vem a presença de Vossa Excelência apresentar</w:t>
      </w:r>
    </w:p>
    <w:p w14:paraId="2CD2B9C5" w14:textId="2D16C945" w:rsidR="00B57D96" w:rsidRPr="007A0B17" w:rsidRDefault="007C071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RESPOSTA À ACUSAÇÃO</w:t>
      </w:r>
    </w:p>
    <w:p w14:paraId="46AE4AF2" w14:textId="27AF17D7" w:rsidR="00EE0ABC" w:rsidRDefault="007C0711" w:rsidP="00163268">
      <w:pPr>
        <w:spacing w:before="120" w:after="120" w:line="312" w:lineRule="auto"/>
        <w:ind w:firstLine="567"/>
        <w:jc w:val="both"/>
        <w:rPr>
          <w:rFonts w:ascii="Source Serif Pro" w:hAnsi="Source Serif Pro"/>
        </w:rPr>
      </w:pPr>
      <w:r>
        <w:rPr>
          <w:rFonts w:ascii="Source Serif Pro" w:hAnsi="Source Serif Pro"/>
        </w:rPr>
        <w:t>pelas razões de fato e de direito que passa a expor</w:t>
      </w:r>
      <w:r w:rsidR="002D3115">
        <w:rPr>
          <w:rFonts w:ascii="Source Serif Pro" w:hAnsi="Source Serif Pro"/>
        </w:rPr>
        <w:t>:</w:t>
      </w:r>
    </w:p>
    <w:p w14:paraId="1E74CFFF" w14:textId="77777777" w:rsidR="002D3115" w:rsidRPr="007A0B17" w:rsidRDefault="002D3115" w:rsidP="002D3115">
      <w:pPr>
        <w:pStyle w:val="Ttulo1"/>
      </w:pPr>
      <w:r>
        <w:t>DOS FATOS</w:t>
      </w:r>
    </w:p>
    <w:p w14:paraId="3C3E41DE" w14:textId="77777777" w:rsidR="00D45C54" w:rsidRDefault="00D45C54" w:rsidP="00D45C54">
      <w:pPr>
        <w:pStyle w:val="SemEspaamento"/>
      </w:pPr>
      <w:r>
        <w:t>O acusado responde à presente ação penal pela suposta prática do crime de descumprimento de medida protetiva de urgência, prevista no art. 24-A da Lei n. 11.340/06. Consta dos autos que, em procedimento anterior, foi deferida medida judicial proibindo-o de se aproximar e manter contato com a vítima, fixando-se limite mínimo de distância e vedando qualquer tipo de comunicação direta ou indireta. A denúncia sustenta que, em data posterior, o acusado teria se aproximado da ofendida e mantido com ela contato presencial, motivo pelo qual foi oferecida a presente ação penal.</w:t>
      </w:r>
    </w:p>
    <w:p w14:paraId="141E8880" w14:textId="77777777" w:rsidR="00D45C54" w:rsidRDefault="00D45C54" w:rsidP="00D45C54">
      <w:pPr>
        <w:pStyle w:val="SemEspaamento"/>
      </w:pPr>
      <w:r>
        <w:t xml:space="preserve">Ocorre que, após a concessão da medida protetiva, a própria vítima passou a restabelecer de forma espontânea o contato com o acusado, enviando-lhe mensagens por meio do aplicativo WhatsApp, chamando-o para conversas, encontros e, em diversas oportunidades, convidando-o para se encontrar em sua residência e em outros locais. Tais diálogos, devidamente impressos e juntados pela defesa, </w:t>
      </w:r>
      <w:r>
        <w:lastRenderedPageBreak/>
        <w:t>demonstram que a iniciativa de reaproximação partiu reiteradas vezes da ofendida, que em momento algum manifestou resistência ao contato ou alegou estar sendo coagida.</w:t>
      </w:r>
    </w:p>
    <w:p w14:paraId="01487995" w14:textId="77777777" w:rsidR="00D45C54" w:rsidRDefault="00D45C54" w:rsidP="00D45C54">
      <w:pPr>
        <w:pStyle w:val="SemEspaamento"/>
      </w:pPr>
      <w:r>
        <w:t>Além das conversas, foram acostadas aos autos fotografias recentes nas quais vítima e acusado aparecem juntos em momentos de lazer e aparente convivência harmoniosa, em bares, eventos e até em ambiente doméstico, inclusive em datas posteriores ao suposto descumprimento narrado na denúncia. As imagens evidenciam que ambos permaneceram por algum tempo se encontrando de forma consentida, posando lado a lado e demonstrando comportamento incompatível com o quadro de afastamento imposto pela medida protetiva, sem qualquer registro de desentendimento ou situação de risco naquele contexto.</w:t>
      </w:r>
    </w:p>
    <w:p w14:paraId="4E142076" w14:textId="315D617C" w:rsidR="00F3233A" w:rsidRDefault="00D45C54" w:rsidP="00D45C54">
      <w:pPr>
        <w:pStyle w:val="SemEspaamento"/>
      </w:pPr>
      <w:r>
        <w:t>Não obstante essa realidade fática – de convivência consentida e reaproximação iniciada pela própria vítima –, o acusado acabou denunciado sob o argumento de que teria descumprido a ordem judicial de não contato. É justamente contra essa leitura dissociada das provas que se insurge a presente Resposta à Acusação: a defesa demonstra que não houve aproximação imposta pelo réu, mas sim reatamento voluntário da relação por iniciativa da vítima, circunstância que, à luz da jurisprudência do Superior Tribunal de Justiça, afasta a tipicidade do crime de descumprimento de medida protetiva.</w:t>
      </w:r>
    </w:p>
    <w:p w14:paraId="2DA54DAD" w14:textId="77777777" w:rsidR="004E1F61" w:rsidRDefault="004E1F61" w:rsidP="00D45C54">
      <w:pPr>
        <w:pStyle w:val="SemEspaamento"/>
        <w:ind w:firstLine="0"/>
      </w:pPr>
    </w:p>
    <w:p w14:paraId="5087947A" w14:textId="7756524F" w:rsidR="002D3115" w:rsidRDefault="00B92FD1" w:rsidP="002D3115">
      <w:pPr>
        <w:pStyle w:val="Ttulo1"/>
        <w:spacing w:before="0" w:after="0" w:line="240" w:lineRule="auto"/>
      </w:pPr>
      <w:r>
        <w:t>DA ATIPICIDADE DA CONDUTA</w:t>
      </w:r>
    </w:p>
    <w:p w14:paraId="7C57FDD5" w14:textId="1127B23F" w:rsidR="002D3115" w:rsidRPr="00547988" w:rsidRDefault="00B92FD1"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r>
        <w:rPr>
          <w:rFonts w:ascii="Source Sans Pro" w:hAnsi="Source Sans Pro"/>
          <w:i/>
          <w:iCs/>
          <w:shd w:val="clear" w:color="auto" w:fill="FFFFFF" w:themeFill="background1"/>
        </w:rPr>
        <w:t>Expressa anuência da vítima na aproximação -</w:t>
      </w:r>
      <w:r w:rsidR="0044781C">
        <w:rPr>
          <w:rFonts w:ascii="Source Sans Pro" w:hAnsi="Source Sans Pro"/>
          <w:i/>
          <w:iCs/>
          <w:shd w:val="clear" w:color="auto" w:fill="FFFFFF" w:themeFill="background1"/>
        </w:rPr>
        <w:t xml:space="preserve"> </w:t>
      </w:r>
      <w:proofErr w:type="spellStart"/>
      <w:r w:rsidRPr="00B92FD1">
        <w:rPr>
          <w:rFonts w:ascii="Source Sans Pro" w:hAnsi="Source Sans Pro"/>
          <w:i/>
          <w:iCs/>
          <w:shd w:val="clear" w:color="auto" w:fill="FFFFFF" w:themeFill="background1"/>
        </w:rPr>
        <w:t>AgRg</w:t>
      </w:r>
      <w:proofErr w:type="spellEnd"/>
      <w:r w:rsidRPr="00B92FD1">
        <w:rPr>
          <w:rFonts w:ascii="Source Sans Pro" w:hAnsi="Source Sans Pro"/>
          <w:i/>
          <w:iCs/>
          <w:shd w:val="clear" w:color="auto" w:fill="FFFFFF" w:themeFill="background1"/>
        </w:rPr>
        <w:t xml:space="preserve"> no </w:t>
      </w:r>
      <w:proofErr w:type="spellStart"/>
      <w:r w:rsidRPr="00B92FD1">
        <w:rPr>
          <w:rFonts w:ascii="Source Sans Pro" w:hAnsi="Source Sans Pro"/>
          <w:i/>
          <w:iCs/>
          <w:shd w:val="clear" w:color="auto" w:fill="FFFFFF" w:themeFill="background1"/>
        </w:rPr>
        <w:t>AREsp</w:t>
      </w:r>
      <w:proofErr w:type="spellEnd"/>
      <w:r w:rsidRPr="00B92FD1">
        <w:rPr>
          <w:rFonts w:ascii="Source Sans Pro" w:hAnsi="Source Sans Pro"/>
          <w:i/>
          <w:iCs/>
          <w:shd w:val="clear" w:color="auto" w:fill="FFFFFF" w:themeFill="background1"/>
        </w:rPr>
        <w:t xml:space="preserve"> n. 2.573.895/DF</w:t>
      </w:r>
    </w:p>
    <w:p w14:paraId="256EEDEC" w14:textId="77777777" w:rsidR="00B92FD1" w:rsidRPr="00B92FD1" w:rsidRDefault="00B92FD1" w:rsidP="00B92FD1">
      <w:pPr>
        <w:pStyle w:val="SemEspaamento"/>
      </w:pPr>
      <w:r w:rsidRPr="00B92FD1">
        <w:t>No caso em análise, a imputação dirigida ao acusado diz respeito ao crime previsto no art. 24-A da Lei 11.340/06, em razão de suposto descumprimento de medida protetiva de urgência que lhe impunha proibição de aproximação e contato com a vítima. Ocorre que, conforme fartamente demonstrado nos documentos juntados pela defesa – em especial conversas via aplicativo WhatsApp e fotografias recentes –, a própria vítima não apenas anuiu à aproximação, como retomou voluntariamente o convívio com o acusado, convidando-o a encontrá-la e, em certos momentos, a permanecer em sua companhia em ambientes privados e públicos.</w:t>
      </w:r>
    </w:p>
    <w:p w14:paraId="2BAA4230" w14:textId="77777777" w:rsidR="00B92FD1" w:rsidRPr="00B92FD1" w:rsidRDefault="00B92FD1" w:rsidP="00B92FD1">
      <w:pPr>
        <w:pStyle w:val="SemEspaamento"/>
      </w:pPr>
      <w:r w:rsidRPr="00B92FD1">
        <w:lastRenderedPageBreak/>
        <w:t xml:space="preserve">O Superior Tribunal de Justiça já firmou entendimento de que </w:t>
      </w:r>
      <w:r w:rsidRPr="00B92FD1">
        <w:rPr>
          <w:b/>
          <w:bCs/>
        </w:rPr>
        <w:t>o consentimento da vítima para a aproximação do réu pode, em tese, afastar a tipicidade do crime de descumprimento de medida protetiva</w:t>
      </w:r>
      <w:r w:rsidRPr="00B92FD1">
        <w:t>, por excluir a ameaça ou lesão ao bem jurídico tutelado. Em precedentes da Quinta e da Sexta Turmas, o STJ assentou que, se a aproximação se deu com a concordância clara da vítima – inclusive com autorização para que o réu volte a residir no mesmo lote ou mantenha contato cotidiano –, não se configura o injusto penal previsto no art. 24-A da Lei Maria da Penha, por ausência de lesão ao bem jurídico e de dolo de desobedecer à ordem judicial.</w:t>
      </w:r>
    </w:p>
    <w:p w14:paraId="511ED555" w14:textId="2BA66B2A" w:rsidR="0044781C" w:rsidRDefault="0044781C" w:rsidP="0044781C">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proofErr w:type="spellStart"/>
      <w:r w:rsidR="00B92FD1" w:rsidRPr="00B92FD1">
        <w:rPr>
          <w:color w:val="808080" w:themeColor="background1" w:themeShade="80"/>
        </w:rPr>
        <w:t>AgRg</w:t>
      </w:r>
      <w:proofErr w:type="spellEnd"/>
      <w:r w:rsidR="00B92FD1" w:rsidRPr="00B92FD1">
        <w:rPr>
          <w:color w:val="808080" w:themeColor="background1" w:themeShade="80"/>
        </w:rPr>
        <w:t xml:space="preserve"> no </w:t>
      </w:r>
      <w:proofErr w:type="spellStart"/>
      <w:r w:rsidR="00B92FD1" w:rsidRPr="00B92FD1">
        <w:rPr>
          <w:color w:val="808080" w:themeColor="background1" w:themeShade="80"/>
        </w:rPr>
        <w:t>AREsp</w:t>
      </w:r>
      <w:proofErr w:type="spellEnd"/>
      <w:r w:rsidR="00B92FD1" w:rsidRPr="00B92FD1">
        <w:rPr>
          <w:color w:val="808080" w:themeColor="background1" w:themeShade="80"/>
        </w:rPr>
        <w:t xml:space="preserve"> n. 2.573.895/DF, relatora Ministra Daniela Teixeira, Quinta Turma, julgado em 19/2/2025</w:t>
      </w:r>
      <w:r w:rsidRPr="00580B73">
        <w:rPr>
          <w:color w:val="808080" w:themeColor="background1" w:themeShade="80"/>
        </w:rPr>
        <w:t>.</w:t>
      </w:r>
    </w:p>
    <w:p w14:paraId="26EAF433" w14:textId="36BBF241" w:rsidR="0044781C" w:rsidRPr="00A67F26" w:rsidRDefault="00B92FD1" w:rsidP="0044781C">
      <w:pPr>
        <w:pStyle w:val="SemEspaamento"/>
        <w:spacing w:before="60" w:after="60" w:line="276" w:lineRule="auto"/>
        <w:ind w:left="2268" w:firstLine="0"/>
        <w:rPr>
          <w:i/>
          <w:iCs/>
        </w:rPr>
      </w:pPr>
      <w:r w:rsidRPr="00B92FD1">
        <w:rPr>
          <w:i/>
          <w:iCs/>
        </w:rPr>
        <w:t>3. O consentimento da vítima para a aproximação do réu pode, em tese, afastar a tipicidade do crime de descumprimento de medida protetiva, por excluir a ameaça ou lesão ao bem jurídico tutelado, conforme jurisprudência desta Corte.</w:t>
      </w:r>
    </w:p>
    <w:p w14:paraId="7E78EFA6" w14:textId="77777777" w:rsidR="00B92FD1" w:rsidRPr="00B92FD1" w:rsidRDefault="00B92FD1" w:rsidP="00B92FD1">
      <w:pPr>
        <w:pStyle w:val="SemEspaamento"/>
      </w:pPr>
      <w:r w:rsidRPr="00B92FD1">
        <w:t>A própria Corte Superior já registrou, em acórdão, que “o consentimento da vítima para aproximação do réu afasta eventual ameaça ou lesão ao bem jurídico tutelado pelo crime capitulado no art. 24-A, da Lei n. 11.340/2006”, reconhecendo a atipicidade do fato quando restar incontroverso que a ofendida permitiu a reaproximação, inclusive autorizando a coabitação em mesmo lote residencial. Esse raciocínio é perfeitamente aplicável à hipótese concreta, em que há robusto acervo probatório de conversas, áudios e fotos demonstrando reatamento voluntário e convivência consentida entre as partes.</w:t>
      </w:r>
    </w:p>
    <w:p w14:paraId="008EBE00" w14:textId="77777777" w:rsidR="00B92FD1" w:rsidRPr="00B92FD1" w:rsidRDefault="00B92FD1" w:rsidP="00B92FD1">
      <w:pPr>
        <w:pStyle w:val="SemEspaamento"/>
      </w:pPr>
      <w:r w:rsidRPr="00B92FD1">
        <w:t>Nas conversas juntadas, verifica-se que é a própria vítima quem toma a iniciativa de contatar o acusado, chamando-o para conversar, marcar encontros, passar o final de semana junto e até mesmo pernoitar no mesmo local. As fotografias acostadas evidenciam momentos de intimidade, lazer e aparente harmonia, totalmente incompatíveis com a ideia de que a aproximação se deu de forma clandestina, contra a vontade da ofendida ou em ambiente de ameaça. Não há qualquer elemento concreto indicando que o réu tenha imposto sua presença à vítima, muito menos que a tenha coagido a aceitar o contato.</w:t>
      </w:r>
    </w:p>
    <w:p w14:paraId="7F1BC1DD" w14:textId="77777777" w:rsidR="00B92FD1" w:rsidRPr="00B92FD1" w:rsidRDefault="00B92FD1" w:rsidP="00B92FD1">
      <w:pPr>
        <w:pStyle w:val="SemEspaamento"/>
      </w:pPr>
      <w:r w:rsidRPr="00B92FD1">
        <w:lastRenderedPageBreak/>
        <w:t>Nesse contexto, não se pode falar em lesão ou ameaça efetiva ao bem jurídico tutelado pela norma penal. A medida protetiva visa resguardar a integridade física e psicológica da mulher em situação de violência, afastando o agressor contra a vontade dela. Quando a própria titular do bem jurídico, de forma livre e consciente, opta por reatar a convivência, permite visitas, encontros e contatos reiterados, o dissenso que fundamenta a proteção penal deixa de existir – e, com ele, esvazia-se a razão de ser da incriminação pelo art. 24-A.</w:t>
      </w:r>
    </w:p>
    <w:p w14:paraId="66E94082" w14:textId="77777777" w:rsidR="00B92FD1" w:rsidRPr="00B92FD1" w:rsidRDefault="00B92FD1" w:rsidP="00B92FD1">
      <w:pPr>
        <w:pStyle w:val="SemEspaamento"/>
      </w:pPr>
      <w:r w:rsidRPr="00B92FD1">
        <w:t>A doutrina do consentimento do titular do bem jurídico reforça essa lógica: quando o bem jurídico é disponível em certa medida (como a esfera da convivência e contacto interpessoal, nos limites em que não haja coação ou violência atual), a concordância da vítima pode afastar a tipicidade ou, ao menos, a antijuridicidade material da conduta. Se a própria beneficiária da medida expressa, de forma reiterada, que deseja a presença do acusado, não há que se falar em ofensa à sua integridade por simples aproximação física em contextos que ela mesma constrói.</w:t>
      </w:r>
    </w:p>
    <w:p w14:paraId="1D5C9EF5" w14:textId="77777777" w:rsidR="00B92FD1" w:rsidRPr="00B92FD1" w:rsidRDefault="00B92FD1" w:rsidP="00B92FD1">
      <w:pPr>
        <w:pStyle w:val="SemEspaamento"/>
      </w:pPr>
      <w:r w:rsidRPr="00B92FD1">
        <w:t>Ademais, o STJ tem destacado que, em hipóteses como a presente, não se configura sequer o dolo de desobedecer à ordem judicial, pois o agente, vendo-se diariamente autorizado, convidado e acolhido pela vítima, não atua com a finalidade de violar a determinação judicial, mas sim de atender ao chamado e à anuência expressa da pessoa em cujo favor a medida foi deferida. Em diversas decisões, a Corte apontou que essa dinâmica retira o caráter de desobediência consciente e voluntária à ordem jurisdicional, repercutindo diretamente na própria estrutura do tipo penal.</w:t>
      </w:r>
    </w:p>
    <w:p w14:paraId="054AEDC8" w14:textId="77777777" w:rsidR="00B92FD1" w:rsidRPr="00B92FD1" w:rsidRDefault="00B92FD1" w:rsidP="00B92FD1">
      <w:pPr>
        <w:pStyle w:val="SemEspaamento"/>
      </w:pPr>
      <w:r w:rsidRPr="00B92FD1">
        <w:t xml:space="preserve">É importante ressaltar que a defesa não ignora que o bem jurídico também envolve a eficácia da ordem judicial; contudo, o próprio STJ, ao aplicar a intervenção mínima e a subsidiariedade do Direito Penal, reconhece que, </w:t>
      </w:r>
      <w:r w:rsidRPr="00B92FD1">
        <w:rPr>
          <w:b/>
          <w:bCs/>
        </w:rPr>
        <w:t>quando o descumprimento ocorre com anuência clara da vítima, não há lesão relevante capaz de justificar a incidência do tipo penal</w:t>
      </w:r>
      <w:r w:rsidRPr="00B92FD1">
        <w:t>, sob pena de transformar o art. 24-A em instrumento de punição simbólica, dissociado da realidade fática vivida pelas partes.</w:t>
      </w:r>
    </w:p>
    <w:p w14:paraId="2690BDCA" w14:textId="77777777" w:rsidR="00B92FD1" w:rsidRPr="00B92FD1" w:rsidRDefault="00B92FD1" w:rsidP="00B92FD1">
      <w:pPr>
        <w:pStyle w:val="SemEspaamento"/>
      </w:pPr>
      <w:r w:rsidRPr="00B92FD1">
        <w:t xml:space="preserve">No caso concreto, as provas acostadas pela defesa – prints de conversas, fotos, vídeos e registros de encontros consentidos – demonstram que a aproximação não se deu às escondidas nem contra a vontade da vítima, mas em ambiente de </w:t>
      </w:r>
      <w:r w:rsidRPr="00B92FD1">
        <w:lastRenderedPageBreak/>
        <w:t>reaproximação afetiva e convivência retomada. Tais elementos, longe de serem meros detalhes, são centrais para a análise da tipicidade: demonstram ausência de ameaça, ausência de dissenso e ausência de periculosidade social da conduta.</w:t>
      </w:r>
    </w:p>
    <w:p w14:paraId="3FB89C0D" w14:textId="201708D7" w:rsidR="00015D08" w:rsidRDefault="00B92FD1" w:rsidP="00B92FD1">
      <w:pPr>
        <w:pStyle w:val="SemEspaamento"/>
      </w:pPr>
      <w:r w:rsidRPr="00B92FD1">
        <w:t xml:space="preserve">Assim, diante da anuência inequívoca da vítima para a aproximação e manutenção de contato com o acusado, falta elemento essencial para a configuração do crime de descumprimento de medida protetiva: a lesão ou ameaça ao bem jurídico protegido pelo art. 24-A da Lei 11.340/06. Nessa linha, em consonância com a jurisprudência do STJ, impõe-se o reconhecimento da </w:t>
      </w:r>
      <w:r w:rsidRPr="00B92FD1">
        <w:rPr>
          <w:b/>
          <w:bCs/>
        </w:rPr>
        <w:t>atipicidade da conduta</w:t>
      </w:r>
      <w:r w:rsidRPr="00B92FD1">
        <w:t>, com a consequente absolvição ou, se ainda na fase de admissibilidade, a rejeição da denúncia por ausência de justa causa, pois o Direito Penal não pode ser acionado para punir situação de convivência que a própria vítima expressamente consentiu e fomentou.</w:t>
      </w:r>
    </w:p>
    <w:p w14:paraId="0B72BB72" w14:textId="77777777" w:rsidR="00133E06" w:rsidRDefault="00133E06" w:rsidP="00B92FD1">
      <w:pPr>
        <w:pStyle w:val="SemEspaamento"/>
      </w:pPr>
    </w:p>
    <w:p w14:paraId="73E39172" w14:textId="0BA79212" w:rsidR="00B85546" w:rsidRPr="008A42DE" w:rsidRDefault="002D3115" w:rsidP="008A42DE">
      <w:pPr>
        <w:pStyle w:val="Ttulo1"/>
        <w:spacing w:before="0" w:after="0" w:line="240" w:lineRule="auto"/>
      </w:pPr>
      <w:r>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2E1B6966" w14:textId="77777777" w:rsidR="00B92FD1" w:rsidRPr="00B92FD1" w:rsidRDefault="00B92FD1" w:rsidP="00B92FD1">
      <w:pPr>
        <w:spacing w:before="120" w:after="120" w:line="312" w:lineRule="auto"/>
        <w:ind w:firstLine="567"/>
        <w:jc w:val="both"/>
        <w:rPr>
          <w:rFonts w:ascii="Source Serif Pro" w:hAnsi="Source Serif Pro"/>
        </w:rPr>
      </w:pPr>
      <w:r w:rsidRPr="00B92FD1">
        <w:rPr>
          <w:rFonts w:ascii="Source Serif Pro" w:hAnsi="Source Serif Pro"/>
        </w:rPr>
        <w:t xml:space="preserve">Diante de todo o exposto, requer a Defesa que Vossa Excelência </w:t>
      </w:r>
      <w:r w:rsidRPr="00B92FD1">
        <w:rPr>
          <w:rFonts w:ascii="Source Serif Pro" w:hAnsi="Source Serif Pro"/>
          <w:b/>
          <w:bCs/>
        </w:rPr>
        <w:t>reconheça a atipicidade da conduta imputada ao acusado</w:t>
      </w:r>
      <w:r w:rsidRPr="00B92FD1">
        <w:rPr>
          <w:rFonts w:ascii="Source Serif Pro" w:hAnsi="Source Serif Pro"/>
        </w:rPr>
        <w:t>, diante da inequívoca anuência da vítima para a aproximação e manutenção de contato – conforme conversas de WhatsApp, fotos e demais elementos acostados aos autos –, afastando-se a incidência do art. 24-A da Lei 11.340/06, por inexistência de lesão ou ameaça ao bem jurídico tutelado.</w:t>
      </w:r>
    </w:p>
    <w:p w14:paraId="6CA72E91" w14:textId="77777777" w:rsidR="00B92FD1" w:rsidRPr="00B92FD1" w:rsidRDefault="00B92FD1" w:rsidP="00B92FD1">
      <w:pPr>
        <w:spacing w:before="120" w:after="120" w:line="312" w:lineRule="auto"/>
        <w:ind w:firstLine="567"/>
        <w:jc w:val="both"/>
        <w:rPr>
          <w:rFonts w:ascii="Source Serif Pro" w:hAnsi="Source Serif Pro"/>
        </w:rPr>
      </w:pPr>
      <w:r w:rsidRPr="00B92FD1">
        <w:rPr>
          <w:rFonts w:ascii="Source Serif Pro" w:hAnsi="Source Serif Pro"/>
        </w:rPr>
        <w:t xml:space="preserve">Em consequência, pugna pela </w:t>
      </w:r>
      <w:r w:rsidRPr="00B92FD1">
        <w:rPr>
          <w:rFonts w:ascii="Source Serif Pro" w:hAnsi="Source Serif Pro"/>
          <w:b/>
          <w:bCs/>
        </w:rPr>
        <w:t>REJEIÇÃO DA DENÚNCIA</w:t>
      </w:r>
      <w:r w:rsidRPr="00B92FD1">
        <w:rPr>
          <w:rFonts w:ascii="Source Serif Pro" w:hAnsi="Source Serif Pro"/>
        </w:rPr>
        <w:t xml:space="preserve">, com fundamento no art. 395, III, do Código de Processo Penal, por ausência de justa causa para a ação penal, na medida em que o fato narrado, à luz da prova produzida, revela-se </w:t>
      </w:r>
      <w:r w:rsidRPr="00B92FD1">
        <w:rPr>
          <w:rFonts w:ascii="Source Serif Pro" w:hAnsi="Source Serif Pro"/>
          <w:b/>
          <w:bCs/>
        </w:rPr>
        <w:t>atípico</w:t>
      </w:r>
      <w:r w:rsidRPr="00B92FD1">
        <w:rPr>
          <w:rFonts w:ascii="Source Serif Pro" w:hAnsi="Source Serif Pro"/>
        </w:rPr>
        <w:t xml:space="preserve"> em relação ao crime de descumprimento de medida protetiva.</w:t>
      </w:r>
    </w:p>
    <w:p w14:paraId="22D1BCFC" w14:textId="670DC8EA" w:rsidR="005E2F23" w:rsidRPr="005E2F23" w:rsidRDefault="00015D08" w:rsidP="006C5729">
      <w:pPr>
        <w:spacing w:before="120" w:after="120" w:line="312" w:lineRule="auto"/>
        <w:ind w:firstLine="567"/>
        <w:jc w:val="both"/>
        <w:rPr>
          <w:rFonts w:ascii="Source Serif Pro" w:hAnsi="Source Serif Pro"/>
        </w:rPr>
      </w:pPr>
      <w:r>
        <w:rPr>
          <w:rFonts w:ascii="Source Serif Pro" w:hAnsi="Source Serif Pro"/>
        </w:rPr>
        <w:t>Caso outro seja o entendimento, o que não se espera, d</w:t>
      </w:r>
      <w:r w:rsidR="006C5729">
        <w:rPr>
          <w:rFonts w:ascii="Source Serif Pro" w:hAnsi="Source Serif Pro"/>
        </w:rPr>
        <w:t>esde já a defesa arrola como testemunhas as mesmas indicadas pelo Ministério Público, além do rol de pessoas ao final apontadas.</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1C934E0A"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lastRenderedPageBreak/>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44781C">
        <w:rPr>
          <w:rFonts w:ascii="Source Serif Pro" w:hAnsi="Source Serif Pro"/>
          <w:noProof/>
        </w:rPr>
        <w:t>21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p w14:paraId="61CE08AD" w14:textId="46A2D4E8" w:rsidR="00A67F26" w:rsidRDefault="00A67F26" w:rsidP="00A67F26">
      <w:pPr>
        <w:spacing w:before="120" w:after="120" w:line="288" w:lineRule="auto"/>
        <w:rPr>
          <w:rFonts w:ascii="Source Serif Pro" w:hAnsi="Source Serif Pro"/>
        </w:rPr>
      </w:pPr>
      <w:r w:rsidRPr="00A67F26">
        <w:rPr>
          <w:rFonts w:ascii="Source Serif Pro" w:hAnsi="Source Serif Pro"/>
          <w:b/>
          <w:bCs/>
        </w:rPr>
        <w:t>Rol de testemunhas</w:t>
      </w:r>
      <w:r>
        <w:rPr>
          <w:rFonts w:ascii="Source Serif Pro" w:hAnsi="Source Serif Pro"/>
        </w:rPr>
        <w:t>:</w:t>
      </w:r>
    </w:p>
    <w:p w14:paraId="67D79248" w14:textId="7AF866A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2A3DF07A" w14:textId="6E5D502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6B60B8BD" w14:textId="77777777" w:rsidR="00A67F26" w:rsidRP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19F87301" w14:textId="77777777" w:rsidR="00A67F26" w:rsidRPr="00A67F26" w:rsidRDefault="00A67F26" w:rsidP="00A67F26">
      <w:pPr>
        <w:spacing w:after="0" w:line="240" w:lineRule="auto"/>
        <w:ind w:left="360"/>
        <w:rPr>
          <w:rFonts w:ascii="Source Serif Pro" w:hAnsi="Source Serif Pro"/>
        </w:rPr>
      </w:pPr>
    </w:p>
    <w:sectPr w:rsidR="00A67F26" w:rsidRPr="00A67F26"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0A268" w14:textId="77777777" w:rsidR="00DE43FF" w:rsidRDefault="00DE43FF" w:rsidP="00BA1F94">
      <w:pPr>
        <w:spacing w:after="0" w:line="240" w:lineRule="auto"/>
      </w:pPr>
      <w:r>
        <w:separator/>
      </w:r>
    </w:p>
  </w:endnote>
  <w:endnote w:type="continuationSeparator" w:id="0">
    <w:p w14:paraId="099F56ED" w14:textId="77777777" w:rsidR="00DE43FF" w:rsidRDefault="00DE43FF"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51B9F" w14:textId="77777777" w:rsidR="00DE43FF" w:rsidRDefault="00DE43FF" w:rsidP="00BA1F94">
      <w:pPr>
        <w:spacing w:after="0" w:line="240" w:lineRule="auto"/>
      </w:pPr>
      <w:r>
        <w:separator/>
      </w:r>
    </w:p>
  </w:footnote>
  <w:footnote w:type="continuationSeparator" w:id="0">
    <w:p w14:paraId="645F1E29" w14:textId="77777777" w:rsidR="00DE43FF" w:rsidRDefault="00DE43FF"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1920"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5565"/>
    <w:rsid w:val="000633B8"/>
    <w:rsid w:val="000765C6"/>
    <w:rsid w:val="000911F8"/>
    <w:rsid w:val="000A234B"/>
    <w:rsid w:val="000B1C85"/>
    <w:rsid w:val="000B2591"/>
    <w:rsid w:val="0011164C"/>
    <w:rsid w:val="001153D8"/>
    <w:rsid w:val="00133E06"/>
    <w:rsid w:val="00144A4B"/>
    <w:rsid w:val="0015581C"/>
    <w:rsid w:val="00163268"/>
    <w:rsid w:val="0018525B"/>
    <w:rsid w:val="001C6CE0"/>
    <w:rsid w:val="001E64BE"/>
    <w:rsid w:val="001E7DF5"/>
    <w:rsid w:val="001F3409"/>
    <w:rsid w:val="00205995"/>
    <w:rsid w:val="0021210F"/>
    <w:rsid w:val="0021462C"/>
    <w:rsid w:val="00255925"/>
    <w:rsid w:val="00265B72"/>
    <w:rsid w:val="002731A1"/>
    <w:rsid w:val="002A18AC"/>
    <w:rsid w:val="002C012C"/>
    <w:rsid w:val="002D3115"/>
    <w:rsid w:val="002D79D9"/>
    <w:rsid w:val="002E0484"/>
    <w:rsid w:val="002F00FD"/>
    <w:rsid w:val="002F4394"/>
    <w:rsid w:val="00307183"/>
    <w:rsid w:val="0032114D"/>
    <w:rsid w:val="00334B83"/>
    <w:rsid w:val="00335715"/>
    <w:rsid w:val="0035269F"/>
    <w:rsid w:val="003602F7"/>
    <w:rsid w:val="003A171C"/>
    <w:rsid w:val="003A1DD2"/>
    <w:rsid w:val="003A4B72"/>
    <w:rsid w:val="003A76A4"/>
    <w:rsid w:val="003A7CB9"/>
    <w:rsid w:val="0041600B"/>
    <w:rsid w:val="00421C44"/>
    <w:rsid w:val="0044781C"/>
    <w:rsid w:val="004526A3"/>
    <w:rsid w:val="00462A1D"/>
    <w:rsid w:val="00466093"/>
    <w:rsid w:val="00473494"/>
    <w:rsid w:val="004A1397"/>
    <w:rsid w:val="004B23AC"/>
    <w:rsid w:val="004C2B0E"/>
    <w:rsid w:val="004C78F2"/>
    <w:rsid w:val="004E1F61"/>
    <w:rsid w:val="004F6860"/>
    <w:rsid w:val="00502064"/>
    <w:rsid w:val="00510D1D"/>
    <w:rsid w:val="005271CA"/>
    <w:rsid w:val="00547988"/>
    <w:rsid w:val="00552F50"/>
    <w:rsid w:val="0056423A"/>
    <w:rsid w:val="005701F5"/>
    <w:rsid w:val="005702CF"/>
    <w:rsid w:val="00575469"/>
    <w:rsid w:val="00585236"/>
    <w:rsid w:val="00596D6C"/>
    <w:rsid w:val="005A6E55"/>
    <w:rsid w:val="005C54F8"/>
    <w:rsid w:val="005E2F23"/>
    <w:rsid w:val="005F47A7"/>
    <w:rsid w:val="00617C7C"/>
    <w:rsid w:val="00636660"/>
    <w:rsid w:val="00636D00"/>
    <w:rsid w:val="006419C1"/>
    <w:rsid w:val="0064461A"/>
    <w:rsid w:val="00672F34"/>
    <w:rsid w:val="00673A8C"/>
    <w:rsid w:val="006916BF"/>
    <w:rsid w:val="006A3AEB"/>
    <w:rsid w:val="006B1A62"/>
    <w:rsid w:val="006B1C85"/>
    <w:rsid w:val="006C5729"/>
    <w:rsid w:val="006D5BE0"/>
    <w:rsid w:val="006E26AE"/>
    <w:rsid w:val="006F33DE"/>
    <w:rsid w:val="007020CA"/>
    <w:rsid w:val="00714F6F"/>
    <w:rsid w:val="00716815"/>
    <w:rsid w:val="00720D57"/>
    <w:rsid w:val="00724E8D"/>
    <w:rsid w:val="00763304"/>
    <w:rsid w:val="007A0B17"/>
    <w:rsid w:val="007B7295"/>
    <w:rsid w:val="007C0711"/>
    <w:rsid w:val="007C59F9"/>
    <w:rsid w:val="007E3DC1"/>
    <w:rsid w:val="007F0F05"/>
    <w:rsid w:val="00802A06"/>
    <w:rsid w:val="0081592C"/>
    <w:rsid w:val="008235F0"/>
    <w:rsid w:val="00860199"/>
    <w:rsid w:val="00870DC9"/>
    <w:rsid w:val="00880278"/>
    <w:rsid w:val="00884412"/>
    <w:rsid w:val="008A42DE"/>
    <w:rsid w:val="008B00B1"/>
    <w:rsid w:val="008B03CF"/>
    <w:rsid w:val="008B41F3"/>
    <w:rsid w:val="008F0F7D"/>
    <w:rsid w:val="00902436"/>
    <w:rsid w:val="00915234"/>
    <w:rsid w:val="00924899"/>
    <w:rsid w:val="00933297"/>
    <w:rsid w:val="009825A3"/>
    <w:rsid w:val="00983A54"/>
    <w:rsid w:val="0099073D"/>
    <w:rsid w:val="0099435F"/>
    <w:rsid w:val="00996DA0"/>
    <w:rsid w:val="009A601B"/>
    <w:rsid w:val="009D178E"/>
    <w:rsid w:val="009E098F"/>
    <w:rsid w:val="009F311E"/>
    <w:rsid w:val="00A01420"/>
    <w:rsid w:val="00A47F27"/>
    <w:rsid w:val="00A67F26"/>
    <w:rsid w:val="00A73B53"/>
    <w:rsid w:val="00A82AD8"/>
    <w:rsid w:val="00A8787D"/>
    <w:rsid w:val="00A87D34"/>
    <w:rsid w:val="00A97C42"/>
    <w:rsid w:val="00AA08C3"/>
    <w:rsid w:val="00AA31B3"/>
    <w:rsid w:val="00AB2011"/>
    <w:rsid w:val="00AC0BB4"/>
    <w:rsid w:val="00B0317F"/>
    <w:rsid w:val="00B04357"/>
    <w:rsid w:val="00B24A33"/>
    <w:rsid w:val="00B57D96"/>
    <w:rsid w:val="00B77BFB"/>
    <w:rsid w:val="00B77E49"/>
    <w:rsid w:val="00B85546"/>
    <w:rsid w:val="00B85981"/>
    <w:rsid w:val="00B92FD1"/>
    <w:rsid w:val="00B968CC"/>
    <w:rsid w:val="00BA1F94"/>
    <w:rsid w:val="00BA5370"/>
    <w:rsid w:val="00BC28F2"/>
    <w:rsid w:val="00BC6F5E"/>
    <w:rsid w:val="00BC781A"/>
    <w:rsid w:val="00BF64DD"/>
    <w:rsid w:val="00C061A6"/>
    <w:rsid w:val="00C42738"/>
    <w:rsid w:val="00C56908"/>
    <w:rsid w:val="00C86BDE"/>
    <w:rsid w:val="00C925C7"/>
    <w:rsid w:val="00C9595C"/>
    <w:rsid w:val="00CA2809"/>
    <w:rsid w:val="00CA3287"/>
    <w:rsid w:val="00CB50FF"/>
    <w:rsid w:val="00CE6C3F"/>
    <w:rsid w:val="00D14593"/>
    <w:rsid w:val="00D343B2"/>
    <w:rsid w:val="00D37B62"/>
    <w:rsid w:val="00D45C54"/>
    <w:rsid w:val="00D75D54"/>
    <w:rsid w:val="00D7692D"/>
    <w:rsid w:val="00D934F0"/>
    <w:rsid w:val="00D94708"/>
    <w:rsid w:val="00DB0C17"/>
    <w:rsid w:val="00DB287D"/>
    <w:rsid w:val="00DB7797"/>
    <w:rsid w:val="00DD04F4"/>
    <w:rsid w:val="00DE43FF"/>
    <w:rsid w:val="00E260D2"/>
    <w:rsid w:val="00E70C92"/>
    <w:rsid w:val="00E939CA"/>
    <w:rsid w:val="00EA061D"/>
    <w:rsid w:val="00ED0C3A"/>
    <w:rsid w:val="00EE0ABC"/>
    <w:rsid w:val="00F10092"/>
    <w:rsid w:val="00F3233A"/>
    <w:rsid w:val="00F37C97"/>
    <w:rsid w:val="00F46652"/>
    <w:rsid w:val="00F53D0B"/>
    <w:rsid w:val="00F81339"/>
    <w:rsid w:val="00F84566"/>
    <w:rsid w:val="00F85AD9"/>
    <w:rsid w:val="00F961EF"/>
    <w:rsid w:val="00FD13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2DE"/>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1518</Words>
  <Characters>8505</Characters>
  <Application>Microsoft Office Word</Application>
  <DocSecurity>0</DocSecurity>
  <Lines>157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4</cp:revision>
  <cp:lastPrinted>2025-10-14T13:26:00Z</cp:lastPrinted>
  <dcterms:created xsi:type="dcterms:W3CDTF">2025-11-21T20:30:00Z</dcterms:created>
  <dcterms:modified xsi:type="dcterms:W3CDTF">2025-11-21T20:43:00Z</dcterms:modified>
</cp:coreProperties>
</file>