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p>
      <w:pPr>
        <w:jc w:val="center"/>
      </w:pPr>
      <w:r>
        <w:rPr>
          <w:b/>
          <w:i w:val="0"/>
        </w:rPr>
        <w:t>AO JUÍZO DA VARA DE VIOLÊNCIA DOMÉSTICA CONTRA A MULHER DA COMARCA DE SÃO JOSÉ DOS CAMPOS/SP</w:t>
      </w:r>
    </w:p>
    <w:p/>
    <w:p>
      <w:pPr>
        <w:pStyle w:val="AECorpo"/>
      </w:pPr>
      <w:r>
        <w:rPr>
          <w:b w:val="0"/>
          <w:i/>
        </w:rPr>
        <w:t>Autos nº 1503799-84.2026.8.26.0577</w:t>
      </w:r>
    </w:p>
    <w:p/>
    <w:p>
      <w:pPr>
        <w:pStyle w:val="AECorpo"/>
      </w:pPr>
      <w:r>
        <w:rPr>
          <w:b/>
          <w:i w:val="0"/>
        </w:rPr>
        <w:t>DEBORAH CHAVES LIESACK DA CUNHA</w:t>
      </w:r>
      <w:r>
        <w:rPr>
          <w:b w:val="0"/>
          <w:i w:val="0"/>
        </w:rPr>
        <w:t>, já qualificada nos autos, por intermédio próprio, na qualidade de advogada regularmente inscrita na OAB/SP sob o nº 525.758, vem, respeitosamente, à presença de Vossa Excelência, de forma tempestiva, requerer a</w:t>
      </w:r>
    </w:p>
    <w:p/>
    <w:p>
      <w:pPr>
        <w:jc w:val="center"/>
      </w:pPr>
      <w:r>
        <w:rPr>
          <w:b/>
          <w:i w:val="0"/>
        </w:rPr>
        <w:t>RECONSIDERAÇÃO DA DECISÃO QUE INDEFERIU AS MEDIDAS PROTETIVAS DE URGÊNCIA — SUPERVENIÊNCIA DE PROVAS</w:t>
      </w:r>
    </w:p>
    <w:p/>
    <w:p>
      <w:pPr>
        <w:pStyle w:val="AECorpo"/>
      </w:pPr>
      <w:r>
        <w:rPr>
          <w:b w:val="0"/>
          <w:i w:val="0"/>
        </w:rPr>
        <w:t>da qual foi intimada em 02/07/2026 por intermédio da Ilustre Oficial de Justiça, pelos fatos e fundamentos a seguir expostos.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Questão processual</w:t>
            </w:r>
          </w:p>
        </w:tc>
        <w:tc>
          <w:tcPr>
            <w:tcW w:type="dxa" w:w="4677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Posição da parte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/>
                <w:i w:val="0"/>
              </w:rPr>
              <w:t>Natureza do pedido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Reconsideração (não recurso), com base na ressalva expressa da r. decisão de fls. 9/10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/>
                <w:i w:val="0"/>
              </w:rPr>
              <w:t>Fundamento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Arts. 18 a 24 da Lei nº 11.340/2006, em razão de fatos novos e provas supervenientes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/>
                <w:i w:val="0"/>
              </w:rPr>
              <w:t>Urgência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Risco atual e concreto agravado pelo parecer do Ministério Público de 02/07/2026 (prisão civil)</w:t>
            </w:r>
          </w:p>
        </w:tc>
      </w:tr>
    </w:tbl>
    <w:p/>
    <w:p/>
    <w:p>
      <w:pPr>
        <w:pStyle w:val="AETtulo2"/>
      </w:pPr>
      <w:r>
        <w:rPr>
          <w:b/>
          <w:i w:val="0"/>
        </w:rPr>
        <w:t>Da admissibilidade do pedido</w:t>
      </w:r>
    </w:p>
    <w:p/>
    <w:p>
      <w:pPr>
        <w:pStyle w:val="AECorpo"/>
      </w:pPr>
      <w:r>
        <w:rPr>
          <w:b w:val="0"/>
          <w:i w:val="0"/>
        </w:rPr>
        <w:t>A r. decisão de fls. 9/10 indeferiu, em um primeiro momento, o pedido de medidas protetivas, sob o fundamento de ausência de instrução probatória contemporânea — tendo, contudo, consignado expressamente que a matéria poderia ser reapreciada a qualquer tempo, desde que aportassem aos autos novos elementos demonstrativos do risco iminente.</w:t>
      </w:r>
    </w:p>
    <w:p/>
    <w:p>
      <w:pPr>
        <w:pStyle w:val="AECorpo"/>
      </w:pPr>
      <w:r>
        <w:rPr>
          <w:b w:val="0"/>
          <w:i w:val="0"/>
        </w:rPr>
        <w:t>A presente petição não constitui, portanto, mera reiteração de argumentos já rejeitados, mas o estrito cumprimento das condições fixadas pelo próprio Juízo. Os elementos a seguir narrados — em especial as gravações de áudio anexadas, o depoimento testemunhal e o parecer ministerial de 02/07/2026 pela decretação de prisão civil — são supervenientes à decisão indeferitória e evidenciam, de forma objetiva, a persistência de risco atual e concreto à Requerente e ao seu filho.</w:t>
      </w:r>
    </w:p>
    <w:p/>
    <w:p>
      <w:pPr>
        <w:jc w:val="center"/>
      </w:pPr>
      <w:r>
        <w:rPr>
          <w:rFonts w:ascii="Times New Roman" w:hAnsi="Times New Roman"/>
          <w:b w:val="0"/>
          <w:color w:val="0D2340"/>
          <w:sz w:val="22"/>
          <w:spacing w:val="80"/>
        </w:rPr>
        <w:t>NOTA EXPLICATIVA — DO ACESSO ÀS MÍDIAS EM NUVEM</w:t>
      </w:r>
    </w:p>
    <w:p>
      <w:pPr>
        <w:jc w:val="center"/>
      </w:pPr>
      <w:r>
        <w:rPr>
          <w:color w:val="0D2340"/>
          <w:sz w:val="16"/>
        </w:rPr>
        <w:t>◆</w:t>
      </w:r>
    </w:p>
    <w:p/>
    <w:p/>
    <w:p>
      <w:pPr>
        <w:pStyle w:val="AECorpo"/>
      </w:pPr>
      <w:r>
        <w:rPr>
          <w:b w:val="0"/>
          <w:i w:val="0"/>
        </w:rPr>
        <w:t>Em razão das limitações técnicas de upload de arquivos audiovisuais no sistema SAJ, as gravações de tela e os áudios mencionados nesta peça encontram-se depositados em nuvem, com o detalhamento do conteúdo de cada arquivo constando na nota explicativa ao final desta petição:</w:t>
      </w:r>
    </w:p>
    <w:p/>
    <w:p>
      <w:pPr>
        <w:pStyle w:val="AECorpo"/>
      </w:pPr>
      <w:r>
        <w:rPr>
          <w:b/>
          <w:i w:val="0"/>
        </w:rPr>
        <w:t>Link do Google Drive:</w:t>
      </w:r>
      <w:r>
        <w:rPr>
          <w:b w:val="0"/>
          <w:i w:val="0"/>
        </w:rPr>
        <w:t xml:space="preserve"> https://drive.google.com/drive/folders/10fz-AcROQg9ebXxxl5S0nIHr0OO-H4Ud?usp=sharing</w:t>
      </w:r>
    </w:p>
    <w:p/>
    <w:p>
      <w:pPr>
        <w:pStyle w:val="AETtulo1"/>
        <w:jc w:val="center"/>
      </w:pPr>
      <w:r>
        <w:rPr>
          <w:b/>
          <w:i w:val="0"/>
        </w:rPr>
        <w:t>I — DOS FATOS: A DINÂMICA DO ABUSO E DO CONTROLE COERCITIVO</w:t>
      </w:r>
    </w:p>
    <w:p/>
    <w:p>
      <w:pPr>
        <w:pStyle w:val="AETtulo2"/>
      </w:pPr>
      <w:r>
        <w:rPr>
          <w:b/>
          <w:i w:val="0"/>
        </w:rPr>
        <w:t>1.1. Do reconhecimento de paternidade e da ciência inequívoca do Requerido</w:t>
      </w:r>
    </w:p>
    <w:p/>
    <w:p>
      <w:pPr>
        <w:pStyle w:val="AECorpo"/>
      </w:pPr>
      <w:r>
        <w:rPr>
          <w:b w:val="0"/>
          <w:i w:val="0"/>
        </w:rPr>
        <w:t>A Requerente e o Requerido mantiveram relacionamento afetivo que findou 15 dias antes do nascimento do filho comum, ANTONIO DA CUNHA DE CASTRO LOPES, em 05/12/2016. Em 15/12/2016, dez dias após o parto, o Requerido compareceu isoladamente ao Cartório e procedeu ao reconhecimento de paternidade sem anuência ou ciência da genitora, gerando certidão de nascimento distinta daquela até então em poder da mãe.</w:t>
      </w:r>
    </w:p>
    <w:p/>
    <w:p>
      <w:pPr>
        <w:pStyle w:val="AECorpo"/>
      </w:pPr>
      <w:r>
        <w:rPr>
          <w:b w:val="0"/>
          <w:i w:val="0"/>
        </w:rPr>
        <w:t>Em áudio recente, integralmente anexado (Mídia 2), o Requerido afirma desconhecer ter direitos sobre o filho ("não sabia de m</w:t>
      </w:r>
      <w:r>
        <w:rPr>
          <w:b w:val="0"/>
          <w:i/>
        </w:rPr>
      </w:r>
      <w:r>
        <w:rPr>
          <w:b w:val="0"/>
          <w:i w:val="0"/>
        </w:rPr>
        <w:t>da nenhuma"). Tal alegação é diretamente contrariada pelo documento cartorário: o próprio Requerido assinou o termo de reconhecimento de paternidade apenas dez dias após o nascimento da criança, o que demonstra ciência plena e desde sempre da paternidade.</w:t>
      </w:r>
    </w:p>
    <w:p/>
    <w:p>
      <w:pPr>
        <w:pStyle w:val="AETtulo2"/>
      </w:pPr>
      <w:r>
        <w:rPr>
          <w:b/>
          <w:i w:val="0"/>
        </w:rPr>
        <w:t>1.2. Do abandono material e afetivo por nove anos</w:t>
      </w:r>
    </w:p>
    <w:p/>
    <w:p>
      <w:pPr>
        <w:pStyle w:val="AECorpo"/>
      </w:pPr>
      <w:r>
        <w:rPr>
          <w:b w:val="0"/>
          <w:i w:val="0"/>
        </w:rPr>
        <w:t>Após contatos esporádicos com a criança até o primeiro ano de vida — período já marcado por agressões verbais contra a Requerente —, seguiu-se abandono material e afetivo praticamente absoluto por nove anos, período em que o ônus integral da criação recaiu sobre a genitora.</w:t>
      </w:r>
    </w:p>
    <w:p/>
    <w:p>
      <w:pPr>
        <w:pStyle w:val="AECorpo"/>
      </w:pPr>
      <w:r>
        <w:rPr>
          <w:b w:val="0"/>
          <w:i w:val="0"/>
        </w:rPr>
        <w:t>Esclarece-se, para evitar interpretação equivocada, que as raras aproximações do Requerido nesse período não configuraram convívio familiar, mas ciclos de perseguição pontuados por interesse na própria Requerente, não no filho:</w:t>
      </w:r>
    </w:p>
    <w:p/>
    <w:p>
      <w:pPr>
        <w:pStyle w:val="AECorpo"/>
      </w:pPr>
      <w:r>
        <w:rPr>
          <w:b w:val="0"/>
          <w:i w:val="0"/>
        </w:rPr>
        <w:t>a) aos cinco anos de idade da criança (aproximadamente 2021), o Requerido realizou visita isolada e única, desaparecendo novamente por anos;</w:t>
      </w:r>
    </w:p>
    <w:p>
      <w:pPr>
        <w:pStyle w:val="AECorpo"/>
      </w:pPr>
      <w:r>
        <w:rPr>
          <w:b w:val="0"/>
          <w:i w:val="0"/>
        </w:rPr>
        <w:t>b) conforme depoimento da testemunha Juliana Karine — amiga da Requerente há mais de cinco anos —, as raras tentativas de aproximação do Requerido eram sempre de natureza venal, vinculadas ao interesse de restabelecer contato afetivo com a própria Requerente, e não de exercer paternidade;</w:t>
      </w:r>
    </w:p>
    <w:p>
      <w:pPr>
        <w:pStyle w:val="AECorpo"/>
      </w:pPr>
      <w:r>
        <w:rPr>
          <w:b w:val="0"/>
          <w:i w:val="0"/>
        </w:rPr>
        <w:t>c) segundo a mesma testemunha, sempre que o Requerido percebia que não obteria a aproximação afetiva pretendida junto à Requerente, "se afastava novamente, sem manter uma convivência contínua com o filho".</w:t>
      </w:r>
    </w:p>
    <w:p/>
    <w:p>
      <w:pPr>
        <w:pStyle w:val="AECorpo"/>
      </w:pPr>
      <w:r>
        <w:rPr>
          <w:b w:val="0"/>
          <w:i w:val="0"/>
        </w:rPr>
        <w:t>As aparições esporádicas configuraram, portanto, instrumento de barganha afetiva dirigido à Requerente, e não ato de cuidado parental.</w:t>
      </w:r>
    </w:p>
    <w:p/>
    <w:p>
      <w:pPr>
        <w:pStyle w:val="AETtulo2"/>
      </w:pPr>
      <w:r>
        <w:rPr>
          <w:b/>
          <w:i w:val="0"/>
        </w:rPr>
        <w:t>1.3. Da reaproximação por iniciativa materna e da violência vicária praticada por meio do jogo Roblox</w:t>
      </w:r>
    </w:p>
    <w:p/>
    <w:p>
      <w:pPr>
        <w:pStyle w:val="AECorpo"/>
      </w:pPr>
      <w:r>
        <w:rPr>
          <w:b w:val="0"/>
          <w:i w:val="0"/>
        </w:rPr>
        <w:t xml:space="preserve">Ao final de 2025, atendendo ao desejo do próprio ANTONIO de reatar contato com o pai após anos de silêncio, a Requerente promoveu a aproximação via WhatsApp. O registro audiovisual (Mídia 1) documenta a inocência da criança ao perguntar: </w:t>
      </w:r>
      <w:r>
        <w:rPr>
          <w:b w:val="0"/>
          <w:i/>
        </w:rPr>
        <w:t>"Oi, pai... lembra de mim?"</w:t>
      </w:r>
    </w:p>
    <w:p/>
    <w:p>
      <w:pPr>
        <w:pStyle w:val="AECorpo"/>
      </w:pPr>
      <w:r>
        <w:rPr>
          <w:b w:val="0"/>
          <w:i w:val="0"/>
        </w:rPr>
        <w:t xml:space="preserve">Diante da proposta de aproximação gradativa formulada pela Requerente, o Requerido buscou, uma vez mais, a submissão afetiva da ex-companheira; e, ao ser rejeitado, iniciou retaliação dirigida à estabilidade emocional do próprio filho. Passou a utilizar o jogo </w:t>
      </w:r>
      <w:r>
        <w:rPr>
          <w:b w:val="0"/>
          <w:i/>
        </w:rPr>
        <w:t>Roblox</w:t>
      </w:r>
      <w:r>
        <w:rPr>
          <w:b w:val="0"/>
          <w:i w:val="0"/>
        </w:rPr>
        <w:t xml:space="preserve"> para comunicação clandestina com ANTONIO, orientando a criança — conforme presenciado e declarado pela testemunha Juliana Karine — a </w:t>
      </w:r>
      <w:r>
        <w:rPr>
          <w:b/>
          <w:i w:val="0"/>
        </w:rPr>
        <w:t>não contar para a mãe que estavam se comunicando</w:t>
      </w:r>
      <w:r>
        <w:rPr>
          <w:b w:val="0"/>
          <w:i w:val="0"/>
        </w:rPr>
        <w:t>.</w:t>
      </w:r>
    </w:p>
    <w:p/>
    <w:p>
      <w:pPr>
        <w:pStyle w:val="AECorpo"/>
      </w:pPr>
      <w:r>
        <w:rPr>
          <w:b w:val="0"/>
          <w:i w:val="0"/>
        </w:rPr>
        <w:t xml:space="preserve">Em paralelo, o Requerido confessou em áudio (Mídia 2) que sua ausência decorria de imposição de sua atual companheira: </w:t>
      </w:r>
      <w:r>
        <w:rPr>
          <w:b w:val="0"/>
          <w:i/>
        </w:rPr>
        <w:t>"A minha mulher atual não quer, cara... ela não quer que eu fique na casa da minha ex"</w:t>
      </w:r>
      <w:r>
        <w:rPr>
          <w:b w:val="0"/>
          <w:i w:val="0"/>
        </w:rPr>
        <w:t xml:space="preserve"> — conduta que transferia à Requerente a responsabilidade pelo próprio abandono, com efeito de tortura psicológica sobre mãe e filho.</w:t>
      </w:r>
    </w:p>
    <w:p/>
    <w:p>
      <w:pPr>
        <w:pStyle w:val="AECorpo"/>
      </w:pPr>
      <w:r>
        <w:rPr>
          <w:b w:val="0"/>
          <w:i w:val="0"/>
        </w:rPr>
        <w:t>Essa dinâmica — utilização do menor como instrumento para atingir a genitora, mediante comunicação sigilosa que sobrecarrega a criança com o fardo emocional do segredo — caracteriza violência vicária, e é responsável pelo quadro de ansiedade e perda de sono da criança já relatado (Mídia 1).</w:t>
      </w:r>
    </w:p>
    <w:p/>
    <w:p>
      <w:pPr>
        <w:pStyle w:val="AETtulo1"/>
        <w:jc w:val="center"/>
      </w:pPr>
      <w:r>
        <w:rPr>
          <w:b/>
          <w:i w:val="0"/>
        </w:rPr>
        <w:t>II — DOS FATOS: A VIOLÊNCIA PATRIMONIAL E A FRAUDE PROCESSUAL NA EXECUÇÃO DE ALIMENTOS</w:t>
      </w:r>
    </w:p>
    <w:p/>
    <w:p>
      <w:pPr>
        <w:pStyle w:val="AETtulo2"/>
      </w:pPr>
      <w:r>
        <w:rPr>
          <w:b/>
          <w:i w:val="0"/>
        </w:rPr>
        <w:t>2.1. Do "teatro da miséria" e da capacidade financeira oculta</w:t>
      </w:r>
    </w:p>
    <w:p/>
    <w:p>
      <w:pPr>
        <w:pStyle w:val="AECorpo"/>
      </w:pPr>
      <w:r>
        <w:rPr>
          <w:b w:val="0"/>
          <w:i w:val="0"/>
        </w:rPr>
        <w:t>O Requerido vem utilizando o processo de execução de alimentos (nº 0019391-82.2025.8.26.0577) como instrumento de controle coercitivo, alternando discurso de miserabilidade extrema com atos de ostentação patrimonial incompatíveis entre si.</w:t>
      </w:r>
    </w:p>
    <w:p/>
    <w:p>
      <w:pPr>
        <w:pStyle w:val="AECorpo"/>
      </w:pPr>
      <w:r>
        <w:rPr>
          <w:b w:val="0"/>
          <w:i w:val="0"/>
        </w:rPr>
        <w:t>Em abril de 2026, o Requerido enviou à Requerente áudios (Mídia 2) afirmando ser um "porteiro de m</w:t>
      </w:r>
      <w:r>
        <w:rPr>
          <w:b/>
          <w:i w:val="0"/>
        </w:rPr>
      </w:r>
      <w:r>
        <w:rPr>
          <w:b w:val="0"/>
          <w:i w:val="0"/>
        </w:rPr>
        <w:t>" sem qualquer condição de arcar com o débito alimentar. Os registros dos autos, contudo, revelam o oposto:</w:t>
      </w:r>
    </w:p>
    <w:p/>
    <w:p>
      <w:pPr>
        <w:pStyle w:val="AECorpo"/>
      </w:pPr>
      <w:r>
        <w:rPr>
          <w:b w:val="0"/>
          <w:i w:val="0"/>
        </w:rPr>
        <w:t>a) em 18/03/2026 — no mesmo período em que se esquivava da citação judicial na execução de alimentos —, o Requerido adquiriu veículo Renault Sandero pelo valor de R$ 41.530,00;</w:t>
      </w:r>
    </w:p>
    <w:p>
      <w:pPr>
        <w:pStyle w:val="AECorpo"/>
      </w:pPr>
      <w:r>
        <w:rPr>
          <w:b w:val="0"/>
          <w:i w:val="0"/>
        </w:rPr>
        <w:t xml:space="preserve">b) o Requerido assumiu, em razão dessa aquisição, prestação mensal de veículo que, à luz das práticas de mercado, é incompatível com seu salário formal de R$ 2.799,82 (referência jan/2026, empresa SEG SYSTEMS) — o comprometimento de renda demonstrado nos autos supera o que qualquer instituição financeira aprovaria sem prova de rendimento superior ao formalmente declarado </w:t>
      </w:r>
      <w:r>
        <w:rPr>
          <w:b/>
          <w:i w:val="0"/>
        </w:rPr>
        <w:t>[CONFERIR NOS AUTOS: o valor exato da prestação mensal do financiamento diverge entre as peças já apresentadas — R$ 1.600,00 e R$ 1.649,63 — recomenda-se confirmar o valor exato no contrato de financiamento anexado antes do protocolo]</w:t>
      </w:r>
      <w:r>
        <w:rPr>
          <w:b w:val="0"/>
          <w:i w:val="0"/>
        </w:rPr>
        <w:t>;</w:t>
      </w:r>
    </w:p>
    <w:p>
      <w:pPr>
        <w:pStyle w:val="AECorpo"/>
      </w:pPr>
      <w:r>
        <w:rPr>
          <w:b w:val="0"/>
          <w:i w:val="0"/>
        </w:rPr>
        <w:t>c) o Requerido omitiu, no processo de execução, o vínculo empregatício formal mantido com a empresa SEG SYSTEMS entre out/2025 e jan/2026.</w:t>
      </w:r>
    </w:p>
    <w:p/>
    <w:p>
      <w:pPr>
        <w:pStyle w:val="AECorpo"/>
      </w:pPr>
      <w:r>
        <w:rPr>
          <w:b w:val="0"/>
          <w:i w:val="0"/>
        </w:rPr>
        <w:t xml:space="preserve">Ainda na Mídia 2, o Requerido confessa ser o único provedor de estrutura familiar completa e distinta daquela que alega não conseguir sustentar: </w:t>
      </w:r>
      <w:r>
        <w:rPr>
          <w:b w:val="0"/>
          <w:i/>
        </w:rPr>
        <w:t>"Eu pago as contas tudo sozinho. Conta de água, luz, internet e a comida, o aluguel. É tudo eu que pago, velho. As coisas da minha filha, as coisas que precisa pra criança."</w:t>
      </w:r>
    </w:p>
    <w:p/>
    <w:p>
      <w:pPr>
        <w:pStyle w:val="AETtulo2"/>
      </w:pPr>
      <w:r>
        <w:rPr>
          <w:b/>
          <w:i w:val="0"/>
        </w:rPr>
        <w:t>2.2. Do gaslighting patrimonial</w:t>
      </w:r>
    </w:p>
    <w:p/>
    <w:p>
      <w:pPr>
        <w:pStyle w:val="AECorpo"/>
      </w:pPr>
      <w:r>
        <w:rPr>
          <w:b w:val="0"/>
          <w:i w:val="0"/>
        </w:rPr>
        <w:t xml:space="preserve">O Requerido também recorre à manipulação psicológica para transferir à Requerente o ônus emocional de sua alegada pobreza. Na Mídia 2, ao referir-se a um brinquedo de baixo valor adquirido para o filho, afirma: </w:t>
      </w:r>
      <w:r>
        <w:rPr>
          <w:b w:val="0"/>
          <w:i/>
        </w:rPr>
        <w:t>"Gastei um dinheiro que eu não tinha, que eu não tenho. Aquele brinquedinho que eu comprei para ele, tô pagando até hoje, cara."</w:t>
      </w:r>
    </w:p>
    <w:p/>
    <w:p>
      <w:pPr>
        <w:pStyle w:val="AECorpo"/>
      </w:pPr>
      <w:r>
        <w:rPr>
          <w:b w:val="0"/>
          <w:i w:val="0"/>
        </w:rPr>
        <w:t>A contradição é evidente: no mesmo período em que alega não conseguir custear um brinquedo, o Requerido investia dezenas de milhares de reais em patrimônio próprio (aquisição do Renault Sandero, item 2.1, "a").</w:t>
      </w:r>
    </w:p>
    <w:p/>
    <w:p>
      <w:pPr>
        <w:pStyle w:val="AETtulo2"/>
      </w:pPr>
      <w:r>
        <w:rPr>
          <w:b/>
          <w:i w:val="0"/>
        </w:rPr>
        <w:t>2.3. Da escalada da violência como retaliação ao desmascaramento da fraude</w:t>
      </w:r>
    </w:p>
    <w:p/>
    <w:p>
      <w:pPr>
        <w:pStyle w:val="AECorpo"/>
      </w:pPr>
      <w:r>
        <w:rPr>
          <w:b w:val="0"/>
          <w:i w:val="0"/>
        </w:rPr>
        <w:t>Os ataques psicológicos e as chantagens emocionais mais severas do Requerido não são aleatórios: constituem reação direta ao fato de a fraude patrimonial narrada no item 2.1 ter sido exposta pela Requerente perante o Juízo da Família, no bojo da execução de alimentos.</w:t>
      </w:r>
    </w:p>
    <w:p/>
    <w:p>
      <w:pPr>
        <w:pStyle w:val="AECorpo"/>
      </w:pPr>
      <w:r>
        <w:rPr>
          <w:b w:val="0"/>
          <w:i w:val="0"/>
        </w:rPr>
        <w:t>Ao perceber que a justificativa de inadimplemento seria — como de fato foi, em 26/05/2026 — rejeitada pelo Juízo da Família, o Requerido passou a utilizar o filho comum como instrumento de chantagem contra a Requerente, projetando sobre ela a responsabilidade por consequência de atos exclusivamente seus:</w:t>
      </w:r>
    </w:p>
    <w:p/>
    <w:p>
      <w:pPr>
        <w:pStyle w:val="AECitao"/>
      </w:pPr>
      <w:r>
        <w:rPr>
          <w:b w:val="0"/>
          <w:i w:val="0"/>
        </w:rPr>
        <w:t>"Vai conseguir o que com isso, mano? Me botar na cadeia? [...] a única coisa que você vai conseguir é que o Antônio tenha um pai presidiário. Você vai ficar feliz com isso?"</w:t>
      </w:r>
    </w:p>
    <w:p/>
    <w:p>
      <w:pPr>
        <w:pStyle w:val="AETtulo1"/>
        <w:jc w:val="center"/>
      </w:pPr>
      <w:r>
        <w:rPr>
          <w:b/>
          <w:i w:val="0"/>
        </w:rPr>
        <w:t>III — DA URGÊNCIA ATUAL E DO RISCO CONCRETO DE RETALIAÇÃO</w:t>
      </w:r>
    </w:p>
    <w:p/>
    <w:p>
      <w:pPr>
        <w:pStyle w:val="AETtulo2"/>
      </w:pPr>
      <w:r>
        <w:rPr>
          <w:b/>
          <w:i w:val="0"/>
        </w:rPr>
        <w:t>3.1. Do parecer do Ministério Público pela prisão civil (02/07/2026)</w:t>
      </w:r>
    </w:p>
    <w:p/>
    <w:p>
      <w:pPr>
        <w:pStyle w:val="AECorpo"/>
      </w:pPr>
      <w:r>
        <w:rPr>
          <w:b w:val="0"/>
          <w:i w:val="0"/>
        </w:rPr>
        <w:t xml:space="preserve">A negativa anterior deste Juízo fundamentou-se em suposto distanciamento temporal dos fatos. Tal premissa não mais subsiste: em 02/07/2026, o Ministério Público, por meio da Ilustre Dra. Larissa Crescini Albernaz, manifestou-se nos autos da execução de alimentos (nº 0019391-82.2025.8.26.0577) requerendo a </w:t>
      </w:r>
      <w:r>
        <w:rPr>
          <w:b/>
          <w:i w:val="0"/>
        </w:rPr>
        <w:t>decretação da prisão civil do Requerido pelo prazo de 60 (sessenta) dias</w:t>
      </w:r>
      <w:r>
        <w:rPr>
          <w:b w:val="0"/>
          <w:i w:val="0"/>
        </w:rPr>
        <w:t>, em razão do descumprimento do prazo fixado para pagamento do débito alimentar atualizado (certificado em 26/06/2026).</w:t>
      </w:r>
    </w:p>
    <w:p/>
    <w:p>
      <w:pPr>
        <w:pStyle w:val="AECorpo"/>
      </w:pPr>
      <w:r>
        <w:rPr>
          <w:b w:val="0"/>
          <w:i w:val="0"/>
        </w:rPr>
        <w:t>O perigo, portanto, não é distante: o Requerido está na iminência de ser encarcerado por iniciativa processual da própria Requerente, o que eleva de forma imediata e objetiva o risco de retaliação contra ela e contra o filho comum.</w:t>
      </w:r>
    </w:p>
    <w:p/>
    <w:p>
      <w:pPr>
        <w:pStyle w:val="AETtulo2"/>
      </w:pPr>
      <w:r>
        <w:rPr>
          <w:b/>
          <w:i w:val="0"/>
        </w:rPr>
        <w:t>3.2. Do histórico comportamental como indicador do risco atual</w:t>
      </w:r>
    </w:p>
    <w:p/>
    <w:p>
      <w:pPr>
        <w:pStyle w:val="AECorpo"/>
      </w:pPr>
      <w:r>
        <w:rPr>
          <w:b w:val="0"/>
          <w:i w:val="0"/>
        </w:rPr>
        <w:t>O comportamento do Requerido ao longo dos nove anos relatados no Capítulo I — abandono seguido de retornos coincidentes com momentos de rejeição ou de conflito processual — demonstra que sua inércia é, no histórico do caso, prelúdio recorrente de novas investidas de violência psicológica. O temor da Requerente encontra amparo em elementos concretos:</w:t>
      </w:r>
    </w:p>
    <w:p/>
    <w:p>
      <w:pPr>
        <w:pStyle w:val="AECorpo"/>
      </w:pPr>
      <w:r>
        <w:rPr>
          <w:b w:val="0"/>
          <w:i w:val="0"/>
        </w:rPr>
        <w:t>a) a ameaça precedente: em áudio de abril de 2026 (Mídia 2), o próprio Requerido já havia transferido à Requerente a responsabilidade por sua eventual prisão, questionando "Você vai ficar feliz com isso? É isso que você quer?" e afirmando que o filho teria um "pai presidiário" por culpa dela;</w:t>
      </w:r>
    </w:p>
    <w:p>
      <w:pPr>
        <w:pStyle w:val="AECorpo"/>
      </w:pPr>
      <w:r>
        <w:rPr>
          <w:b w:val="0"/>
          <w:i w:val="0"/>
        </w:rPr>
        <w:t>b) o risco de reação diante da iminência do cárcere: a ciência de que o Ministério Público requereu sua prisão civil coloca o Requerido em cenário de perda processual total, o que agrava o risco de retaliação física ou perseguição direta;</w:t>
      </w:r>
    </w:p>
    <w:p>
      <w:pPr>
        <w:pStyle w:val="AECorpo"/>
      </w:pPr>
      <w:r>
        <w:rPr>
          <w:b w:val="0"/>
          <w:i w:val="0"/>
        </w:rPr>
        <w:t>c) a ocultação como estratégia recorrente: o Requerido já demonstrou capacidade de se esquivar de atos processuais (citação na execução de alimentos) enquanto praticava, no mesmo período, atos de disposição patrimonial (aquisição do veículo em 18/03/2026), o que reforça a necessidade de medidas protetivas que assegurem o distanciamento antes mesmo do cumprimento do mandado de prisão.</w:t>
      </w:r>
    </w:p>
    <w:p/>
    <w:p>
      <w:pPr>
        <w:pStyle w:val="AECorpo"/>
      </w:pPr>
      <w:r>
        <w:rPr>
          <w:b w:val="0"/>
          <w:i w:val="0"/>
        </w:rPr>
        <w:t xml:space="preserve">O silêncio momentâneo do Requerido não é, portanto, indicativo de pacificação do conflito, mas de tensão que antecede reação, em contexto de mulher que já padece de quadro depressivo grave </w:t>
      </w:r>
      <w:r>
        <w:rPr>
          <w:b/>
          <w:i w:val="0"/>
        </w:rPr>
        <w:t>[DADOS INSUFICIENTES — recomenda-se juntar documento médico que ateste o quadro depressivo, se ainda não constar dos autos, para conferir lastro probatório à afirmação]</w:t>
      </w:r>
      <w:r>
        <w:rPr>
          <w:b w:val="0"/>
          <w:i w:val="0"/>
        </w:rPr>
        <w:t>.</w:t>
      </w:r>
    </w:p>
    <w:p/>
    <w:p>
      <w:pPr>
        <w:pStyle w:val="AETtulo2"/>
      </w:pPr>
      <w:r>
        <w:rPr>
          <w:b/>
          <w:i w:val="0"/>
        </w:rPr>
        <w:t>3.3. Do agravante de risco: acesso a armas de fogo e formação em segurança</w:t>
      </w:r>
    </w:p>
    <w:p/>
    <w:p>
      <w:pPr>
        <w:pStyle w:val="AECorpo"/>
      </w:pPr>
      <w:r>
        <w:rPr>
          <w:b w:val="0"/>
          <w:i w:val="0"/>
        </w:rPr>
        <w:t>Conforme registrado no Formulário Nacional de Avaliação de Risco preenchido pela Requerente, o Requerido possui acesso a arma de fogo — informação corroborada por sua qualificação profissional como "Segurança" ou "Agente de Segurança", constante de mandados judiciais nos autos.</w:t>
      </w:r>
    </w:p>
    <w:p/>
    <w:p>
      <w:pPr>
        <w:pStyle w:val="AECorpo"/>
      </w:pPr>
      <w:r>
        <w:rPr>
          <w:b w:val="0"/>
          <w:i w:val="0"/>
        </w:rPr>
        <w:t>A combinação entre formação técnica para uso de força, acesso a armamento e o estado de desespero decorrente da iminência do cárcere eleva concretamente o risco de agressão grave, tornando indispensável que as medidas de proibição de aproximação e contato alcancem também o perímetro escolar e os demais locais habitualmente frequentados pelo menor.</w:t>
      </w:r>
    </w:p>
    <w:p/>
    <w:p>
      <w:pPr>
        <w:pStyle w:val="AETtulo2"/>
      </w:pPr>
      <w:r>
        <w:rPr>
          <w:b/>
          <w:i w:val="0"/>
        </w:rPr>
        <w:t>3.4. Da instrumentalização do menor como veículo de retaliação</w:t>
      </w:r>
    </w:p>
    <w:p/>
    <w:p>
      <w:pPr>
        <w:pStyle w:val="AECorpo"/>
      </w:pPr>
      <w:r>
        <w:rPr>
          <w:b w:val="0"/>
          <w:i w:val="0"/>
        </w:rPr>
        <w:t xml:space="preserve">Merece destaque o comportamento contraditório do Requerido: ainda que utilize canal clandestino (o jogo </w:t>
      </w:r>
      <w:r>
        <w:rPr>
          <w:b w:val="0"/>
          <w:i/>
        </w:rPr>
        <w:t>Roblox</w:t>
      </w:r>
      <w:r>
        <w:rPr>
          <w:b w:val="0"/>
          <w:i w:val="0"/>
        </w:rPr>
        <w:t>) para prometer visitas ao filho, o faz sob imposição de segredo — fato presenciado e declarado pela testemunha Juliana Karine, que relatou a criança emocionada ao receber mensagens em que o pai a orientava a manter a comunicação oculta da mãe.</w:t>
      </w:r>
    </w:p>
    <w:p/>
    <w:p>
      <w:pPr>
        <w:pStyle w:val="AECorpo"/>
      </w:pPr>
      <w:r>
        <w:rPr>
          <w:b w:val="0"/>
          <w:i w:val="0"/>
        </w:rPr>
        <w:t>Esse padrão gera fundado temor de que o Requerido, sentindo-se acuado pelo pedido de prisão civil, utilize o menor como instrumento de aproximação imprevisível — inclusive mediante comparecimento sem aviso prévio à instituição de ensino da criança —, o que reforça a necessidade de que as medidas protetivas alcancem também esse ambiente.</w:t>
      </w:r>
    </w:p>
    <w:p/>
    <w:p>
      <w:pPr>
        <w:pStyle w:val="AETtulo1"/>
        <w:jc w:val="center"/>
      </w:pPr>
      <w:r>
        <w:rPr>
          <w:b/>
          <w:i w:val="0"/>
        </w:rPr>
        <w:t>IV — DO DIREITO</w:t>
      </w:r>
    </w:p>
    <w:p/>
    <w:p>
      <w:pPr>
        <w:pStyle w:val="AETtulo2"/>
      </w:pPr>
      <w:r>
        <w:rPr>
          <w:b/>
          <w:i w:val="0"/>
        </w:rPr>
        <w:t>4.1. Da violência psicológica</w:t>
      </w:r>
    </w:p>
    <w:p/>
    <w:p>
      <w:pPr>
        <w:pStyle w:val="AECorpo"/>
      </w:pPr>
      <w:r>
        <w:rPr>
          <w:b w:val="0"/>
          <w:i w:val="0"/>
        </w:rPr>
        <w:t xml:space="preserve">A conduta do Requerido — em especial a comunicação clandestina com o menor visando atingir a genitora, a chantagem emocional e a ameaça de "pai presidiário" — amolda-se à violência psicológica prevista no art. 7º, II, da Lei nº 11.340/2006, e ao crime de perseguição do art. 147-B do Código Penal </w:t>
      </w:r>
      <w:r>
        <w:rPr>
          <w:b/>
          <w:i w:val="0"/>
        </w:rPr>
        <w:t>[VERIFICAR redação vigente de ambos os dispositivos antes do protocolo]</w:t>
      </w:r>
      <w:r>
        <w:rPr>
          <w:b w:val="0"/>
          <w:i w:val="0"/>
        </w:rPr>
        <w:t>.</w:t>
      </w:r>
    </w:p>
    <w:p/>
    <w:p>
      <w:pPr>
        <w:pStyle w:val="AETtulo2"/>
      </w:pPr>
      <w:r>
        <w:rPr>
          <w:b/>
          <w:i w:val="0"/>
        </w:rPr>
        <w:t>4.2. Da violência patrimonial</w:t>
      </w:r>
    </w:p>
    <w:p/>
    <w:p>
      <w:pPr>
        <w:pStyle w:val="AECorpo"/>
      </w:pPr>
      <w:r>
        <w:rPr>
          <w:b w:val="0"/>
          <w:i w:val="0"/>
        </w:rPr>
        <w:t xml:space="preserve">A fraude patrimonial narrada no Capítulo II — ocultação de renda, aquisição de bem de valor incompatível com a miserabilidade alegada e uso do processo de alimentos como instrumento de controle — configura violência patrimonial, nos termos do art. 7º, IV, da Lei nº 11.340/2006 </w:t>
      </w:r>
      <w:r>
        <w:rPr>
          <w:b/>
          <w:i w:val="0"/>
        </w:rPr>
        <w:t>[VERIFICAR redação vigente]</w:t>
      </w:r>
      <w:r>
        <w:rPr>
          <w:b w:val="0"/>
          <w:i w:val="0"/>
        </w:rPr>
        <w:t>.</w:t>
      </w:r>
    </w:p>
    <w:p/>
    <w:p>
      <w:pPr>
        <w:pStyle w:val="AETtulo2"/>
      </w:pPr>
      <w:r>
        <w:rPr>
          <w:b/>
          <w:i w:val="0"/>
        </w:rPr>
        <w:t>4.3. Da violência vicária</w:t>
      </w:r>
    </w:p>
    <w:p/>
    <w:p>
      <w:pPr>
        <w:pStyle w:val="AECorpo"/>
      </w:pPr>
      <w:r>
        <w:rPr>
          <w:b w:val="0"/>
          <w:i w:val="0"/>
        </w:rPr>
        <w:t xml:space="preserve">A utilização do filho comum como instrumento de sofrimento psicológico dirigido à Requerente caracteriza violência vicária. </w:t>
      </w:r>
      <w:r>
        <w:rPr>
          <w:b/>
          <w:i w:val="0"/>
        </w:rPr>
        <w:t>[VERIFICAR DISPOSITIVO EXATO — a petição original referia "art. 7º, VI, da Lei nº 11.340/2006"; o art. 7º da Lei Maria da Penha tradicionalmente contempla os incisos I a V (física, psicológica, sexual, patrimonial e moral), e a violência vicária foi incorporada por alteração legislativa posterior (Lei nº 14.713/2023), possivelmente como parte da definição de violência psicológica do inciso II, e não como inciso VI autônomo. Recomenda-se conferir a redação atual antes do protocolo, para não comprometer a credibilidade técnica da peça.]</w:t>
      </w:r>
    </w:p>
    <w:p/>
    <w:p>
      <w:pPr>
        <w:pStyle w:val="AETtulo1"/>
        <w:jc w:val="center"/>
      </w:pPr>
      <w:r>
        <w:rPr>
          <w:b/>
          <w:i w:val="0"/>
        </w:rPr>
        <w:t>V — DOS PEDIDOS</w:t>
      </w:r>
    </w:p>
    <w:p/>
    <w:p>
      <w:pPr>
        <w:pStyle w:val="AECorpo"/>
      </w:pPr>
      <w:r>
        <w:rPr>
          <w:b w:val="0"/>
          <w:i w:val="0"/>
        </w:rPr>
        <w:t>Ante o exposto, e em face da superveniência de provas e da atualidade do risco decorrente do parecer ministerial de 02/07/2026, requer-se a Vossa Excelência:</w:t>
      </w:r>
    </w:p>
    <w:p/>
    <w:p>
      <w:pPr>
        <w:pStyle w:val="AECorpo"/>
      </w:pPr>
      <w:r>
        <w:rPr>
          <w:b w:val="0"/>
          <w:i w:val="0"/>
        </w:rPr>
        <w:t>I. A reconsideração da decisão de fls. 9/10 — tendo em vista a ressalva nela própria consignada de que a medida poderia ser reapreciada a qualquer tempo mediante novos elementos —, com o imediato deferimento das seguintes medidas protetivas de urgência, nos termos dos arts. 22 e seguintes da Lei nº 11.340/2006:</w:t>
      </w:r>
    </w:p>
    <w:p/>
    <w:p>
      <w:pPr>
        <w:pStyle w:val="AECorpo"/>
      </w:pPr>
      <w:r>
        <w:rPr>
          <w:b w:val="0"/>
          <w:i w:val="0"/>
        </w:rPr>
        <w:t>a) proibição de aproximação da Requerente e do menor ANTONIO DA CUNHA DE CASTRO LOPES, observada a distância mínima de 300 (trezentos) metros, inclusive do perímetro escolar;</w:t>
      </w:r>
    </w:p>
    <w:p>
      <w:pPr>
        <w:pStyle w:val="AECorpo"/>
      </w:pPr>
      <w:r>
        <w:rPr>
          <w:b w:val="0"/>
          <w:i w:val="0"/>
        </w:rPr>
        <w:t>b) proibição de contato por qualquer meio — telefone, redes sociais, aplicativos de mensagens ou jogos digitais, incluindo o Roblox;</w:t>
      </w:r>
    </w:p>
    <w:p>
      <w:pPr>
        <w:pStyle w:val="AECorpo"/>
      </w:pPr>
      <w:r>
        <w:rPr>
          <w:b w:val="0"/>
          <w:i w:val="0"/>
        </w:rPr>
        <w:t>c) suspensão/restrição das visitas até a cessação do risco ora demonstrado;</w:t>
      </w:r>
    </w:p>
    <w:p/>
    <w:p>
      <w:pPr>
        <w:pStyle w:val="AECorpo"/>
      </w:pPr>
      <w:r>
        <w:rPr>
          <w:b w:val="0"/>
          <w:i w:val="0"/>
        </w:rPr>
        <w:t>II. A juntada da declaração testemunhal, dos demais documentos mencionados nesta petição e do parecer do Ministério Público pela prisão civil;</w:t>
      </w:r>
    </w:p>
    <w:p/>
    <w:p>
      <w:pPr>
        <w:pStyle w:val="AECorpo"/>
      </w:pPr>
      <w:r>
        <w:rPr>
          <w:b w:val="0"/>
          <w:i w:val="0"/>
        </w:rPr>
        <w:t>III. O acesso às provas audiovisuais pelo link indicado nesta petição e detalhado na nota explicativa a seguir.</w:t>
      </w:r>
    </w:p>
    <w:p/>
    <w:p>
      <w:pPr>
        <w:pStyle w:val="AECorpo"/>
      </w:pPr>
      <w:r>
        <w:rPr>
          <w:b w:val="0"/>
          <w:i w:val="0"/>
        </w:rPr>
        <w:t>Protesta provar o alegado por todos os meios de prova em direito admitidos, especialmente prova documental, testemunhal, pericial e audiovisual.</w:t>
      </w:r>
    </w:p>
    <w:p/>
    <w:p>
      <w:pPr>
        <w:jc w:val="center"/>
      </w:pPr>
      <w:r>
        <w:rPr>
          <w:rFonts w:ascii="Times New Roman" w:hAnsi="Times New Roman"/>
          <w:b w:val="0"/>
          <w:color w:val="0D2340"/>
          <w:sz w:val="22"/>
          <w:spacing w:val="80"/>
        </w:rPr>
        <w:t>NOTA EXPLICATIVA — DO DETALHAMENTO DAS PROVAS AUDIOVISUAIS</w:t>
      </w:r>
    </w:p>
    <w:p>
      <w:pPr>
        <w:jc w:val="center"/>
      </w:pPr>
      <w:r>
        <w:rPr>
          <w:color w:val="0D2340"/>
          <w:sz w:val="16"/>
        </w:rPr>
        <w:t>◆</w:t>
      </w:r>
    </w:p>
    <w:p/>
    <w:p/>
    <w:p>
      <w:pPr>
        <w:pStyle w:val="AECorpo"/>
      </w:pPr>
      <w:r>
        <w:rPr>
          <w:b w:val="0"/>
          <w:i w:val="0"/>
        </w:rPr>
        <w:t>Em razão da limitação técnica de tamanho de arquivo para upload direto no sistema SAJ, e visando preservar a cadeia de custódia e a celeridade processual, as provas audiovisuais citadas nesta peça encontram-se depositadas em nuvem, no link já indicado. Para facilitar a compreensão da dinâmica de abuso, antecipa-se o conteúdo de cada arquivo:</w:t>
      </w:r>
    </w:p>
    <w:p/>
    <w:p>
      <w:pPr>
        <w:pStyle w:val="AETtulo3"/>
      </w:pPr>
      <w:r>
        <w:rPr>
          <w:b w:val="0"/>
          <w:i w:val="0"/>
        </w:rPr>
        <w:t>Mídia 1 — da boa-fé materna e da reaproximação (dez/2025)</w:t>
      </w:r>
    </w:p>
    <w:p/>
    <w:p>
      <w:pPr>
        <w:pStyle w:val="AECorpo"/>
      </w:pPr>
      <w:r>
        <w:rPr>
          <w:b w:val="0"/>
          <w:i w:val="0"/>
        </w:rPr>
        <w:t>Gravação que documenta o contato inicial promovido pela genitora após anos de ausência paterna, contendo o áudio do menor ANTONIO questionando com inocência: "Oi, pai... lembra de mim?" — prova de que a Requerente agiu em favor do direito do filho, sem qualquer intuito beligerante inicial.</w:t>
      </w:r>
    </w:p>
    <w:p/>
    <w:p>
      <w:pPr>
        <w:pStyle w:val="AETtulo3"/>
      </w:pPr>
      <w:r>
        <w:rPr>
          <w:b w:val="0"/>
          <w:i w:val="0"/>
        </w:rPr>
        <w:t>Mídia 2 — do "teatro da miséria" e da escalada da violência (abr/2026)</w:t>
      </w:r>
    </w:p>
    <w:p/>
    <w:p>
      <w:pPr>
        <w:pStyle w:val="AECorpo"/>
      </w:pPr>
      <w:r>
        <w:rPr>
          <w:b w:val="0"/>
          <w:i w:val="0"/>
        </w:rPr>
        <w:t>Sequência de áudios em que o Requerido: (i) alega miserabilidade incompatível com a aquisição de veículo de R$ 41.530,00 no mesmo período; (ii) confessa que não visita o filho por imposição de sua atual companheira; (iii) profere a ameaça "você só vai conseguir que o Antônio tenha um pai presidiário".</w:t>
      </w:r>
    </w:p>
    <w:p/>
    <w:p>
      <w:pPr>
        <w:pStyle w:val="AECorpo"/>
      </w:pPr>
      <w:r>
        <w:rPr>
          <w:b w:val="0"/>
          <w:i w:val="0"/>
        </w:rPr>
        <w:t>Nestes termos, pede deferimento.</w:t>
      </w:r>
    </w:p>
    <w:p/>
    <w:p>
      <w:pPr>
        <w:pStyle w:val="AECorpo"/>
      </w:pPr>
      <w:r>
        <w:rPr>
          <w:b w:val="0"/>
          <w:i w:val="0"/>
        </w:rPr>
        <w:t>São José dos Campos/SP, 3 de julho de 2026.</w:t>
      </w:r>
    </w:p>
    <w:p/>
    <w:p/>
    <w:p/>
    <w:p>
      <w:pPr>
        <w:jc w:val="center"/>
      </w:pPr>
      <w:r>
        <w:rPr>
          <w:b/>
          <w:i w:val="0"/>
        </w:rPr>
        <w:t>DEBORAH CHAVES L. DA CUNHA</w:t>
      </w:r>
    </w:p>
    <w:p>
      <w:pPr>
        <w:jc w:val="center"/>
      </w:pPr>
      <w:r>
        <w:rPr>
          <w:b w:val="0"/>
          <w:i w:val="0"/>
        </w:rPr>
        <w:t>OAB/SP nº 525.758</w:t>
      </w:r>
    </w:p>
    <w:sectPr w:rsidR="00324285" w:rsidRPr="00C77D9B" w:rsidSect="00034616">
      <w:headerReference w:type="default" r:id="rId8"/>
      <w:footerReference w:type="default" r:id="rId9"/>
      <w:pgSz w:w="11906" w:h="16838"/>
      <w:pgMar w:top="1134" w:right="1134" w:bottom="1500" w:left="1417" w:header="283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00DEEB" w14:textId="77777777" w:rsidR="00560F98" w:rsidRDefault="00560F98">
      <w:pPr>
        <w:spacing w:after="0" w:line="240" w:lineRule="auto"/>
      </w:pPr>
      <w:r>
        <w:separator/>
      </w:r>
    </w:p>
  </w:endnote>
  <w:endnote w:type="continuationSeparator" w:id="0">
    <w:p w14:paraId="232E5919" w14:textId="77777777" w:rsidR="00560F98" w:rsidRDefault="00560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631FAF" w14:textId="77777777" w:rsidR="00324285" w:rsidRDefault="00000000">
    <w:pPr>
      <w:shd w:val="clear" w:color="auto" w:fill="0B2341"/>
      <w:spacing w:after="0" w:line="567" w:lineRule="exact"/>
      <w:ind w:left="-1417" w:right="-1134"/>
    </w:pPr>
    <w:r>
      <w:rPr>
        <w:rFonts w:ascii="Arial" w:hAnsi="Arial"/>
        <w:b/>
        <w:color w:val="FFFFFF"/>
        <w:spacing w:val="80"/>
        <w:sz w:val="32"/>
      </w:rPr>
      <w:t xml:space="preserve">   AE</w:t>
    </w:r>
    <w:r>
      <w:rPr>
        <w:rFonts w:ascii="Arial" w:hAnsi="Arial"/>
        <w:color w:val="FFFFFF"/>
        <w:sz w:val="14"/>
      </w:rPr>
      <w:t xml:space="preserve">   </w:t>
    </w:r>
    <w:r>
      <w:rPr>
        <w:rFonts w:ascii="Arial" w:hAnsi="Arial"/>
        <w:b/>
        <w:color w:val="FFFFFF"/>
        <w:spacing w:val="15"/>
        <w:sz w:val="16"/>
      </w:rPr>
      <w:t>ANGELO EPIFANIO ADVOCACIA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55CAD8" w14:textId="77777777" w:rsidR="00560F98" w:rsidRDefault="00560F98">
      <w:pPr>
        <w:spacing w:after="0" w:line="240" w:lineRule="auto"/>
      </w:pPr>
      <w:r>
        <w:separator/>
      </w:r>
    </w:p>
  </w:footnote>
  <w:footnote w:type="continuationSeparator" w:id="0">
    <w:p w14:paraId="1B4D2C98" w14:textId="77777777" w:rsidR="00560F98" w:rsidRDefault="00560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5" w:type="dxa"/>
      <w:tblLayout w:type="fixed"/>
      <w:tblLook w:val="04A0" w:firstRow="1" w:lastRow="0" w:firstColumn="1" w:lastColumn="0" w:noHBand="0" w:noVBand="1"/>
    </w:tblPr>
    <w:tblGrid>
      <w:gridCol w:w="851"/>
      <w:gridCol w:w="5669"/>
      <w:gridCol w:w="2835"/>
    </w:tblGrid>
    <w:tr w:rsidR="00324285" w14:paraId="124D8505" w14:textId="77777777">
      <w:tc>
        <w:tcPr>
          <w:tcW w:w="851" w:type="dxa"/>
          <w:vAlign w:val="center"/>
        </w:tcPr>
        <w:p w14:paraId="24D3D19D" w14:textId="77777777" w:rsidR="00324285" w:rsidRDefault="00324285"/>
      </w:tc>
      <w:tc>
        <w:tcPr>
          <w:tcW w:w="5669" w:type="dxa"/>
          <w:vAlign w:val="center"/>
        </w:tcPr>
        <w:p w14:paraId="6D1D3525" w14:textId="77777777" w:rsidR="00324285" w:rsidRDefault="00000000">
          <w:pPr>
            <w:pBdr>
              <w:bottom w:val="single" w:sz="4" w:space="3" w:color="B69A54"/>
            </w:pBdr>
            <w:spacing w:before="80" w:after="40" w:line="240" w:lineRule="auto"/>
            <w:jc w:val="center"/>
          </w:pPr>
          <w:r>
            <w:rPr>
              <w:rFonts w:ascii="Georgia" w:hAnsi="Georgia"/>
              <w:b/>
              <w:color w:val="0B2341"/>
              <w:spacing w:val="80"/>
              <w:sz w:val="56"/>
            </w:rPr>
            <w:t>AE</w:t>
          </w:r>
        </w:p>
        <w:p w14:paraId="148CC6BA" w14:textId="77777777" w:rsidR="00324285" w:rsidRDefault="00000000">
          <w:pPr>
            <w:pBdr>
              <w:bottom w:val="single" w:sz="4" w:space="3" w:color="B69A54"/>
            </w:pBdr>
            <w:spacing w:before="80" w:after="0" w:line="240" w:lineRule="auto"/>
            <w:jc w:val="center"/>
          </w:pPr>
          <w:r>
            <w:rPr>
              <w:rFonts w:ascii="Georgia" w:hAnsi="Georgia"/>
              <w:b/>
              <w:color w:val="0B2341"/>
              <w:spacing w:val="100"/>
              <w:sz w:val="18"/>
            </w:rPr>
            <w:t>ANGELO EPIFANIO</w:t>
          </w:r>
        </w:p>
        <w:p w14:paraId="77B091D4" w14:textId="77777777" w:rsidR="00324285" w:rsidRDefault="00000000">
          <w:pPr>
            <w:spacing w:before="60" w:after="80" w:line="240" w:lineRule="auto"/>
            <w:jc w:val="center"/>
          </w:pPr>
          <w:r>
            <w:rPr>
              <w:rFonts w:ascii="Arial" w:hAnsi="Arial"/>
              <w:color w:val="8A9099"/>
              <w:spacing w:val="160"/>
              <w:sz w:val="15"/>
            </w:rPr>
            <w:t>ADVOCACIA</w:t>
          </w:r>
        </w:p>
      </w:tc>
      <w:tc>
        <w:tcPr>
          <w:tcW w:w="2835" w:type="dxa"/>
          <w:vAlign w:val="center"/>
        </w:tcPr>
        <w:p w14:paraId="4BD75E10" w14:textId="77777777" w:rsidR="00324285" w:rsidRDefault="00000000">
          <w:pPr>
            <w:spacing w:after="20" w:line="240" w:lineRule="auto"/>
            <w:jc w:val="right"/>
          </w:pPr>
          <w:r>
            <w:rPr>
              <w:rFonts w:ascii="Arial" w:hAnsi="Arial"/>
              <w:b/>
              <w:color w:val="0B2341"/>
              <w:spacing w:val="80"/>
              <w:sz w:val="18"/>
            </w:rPr>
            <w:t>OAB/SP XXXXX</w:t>
          </w:r>
        </w:p>
        <w:p w14:paraId="204062CE" w14:textId="77777777" w:rsidR="00324285" w:rsidRDefault="00324285">
          <w:pPr>
            <w:spacing w:after="20" w:line="240" w:lineRule="auto"/>
            <w:jc w:val="right"/>
          </w:pPr>
        </w:p>
        <w:p w14:paraId="611B4E41" w14:textId="77777777" w:rsidR="00324285" w:rsidRDefault="00000000">
          <w:pPr>
            <w:spacing w:after="20" w:line="240" w:lineRule="auto"/>
            <w:jc w:val="right"/>
          </w:pPr>
          <w:r>
            <w:rPr>
              <w:rFonts w:ascii="Arial" w:hAnsi="Arial"/>
              <w:color w:val="8A9099"/>
              <w:sz w:val="15"/>
            </w:rPr>
            <w:t>www.angeloepifanio.com.br</w:t>
          </w:r>
        </w:p>
        <w:p w14:paraId="6F95F026" w14:textId="77777777" w:rsidR="00324285" w:rsidRDefault="00000000">
          <w:pPr>
            <w:spacing w:after="20" w:line="240" w:lineRule="auto"/>
            <w:jc w:val="right"/>
          </w:pPr>
          <w:r>
            <w:rPr>
              <w:rFonts w:ascii="Arial" w:hAnsi="Arial"/>
              <w:color w:val="8A9099"/>
              <w:sz w:val="15"/>
            </w:rPr>
            <w:t>contato@angeloepifanio.com.br</w:t>
          </w:r>
        </w:p>
        <w:p w14:paraId="662AC828" w14:textId="77777777" w:rsidR="00324285" w:rsidRDefault="00000000">
          <w:pPr>
            <w:spacing w:after="20" w:line="240" w:lineRule="auto"/>
            <w:jc w:val="right"/>
          </w:pPr>
          <w:r>
            <w:rPr>
              <w:rFonts w:ascii="Arial" w:hAnsi="Arial"/>
              <w:color w:val="8A9099"/>
              <w:sz w:val="15"/>
            </w:rPr>
            <w:t>(12) 99999-9999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17672">
    <w:abstractNumId w:val="8"/>
  </w:num>
  <w:num w:numId="2" w16cid:durableId="2014532668">
    <w:abstractNumId w:val="6"/>
  </w:num>
  <w:num w:numId="3" w16cid:durableId="1158963494">
    <w:abstractNumId w:val="5"/>
  </w:num>
  <w:num w:numId="4" w16cid:durableId="1158497298">
    <w:abstractNumId w:val="4"/>
  </w:num>
  <w:num w:numId="5" w16cid:durableId="1960794910">
    <w:abstractNumId w:val="7"/>
  </w:num>
  <w:num w:numId="6" w16cid:durableId="2121415484">
    <w:abstractNumId w:val="3"/>
  </w:num>
  <w:num w:numId="7" w16cid:durableId="55666669">
    <w:abstractNumId w:val="2"/>
  </w:num>
  <w:num w:numId="8" w16cid:durableId="1597666146">
    <w:abstractNumId w:val="1"/>
  </w:num>
  <w:num w:numId="9" w16cid:durableId="1266041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167"/>
    <w:rsid w:val="00324285"/>
    <w:rsid w:val="00326F90"/>
    <w:rsid w:val="00560F98"/>
    <w:rsid w:val="00AA1D8D"/>
    <w:rsid w:val="00B47730"/>
    <w:rsid w:val="00C77D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EF08A"/>
  <w14:defaultImageDpi w14:val="300"/>
  <w15:docId w15:val="{D62E1F1A-1F7C-1A40-87EF-14D2F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tulo1">
    <w:name w:val="AE Título 1"/>
    <w:pPr>
      <w:spacing w:before="240" w:after="120" w:line="360" w:lineRule="exact"/>
      <w:jc w:val="center"/>
    </w:pPr>
    <w:rPr>
      <w:rFonts w:ascii="Georgia" w:hAnsi="Georgia"/>
      <w:b/>
      <w:color w:val="0B2341"/>
      <w:sz w:val="28"/>
    </w:rPr>
  </w:style>
  <w:style w:type="paragraph" w:customStyle="1" w:styleId="AETtulo2">
    <w:name w:val="AE Título 2"/>
    <w:pPr>
      <w:spacing w:before="200" w:after="80" w:line="360" w:lineRule="exact"/>
    </w:pPr>
    <w:rPr>
      <w:rFonts w:ascii="Georgia" w:hAnsi="Georgia"/>
      <w:b/>
      <w:color w:val="0B2341"/>
      <w:sz w:val="24"/>
    </w:rPr>
  </w:style>
  <w:style w:type="paragraph" w:customStyle="1" w:styleId="AETtulo3">
    <w:name w:val="AE Título 3"/>
    <w:pPr>
      <w:spacing w:before="160" w:after="80" w:line="360" w:lineRule="exact"/>
    </w:pPr>
    <w:rPr>
      <w:rFonts w:ascii="Georgia" w:hAnsi="Georgia"/>
      <w:b/>
      <w:i/>
      <w:color w:val="173A63"/>
    </w:rPr>
  </w:style>
  <w:style w:type="paragraph" w:customStyle="1" w:styleId="AECorpo">
    <w:name w:val="AE Corpo"/>
    <w:pPr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AECitao">
    <w:name w:val="AE Citação"/>
    <w:pPr>
      <w:spacing w:before="120" w:after="120" w:line="340" w:lineRule="exact"/>
      <w:jc w:val="both"/>
    </w:pPr>
    <w:rPr>
      <w:rFonts w:ascii="Times New Roman" w:hAnsi="Times New Roman"/>
      <w:i/>
      <w:color w:val="173A63"/>
    </w:rPr>
  </w:style>
  <w:style w:type="paragraph" w:customStyle="1" w:styleId="AENota">
    <w:name w:val="AE Nota"/>
    <w:pPr>
      <w:spacing w:after="60" w:line="240" w:lineRule="exact"/>
    </w:pPr>
    <w:rPr>
      <w:rFonts w:ascii="Arial" w:hAnsi="Arial"/>
      <w:color w:val="8A9099"/>
      <w:sz w:val="18"/>
    </w:rPr>
  </w:style>
  <w:style w:type="paragraph" w:customStyle="1" w:styleId="AEEndereamento">
    <w:name w:val="AE Endereçamento"/>
    <w:pPr>
      <w:spacing w:after="80" w:line="360" w:lineRule="exact"/>
    </w:pPr>
    <w:rPr>
      <w:rFonts w:ascii="Times New Roman" w:hAnsi="Times New Roman"/>
      <w:b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color w:val="B69A5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319</Words>
  <Characters>1788</Characters>
  <Application>Microsoft Office Word</Application>
  <DocSecurity>0</DocSecurity>
  <Lines>61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Epifanio</cp:lastModifiedBy>
  <cp:revision>2</cp:revision>
  <cp:lastPrinted>2026-06-30T00:05:00Z</cp:lastPrinted>
  <dcterms:created xsi:type="dcterms:W3CDTF">2013-12-23T23:15:00Z</dcterms:created>
  <dcterms:modified xsi:type="dcterms:W3CDTF">2026-06-30T00:35:00Z</dcterms:modified>
  <cp:category/>
</cp:coreProperties>
</file>