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/>
    <w:p>
      <w:pPr>
        <w:jc w:val="center"/>
      </w:pPr>
      <w:r>
        <w:rPr>
          <w:rFonts w:ascii="Times New Roman" w:hAnsi="Times New Roman"/>
          <w:b/>
          <w:color w:val="0D2340"/>
          <w:sz w:val="32"/>
        </w:rPr>
        <w:t>CONTRARRAZÕES DE APELAÇÃO</w:t>
      </w:r>
    </w:p>
    <w:p>
      <w:pPr>
        <w:jc w:val="center"/>
      </w:pPr>
      <w:r>
        <w:rPr>
          <w:color w:val="0D2340"/>
          <w:sz w:val="20"/>
        </w:rPr>
        <w:t>◆</w:t>
      </w:r>
    </w:p>
    <w:p/>
    <w:p/>
    <w:p>
      <w:pPr>
        <w:jc w:val="center"/>
      </w:pPr>
      <w:r>
        <w:rPr>
          <w:b/>
          <w:i w:val="0"/>
        </w:rPr>
        <w:t>EXCELENTÍSSIMO SENHOR DOUTOR JUIZ DE DIREITO DO JUIZADO DE VIOLÊNCIA DOMÉSTICA E FAMILIAR CONTRA A MULHER DA COMARCA DE FLORES – ESTADO DE CAMPO BELO</w:t>
      </w:r>
    </w:p>
    <w:p/>
    <w:p>
      <w:pPr>
        <w:pStyle w:val="AECorpo"/>
      </w:pPr>
      <w:r>
        <w:rPr>
          <w:b w:val="0"/>
          <w:i w:val="0"/>
        </w:rPr>
        <w:t>Processo nº _____</w:t>
      </w:r>
    </w:p>
    <w:p/>
    <w:p>
      <w:pPr>
        <w:pStyle w:val="AECorpo"/>
      </w:pPr>
      <w:r>
        <w:rPr>
          <w:b w:val="0"/>
          <w:i w:val="0"/>
        </w:rPr>
        <w:t>ALINE, já qualificada nos autos da ação penal em epígrafe, por intermédio de seu advogado infra-assinado, na qualidade de assistente de acusação, vem, respeitosamente, à presença de Vossa Excelência, com fundamento no Art. 600, § 1º, do Código de Processo Penal, apresentar</w:t>
      </w:r>
    </w:p>
    <w:p/>
    <w:p>
      <w:pPr>
        <w:jc w:val="center"/>
      </w:pPr>
      <w:r>
        <w:rPr>
          <w:b/>
          <w:i w:val="0"/>
        </w:rPr>
        <w:t>CONTRARRAZÕES AO RECURSO DE APELAÇÃO</w:t>
      </w:r>
    </w:p>
    <w:p/>
    <w:p>
      <w:pPr>
        <w:pStyle w:val="AECorpo"/>
      </w:pPr>
      <w:r>
        <w:rPr>
          <w:b w:val="0"/>
          <w:i w:val="0"/>
        </w:rPr>
        <w:t>interposto por ARTHUR, requerendo sejam as presentes razões recebidas e encaminhadas ao Egrégio Tribunal de Justiça do Estado de Campo Belo.</w:t>
      </w:r>
    </w:p>
    <w:p/>
    <w:p>
      <w:pPr>
        <w:pStyle w:val="AECorpo"/>
      </w:pPr>
      <w:r>
        <w:rPr>
          <w:b w:val="0"/>
          <w:i w:val="0"/>
        </w:rPr>
        <w:t>Termos em que,</w:t>
      </w:r>
    </w:p>
    <w:p>
      <w:pPr>
        <w:pStyle w:val="AECorpo"/>
      </w:pPr>
      <w:r>
        <w:rPr>
          <w:b w:val="0"/>
          <w:i w:val="0"/>
        </w:rPr>
        <w:t>Pede deferimento.</w:t>
      </w:r>
    </w:p>
    <w:p/>
    <w:p>
      <w:pPr>
        <w:pStyle w:val="AECorpo"/>
      </w:pPr>
      <w:r>
        <w:rPr>
          <w:b w:val="0"/>
          <w:i w:val="0"/>
        </w:rPr>
        <w:t>Comarca de Flores, 09 de junho de 2025.</w:t>
      </w:r>
    </w:p>
    <w:p/>
    <w:p/>
    <w:p/>
    <w:p>
      <w:pPr>
        <w:jc w:val="center"/>
      </w:pPr>
      <w:r>
        <w:rPr>
          <w:b/>
          <w:i w:val="0"/>
        </w:rPr>
        <w:t>Advogado(a)</w:t>
      </w:r>
    </w:p>
    <w:p>
      <w:pPr>
        <w:jc w:val="center"/>
      </w:pPr>
      <w:r>
        <w:rPr>
          <w:b w:val="0"/>
          <w:i w:val="0"/>
        </w:rPr>
        <w:t>OAB/___ nº _____</w:t>
      </w:r>
    </w:p>
    <w:p/>
    <w:p>
      <w:pPr>
        <w:pBdr>
          <w:bottom w:val="single" w:sz="6" w:space="1" w:color="AAAAAA"/>
        </w:pBdr>
      </w:pPr>
    </w:p>
    <w:p/>
    <w:p>
      <w:pPr>
        <w:jc w:val="center"/>
      </w:pPr>
      <w:r>
        <w:rPr>
          <w:b/>
          <w:i w:val="0"/>
        </w:rPr>
        <w:t>EGRÉGIO TRIBUNAL DE JUSTIÇA DO ESTADO DE CAMPO BELO</w:t>
      </w:r>
    </w:p>
    <w:p>
      <w:pPr>
        <w:jc w:val="center"/>
      </w:pPr>
      <w:r>
        <w:rPr>
          <w:b/>
          <w:i w:val="0"/>
        </w:rPr>
        <w:t>COLENDA CÂMARA</w:t>
      </w:r>
    </w:p>
    <w:p>
      <w:pPr>
        <w:jc w:val="center"/>
      </w:pPr>
      <w:r>
        <w:rPr>
          <w:b/>
          <w:i w:val="0"/>
        </w:rPr>
        <w:t>ÍNCLITOS DESEMBARGADORES</w:t>
      </w:r>
    </w:p>
    <w:p/>
    <w:p>
      <w:pPr>
        <w:jc w:val="center"/>
      </w:pPr>
      <w:r>
        <w:rPr>
          <w:rFonts w:ascii="Times New Roman" w:hAnsi="Times New Roman"/>
          <w:b/>
          <w:color w:val="0D2340"/>
          <w:sz w:val="32"/>
        </w:rPr>
        <w:t>CONTRARRAZÕES DE APELAÇÃO</w:t>
      </w:r>
    </w:p>
    <w:p>
      <w:pPr>
        <w:jc w:val="center"/>
      </w:pPr>
      <w:r>
        <w:rPr>
          <w:color w:val="0D2340"/>
          <w:sz w:val="20"/>
        </w:rPr>
        <w:t>◆</w:t>
      </w:r>
    </w:p>
    <w:p/>
    <w:p/>
    <w:p>
      <w:pPr>
        <w:pStyle w:val="AECorpo"/>
      </w:pPr>
      <w:r>
        <w:rPr>
          <w:b w:val="0"/>
          <w:i w:val="0"/>
        </w:rPr>
        <w:t>Apelante: Arthur</w:t>
      </w:r>
    </w:p>
    <w:p>
      <w:pPr>
        <w:pStyle w:val="AECorpo"/>
      </w:pPr>
      <w:r>
        <w:rPr>
          <w:b w:val="0"/>
          <w:i w:val="0"/>
        </w:rPr>
        <w:t>Apelada: Aline</w:t>
      </w:r>
    </w:p>
    <w:p/>
    <w:p>
      <w:pPr>
        <w:pStyle w:val="AETtulo2"/>
      </w:pPr>
      <w:r>
        <w:rPr>
          <w:b/>
          <w:i w:val="0"/>
        </w:rPr>
        <w:t>I – DA TEMPESTIVIDADE</w:t>
      </w:r>
    </w:p>
    <w:p/>
    <w:p>
      <w:pPr>
        <w:pStyle w:val="AECorpo"/>
      </w:pPr>
      <w:r>
        <w:rPr>
          <w:b w:val="0"/>
          <w:i w:val="0"/>
        </w:rPr>
        <w:t>A intimação da assistente de acusação ocorreu em 30 de maio de 2025, sexta-feira.</w:t>
      </w:r>
    </w:p>
    <w:p/>
    <w:p>
      <w:pPr>
        <w:pStyle w:val="AECorpo"/>
      </w:pPr>
      <w:r>
        <w:rPr>
          <w:b w:val="0"/>
          <w:i w:val="0"/>
        </w:rPr>
        <w:t>Nos termos do Art. 600, § 1º, do Código de Processo Penal, o prazo para apresentação das contrarrazões é de 08 (oito) dias.</w:t>
      </w:r>
    </w:p>
    <w:p/>
    <w:p>
      <w:pPr>
        <w:pStyle w:val="AECorpo"/>
      </w:pPr>
      <w:r>
        <w:rPr>
          <w:b w:val="0"/>
          <w:i w:val="0"/>
        </w:rPr>
        <w:t>Dessa forma, iniciando-se a contagem em 02 de junho de 2025 (segunda-feira), o termo final ocorreu em 09 de junho de 2025 (segunda-feira), razão pela qual as presentes contrarrazões são tempestivas.</w:t>
      </w:r>
    </w:p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Data</w:t>
            </w:r>
          </w:p>
        </w:tc>
        <w:tc>
          <w:tcPr>
            <w:tcW w:type="dxa" w:w="2339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Fato</w:t>
            </w:r>
          </w:p>
        </w:tc>
        <w:tc>
          <w:tcPr>
            <w:tcW w:type="dxa" w:w="2339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Documento</w:t>
            </w:r>
          </w:p>
        </w:tc>
        <w:tc>
          <w:tcPr>
            <w:tcW w:type="dxa" w:w="2339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Observação</w:t>
            </w:r>
          </w:p>
        </w:tc>
      </w:tr>
      <w:tr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30/05/2025 (sexta-feira)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Intimação da assistente de acusação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02/06/2025 (segunda-feira)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Início da contagem do prazo (Art. 600, § 1º, CPP)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09/06/2025 (segunda-feira)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Termo final do prazo; apresentação das contrarrazões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Tempestiva</w:t>
            </w:r>
          </w:p>
        </w:tc>
      </w:tr>
    </w:tbl>
    <w:p/>
    <w:p/>
    <w:p>
      <w:pPr>
        <w:pStyle w:val="AETtulo2"/>
      </w:pPr>
      <w:r>
        <w:rPr>
          <w:b/>
          <w:i w:val="0"/>
        </w:rPr>
        <w:t>II – SÍNTESE PROCESSUAL</w:t>
      </w:r>
    </w:p>
    <w:p/>
    <w:p>
      <w:pPr>
        <w:pStyle w:val="AECorpo"/>
      </w:pPr>
      <w:r>
        <w:rPr>
          <w:b w:val="0"/>
          <w:i w:val="0"/>
        </w:rPr>
        <w:t>O apelante foi denunciado pela prática do crime de lesão corporal leve praticada em contexto de violência doméstica e familiar contra a mulher, previsto no Art. 129, § 13, do Código Penal, após desferir um chute em sua esposa Aline, causando-lhe lesões corporais devidamente constatadas em laudo médico.</w:t>
      </w:r>
    </w:p>
    <w:p/>
    <w:p>
      <w:pPr>
        <w:pStyle w:val="AECorpo"/>
      </w:pPr>
      <w:r>
        <w:rPr>
          <w:b w:val="0"/>
          <w:i w:val="0"/>
        </w:rPr>
        <w:t>Após regular instrução criminal, foi proferida sentença condenatória, fixando-se a pena de 02 (dois) anos de reclusão, em regime aberto, concedendo-se a suspensão condicional da pena, além da condenação ao pagamento de indenização mínima pelos danos sofridos pela vítima.</w:t>
      </w:r>
    </w:p>
    <w:p/>
    <w:p>
      <w:pPr>
        <w:pStyle w:val="AECorpo"/>
      </w:pPr>
      <w:r>
        <w:rPr>
          <w:b w:val="0"/>
          <w:i w:val="0"/>
        </w:rPr>
        <w:t>Irresignado, o réu interpôs recurso de apelação, o qual não merece prosperar.</w:t>
      </w:r>
    </w:p>
    <w:p/>
    <w:p>
      <w:pPr>
        <w:pStyle w:val="AETtulo2"/>
      </w:pPr>
      <w:r>
        <w:rPr>
          <w:b/>
          <w:i w:val="0"/>
        </w:rPr>
        <w:t>III – DAS PRELIMINARES SUSCITADAS PELO APELANTE</w:t>
      </w:r>
    </w:p>
    <w:p/>
    <w:p>
      <w:pPr>
        <w:pStyle w:val="AETtulo3"/>
      </w:pPr>
      <w:r>
        <w:rPr>
          <w:b w:val="0"/>
          <w:i w:val="0"/>
        </w:rPr>
        <w:t>1. Da inexistência de nulidade por ausência de representação</w:t>
      </w:r>
    </w:p>
    <w:p/>
    <w:p>
      <w:pPr>
        <w:pStyle w:val="AECorpo"/>
      </w:pPr>
      <w:r>
        <w:rPr>
          <w:b w:val="0"/>
          <w:i w:val="0"/>
        </w:rPr>
        <w:t>Não merece acolhimento a alegação de nulidade do processo por ausência de representação da vítima.</w:t>
      </w:r>
    </w:p>
    <w:p/>
    <w:p>
      <w:pPr>
        <w:pStyle w:val="AECorpo"/>
      </w:pPr>
      <w:r>
        <w:rPr>
          <w:b w:val="0"/>
          <w:i w:val="0"/>
        </w:rPr>
        <w:t>A ação penal relativa ao crime de lesão corporal praticado em contexto de violência doméstica e familiar contra a mulher é pública incondicionada.</w:t>
      </w:r>
    </w:p>
    <w:p/>
    <w:p>
      <w:pPr>
        <w:pStyle w:val="AECorpo"/>
      </w:pPr>
      <w:r>
        <w:rPr>
          <w:b w:val="0"/>
          <w:i w:val="0"/>
        </w:rPr>
        <w:t>O Supremo Tribunal Federal, ao julgar a ADI 4.424, consolidou o entendimento de que a ação penal nos crimes de lesão corporal resultantes de violência doméstica é pública incondicionada, afastando a incidência do Art. 88 da Lei nº 9.099/95.</w:t>
      </w:r>
    </w:p>
    <w:p/>
    <w:p>
      <w:pPr>
        <w:pStyle w:val="AECorpo"/>
      </w:pPr>
      <w:r>
        <w:rPr>
          <w:b w:val="0"/>
          <w:i w:val="0"/>
        </w:rPr>
        <w:t>Assim, inexigível qualquer representação da ofendida para o regular prosseguimento da persecução penal.</w:t>
      </w:r>
    </w:p>
    <w:p/>
    <w:p>
      <w:pPr>
        <w:pStyle w:val="AETtulo3"/>
      </w:pPr>
      <w:r>
        <w:rPr>
          <w:b w:val="0"/>
          <w:i w:val="0"/>
        </w:rPr>
        <w:t>2. Da inexistência de cerceamento de defesa</w:t>
      </w:r>
    </w:p>
    <w:p/>
    <w:p>
      <w:pPr>
        <w:pStyle w:val="AECorpo"/>
      </w:pPr>
      <w:r>
        <w:rPr>
          <w:b w:val="0"/>
          <w:i w:val="0"/>
        </w:rPr>
        <w:t>Também não prospera a alegação de cerceamento de defesa pelo indeferimento de perguntas relativas à vida sexual da vítima.</w:t>
      </w:r>
    </w:p>
    <w:p/>
    <w:p>
      <w:pPr>
        <w:pStyle w:val="AECorpo"/>
      </w:pPr>
      <w:r>
        <w:rPr>
          <w:b w:val="0"/>
          <w:i w:val="0"/>
        </w:rPr>
        <w:t>As perguntas formuladas eram manifestamente impertinentes e sem qualquer relevância para o deslinde da causa, razão pela qual corretamente indeferidas pelo magistrado, nos termos do Art. 400, § 1º, do CPP.</w:t>
      </w:r>
    </w:p>
    <w:p/>
    <w:p>
      <w:pPr>
        <w:pStyle w:val="AECorpo"/>
      </w:pPr>
      <w:r>
        <w:rPr>
          <w:b w:val="0"/>
          <w:i w:val="0"/>
        </w:rPr>
        <w:t>Além disso, a proteção da dignidade da vítima e a vedação à revitimização constituem diretrizes fundamentais nos processos envolvendo violência doméstica e familiar contra a mulher.</w:t>
      </w:r>
    </w:p>
    <w:p/>
    <w:p>
      <w:pPr>
        <w:pStyle w:val="AECorpo"/>
      </w:pPr>
      <w:r>
        <w:rPr>
          <w:b w:val="0"/>
          <w:i w:val="0"/>
        </w:rPr>
        <w:t>Desse modo, inexistiu qualquer prejuízo à defesa, incidindo, inclusive, o princípio pas de nullité sans grief.</w:t>
      </w:r>
    </w:p>
    <w:p/>
    <w:p>
      <w:pPr>
        <w:pStyle w:val="AETtulo2"/>
      </w:pPr>
      <w:r>
        <w:rPr>
          <w:b/>
          <w:i w:val="0"/>
        </w:rPr>
        <w:t>IV – DO MÉRITO</w:t>
      </w:r>
    </w:p>
    <w:p/>
    <w:p>
      <w:pPr>
        <w:pStyle w:val="AETtulo3"/>
      </w:pPr>
      <w:r>
        <w:rPr>
          <w:b w:val="0"/>
          <w:i w:val="0"/>
        </w:rPr>
        <w:t>1. Da comprovação da materialidade delitiva</w:t>
      </w:r>
    </w:p>
    <w:p/>
    <w:p>
      <w:pPr>
        <w:pStyle w:val="AECorpo"/>
      </w:pPr>
      <w:r>
        <w:rPr>
          <w:b w:val="0"/>
          <w:i w:val="0"/>
        </w:rPr>
        <w:t>A alegação de ausência de prova da materialidade delitiva igualmente não merece prosperar.</w:t>
      </w:r>
    </w:p>
    <w:p/>
    <w:p>
      <w:pPr>
        <w:pStyle w:val="AECorpo"/>
      </w:pPr>
      <w:r>
        <w:rPr>
          <w:b w:val="0"/>
          <w:i w:val="0"/>
        </w:rPr>
        <w:t>Embora o delito seja daqueles que deixam vestígios, o Art. 167 e 158 do CPP admite a realização de exame indireto quando impossível o exame de corpo de delito direto.</w:t>
      </w:r>
    </w:p>
    <w:p/>
    <w:p>
      <w:pPr>
        <w:pStyle w:val="AECorpo"/>
      </w:pPr>
      <w:r>
        <w:rPr>
          <w:b w:val="0"/>
          <w:i w:val="0"/>
        </w:rPr>
        <w:t>No caso concreto, a materialidade foi devidamente demonstrada por laudo médico subscrito por profissional do hospital particular onde a vítima recebeu atendimento.</w:t>
      </w:r>
    </w:p>
    <w:p/>
    <w:p>
      <w:pPr>
        <w:pStyle w:val="AECorpo"/>
      </w:pPr>
      <w:r>
        <w:rPr>
          <w:b w:val="0"/>
          <w:i w:val="0"/>
        </w:rPr>
        <w:t>O documento é plenamente idôneo para comprovar as lesões sofridas, especialmente porque elaborado por médico regularmente habilitado.</w:t>
      </w:r>
    </w:p>
    <w:p/>
    <w:p>
      <w:pPr>
        <w:pStyle w:val="AECorpo"/>
      </w:pPr>
      <w:r>
        <w:rPr>
          <w:b w:val="0"/>
          <w:i w:val="0"/>
        </w:rPr>
        <w:t>A jurisprudência consolidada admite que prontuários, relatórios e laudos médicos particulares constituam meios aptos à comprovação da materialidade delitiva em crimes de lesão corporal.</w:t>
      </w:r>
    </w:p>
    <w:p/>
    <w:p>
      <w:pPr>
        <w:pStyle w:val="AECorpo"/>
      </w:pPr>
      <w:r>
        <w:rPr>
          <w:b w:val="0"/>
          <w:i w:val="0"/>
        </w:rPr>
        <w:t>Além disso, a palavra da vítima possui especial relevância nos delitos praticados em âmbito doméstico e familiar, sobretudo quando harmônica com os demais elementos de prova.</w:t>
      </w:r>
    </w:p>
    <w:p/>
    <w:p>
      <w:pPr>
        <w:pStyle w:val="AETtulo3"/>
      </w:pPr>
      <w:r>
        <w:rPr>
          <w:b w:val="0"/>
          <w:i w:val="0"/>
        </w:rPr>
        <w:t>2. Da impossibilidade de reconhecimento da inimputabilidade por embriaguez voluntária</w:t>
      </w:r>
    </w:p>
    <w:p/>
    <w:p>
      <w:pPr>
        <w:pStyle w:val="AECorpo"/>
      </w:pPr>
      <w:r>
        <w:rPr>
          <w:b w:val="0"/>
          <w:i w:val="0"/>
        </w:rPr>
        <w:t>Também não merece acolhimento a tese defensiva de inimputabilidade.</w:t>
      </w:r>
    </w:p>
    <w:p/>
    <w:p>
      <w:pPr>
        <w:pStyle w:val="AECorpo"/>
      </w:pPr>
      <w:r>
        <w:rPr>
          <w:b w:val="0"/>
          <w:i w:val="0"/>
        </w:rPr>
        <w:t>O próprio recorrente afirmou que passou o dia ingerindo bebidas alcoólicas com amigos enquanto assistia à partida de futebol, restando evidenciada a voluntariedade da embriaguez.</w:t>
      </w:r>
    </w:p>
    <w:p/>
    <w:p>
      <w:pPr>
        <w:pStyle w:val="AECorpo"/>
      </w:pPr>
      <w:r>
        <w:rPr>
          <w:b w:val="0"/>
          <w:i w:val="0"/>
        </w:rPr>
        <w:t>Nos termos do Art. 28, inciso II, do Código Penal, a embriaguez voluntária ou culposa pelo álcool não exclui a imputabilidade penal.</w:t>
      </w:r>
    </w:p>
    <w:p/>
    <w:p>
      <w:pPr>
        <w:pStyle w:val="AECorpo"/>
      </w:pPr>
      <w:r>
        <w:rPr>
          <w:b w:val="0"/>
          <w:i w:val="0"/>
        </w:rPr>
        <w:t>Somente a embriaguez completa proveniente de caso fortuito ou força maior poderia excluir a culpabilidade, hipótese absolutamente inexistente nos autos.</w:t>
      </w:r>
    </w:p>
    <w:p/>
    <w:p>
      <w:pPr>
        <w:pStyle w:val="AECorpo"/>
      </w:pPr>
      <w:r>
        <w:rPr>
          <w:b w:val="0"/>
          <w:i w:val="0"/>
        </w:rPr>
        <w:t>Logo, correta a condenação do apelante.</w:t>
      </w:r>
    </w:p>
    <w:p/>
    <w:p>
      <w:pPr>
        <w:pStyle w:val="AETtulo3"/>
      </w:pPr>
      <w:r>
        <w:rPr>
          <w:b w:val="0"/>
          <w:i w:val="0"/>
        </w:rPr>
        <w:t>3. Da impossibilidade de substituição da pena privativa de liberdade por restritiva de direitos</w:t>
      </w:r>
    </w:p>
    <w:p/>
    <w:p>
      <w:pPr>
        <w:pStyle w:val="AECorpo"/>
      </w:pPr>
      <w:r>
        <w:rPr>
          <w:b w:val="0"/>
          <w:i w:val="0"/>
        </w:rPr>
        <w:t>Não assiste razão ao apelante quanto ao pedido subsidiário de substituição da pena privativa de liberdade por restritiva de direitos.</w:t>
      </w:r>
    </w:p>
    <w:p/>
    <w:p>
      <w:pPr>
        <w:pStyle w:val="AECorpo"/>
      </w:pPr>
      <w:r>
        <w:rPr>
          <w:b w:val="0"/>
          <w:i w:val="0"/>
        </w:rPr>
        <w:t>O Art. 44, inciso I, do Código Penal veda a substituição quando o crime for cometido com violência ou grave ameaça à pessoa.</w:t>
      </w:r>
    </w:p>
    <w:p/>
    <w:p>
      <w:pPr>
        <w:pStyle w:val="AECorpo"/>
      </w:pPr>
      <w:r>
        <w:rPr>
          <w:b w:val="0"/>
          <w:i w:val="0"/>
        </w:rPr>
        <w:t>Além disso, a Lei Maria da Penha expressamente proíbe a aplicação isolada de pena de prestação pecuniária nos casos de violência doméstica e familiar contra a mulher, conforme dispõe o Art. 17 da Lei nº 11.340/2006.</w:t>
      </w:r>
    </w:p>
    <w:p/>
    <w:p>
      <w:pPr>
        <w:pStyle w:val="AECorpo"/>
      </w:pPr>
      <w:r>
        <w:rPr>
          <w:b w:val="0"/>
          <w:i w:val="0"/>
        </w:rPr>
        <w:t>Dessa forma, inviável a pretendida substituição da pena privativa de liberdade por duas penas de prestação pecuniária.</w:t>
      </w:r>
    </w:p>
    <w:p/>
    <w:p>
      <w:pPr>
        <w:pStyle w:val="AECorpo"/>
      </w:pPr>
      <w:r>
        <w:rPr>
          <w:b w:val="0"/>
          <w:i w:val="0"/>
        </w:rPr>
        <w:t>Ademais, o magistrado já concedeu ao apelante benefício mais favorável, qual seja, a suspensão condicional da pena.</w:t>
      </w:r>
    </w:p>
    <w:p/>
    <w:p>
      <w:pPr>
        <w:pStyle w:val="AETtulo3"/>
      </w:pPr>
      <w:r>
        <w:rPr>
          <w:b w:val="0"/>
          <w:i w:val="0"/>
        </w:rPr>
        <w:t>4. Da manutenção da condenação à reparação mínima dos danos</w:t>
      </w:r>
    </w:p>
    <w:p/>
    <w:p>
      <w:pPr>
        <w:pStyle w:val="AECorpo"/>
      </w:pPr>
      <w:r>
        <w:rPr>
          <w:b w:val="0"/>
          <w:i w:val="0"/>
        </w:rPr>
        <w:t>Deve ser mantida a condenação ao pagamento de indenização mínima no valor de R$ 1.000,00.</w:t>
      </w:r>
    </w:p>
    <w:p/>
    <w:p>
      <w:pPr>
        <w:pStyle w:val="AECorpo"/>
      </w:pPr>
      <w:r>
        <w:rPr>
          <w:b w:val="0"/>
          <w:i w:val="0"/>
        </w:rPr>
        <w:t>O Art. 387, inciso IV, do CPP autoriza expressamente o magistrado criminal a fixar valor mínimo para reparação dos danos causados pela infração penal.</w:t>
      </w:r>
    </w:p>
    <w:p/>
    <w:p>
      <w:pPr>
        <w:pStyle w:val="AECorpo"/>
      </w:pPr>
      <w:r>
        <w:rPr>
          <w:b w:val="0"/>
          <w:i w:val="0"/>
        </w:rPr>
        <w:t>No caso concreto, houve requerimento expresso do Ministério Público na denúncia, bem como juntada dos comprovantes das despesas médicas suportadas pela vítima.</w:t>
      </w:r>
    </w:p>
    <w:p/>
    <w:p>
      <w:pPr>
        <w:pStyle w:val="AECorpo"/>
      </w:pPr>
      <w:r>
        <w:rPr>
          <w:b w:val="0"/>
          <w:i w:val="0"/>
        </w:rPr>
        <w:t>Foram observados o contraditório e a ampla defesa, inexistindo qualquer nulidade.</w:t>
      </w:r>
    </w:p>
    <w:p/>
    <w:p>
      <w:pPr>
        <w:pStyle w:val="AECorpo"/>
      </w:pPr>
      <w:r>
        <w:rPr>
          <w:b w:val="0"/>
          <w:i w:val="0"/>
        </w:rPr>
        <w:t>A fixação do valor mínimo indenizatório na sentença penal condenatória não impede eventual complementação perante o Juízo cível.</w:t>
      </w:r>
    </w:p>
    <w:p/>
    <w:p>
      <w:pPr>
        <w:pStyle w:val="AECorpo"/>
      </w:pPr>
      <w:r>
        <w:rPr>
          <w:b w:val="0"/>
          <w:i w:val="0"/>
        </w:rPr>
        <w:t>Logo, correta a sentença também nesse ponto.</w:t>
      </w:r>
    </w:p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Tipo de dano</w:t>
            </w:r>
          </w:p>
        </w:tc>
        <w:tc>
          <w:tcPr>
            <w:tcW w:type="dxa" w:w="2339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Valor</w:t>
            </w:r>
          </w:p>
        </w:tc>
        <w:tc>
          <w:tcPr>
            <w:tcW w:type="dxa" w:w="2339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Documento/Prova</w:t>
            </w:r>
          </w:p>
        </w:tc>
        <w:tc>
          <w:tcPr>
            <w:tcW w:type="dxa" w:w="2339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Base/Observação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Reparação mínima dos danos sofridos pela vítima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R$ 1.000,00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Comprovantes das despesas médicas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Art. 387, IV, CPP; requerimento do MP na denúncia; não impede complementação no cível</w:t>
            </w:r>
          </w:p>
        </w:tc>
      </w:tr>
    </w:tbl>
    <w:p/>
    <w:p/>
    <w:p>
      <w:pPr>
        <w:jc w:val="center"/>
      </w:pPr>
      <w:r>
        <w:rPr>
          <w:rFonts w:ascii="Times New Roman" w:hAnsi="Times New Roman"/>
          <w:b w:val="0"/>
          <w:color w:val="0D2340"/>
          <w:sz w:val="22"/>
          <w:spacing w:val="80"/>
        </w:rPr>
        <w:t>QUADRO-SÍNTESE — TESES DO APELANTE E REFUTAÇÃO</w:t>
      </w:r>
    </w:p>
    <w:p>
      <w:pPr>
        <w:jc w:val="center"/>
      </w:pPr>
      <w:r>
        <w:rPr>
          <w:color w:val="0D2340"/>
          <w:sz w:val="16"/>
        </w:rPr>
        <w:t>◆</w:t>
      </w:r>
    </w:p>
    <w:p/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Alegação do apelante</w:t>
            </w:r>
          </w:p>
        </w:tc>
        <w:tc>
          <w:tcPr>
            <w:tcW w:type="dxa" w:w="3118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Refutação da apelada</w:t>
            </w:r>
          </w:p>
        </w:tc>
        <w:tc>
          <w:tcPr>
            <w:tcW w:type="dxa" w:w="3118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Documento/Âncora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 w:val="0"/>
                <w:i w:val="0"/>
              </w:rPr>
              <w:t>Nulidade por ausência de representação da vítima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i w:val="0"/>
              </w:rPr>
              <w:t>Ação penal pública incondicionada; afasta o Art. 88 da Lei 9.099/95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i w:val="0"/>
              </w:rPr>
              <w:t>Art. 88, Lei 9.099/95; ADI 4.424 STF</w:t>
            </w:r>
          </w:p>
        </w:tc>
      </w:tr>
      <w:tr>
        <w:tc>
          <w:tcPr>
            <w:tcW w:type="dxa" w:w="3118"/>
            <w:shd w:val="clear" w:color="auto" w:fill="F8F8F6"/>
          </w:tcPr>
          <w:p>
            <w:r>
              <w:rPr>
                <w:b w:val="0"/>
                <w:i w:val="0"/>
              </w:rPr>
              <w:t>Cerceamento de defesa (indeferimento de perguntas sobre vida sexual da vítima)</w:t>
            </w:r>
          </w:p>
        </w:tc>
        <w:tc>
          <w:tcPr>
            <w:tcW w:type="dxa" w:w="3118"/>
            <w:shd w:val="clear" w:color="auto" w:fill="F8F8F6"/>
          </w:tcPr>
          <w:p>
            <w:r>
              <w:rPr>
                <w:b w:val="0"/>
                <w:i w:val="0"/>
              </w:rPr>
              <w:t>Perguntas impertinentes e sem relevância; indeferimento correto; proteção à dignidade da vítima e vedação à revitimização; ausência de prejuízo (pas de nullité sans grief)</w:t>
            </w:r>
          </w:p>
        </w:tc>
        <w:tc>
          <w:tcPr>
            <w:tcW w:type="dxa" w:w="3118"/>
            <w:shd w:val="clear" w:color="auto" w:fill="F8F8F6"/>
          </w:tcPr>
          <w:p>
            <w:r>
              <w:rPr>
                <w:b w:val="0"/>
                <w:i w:val="0"/>
              </w:rPr>
              <w:t>Art. 400, § 1º, CPP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 w:val="0"/>
                <w:i w:val="0"/>
              </w:rPr>
              <w:t>Ausência de prova da materialidade delitiva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i w:val="0"/>
              </w:rPr>
              <w:t>Laudo médico particular idôneo; exame indireto admitido quando inviável o direto; jurisprudência admite laudos particulares; palavra da vítima relevante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i w:val="0"/>
              </w:rPr>
              <w:t>Arts. 158 e 167, CPP; laudo médico</w:t>
            </w:r>
          </w:p>
        </w:tc>
      </w:tr>
      <w:tr>
        <w:tc>
          <w:tcPr>
            <w:tcW w:type="dxa" w:w="3118"/>
            <w:shd w:val="clear" w:color="auto" w:fill="F8F8F6"/>
          </w:tcPr>
          <w:p>
            <w:r>
              <w:rPr>
                <w:b w:val="0"/>
                <w:i w:val="0"/>
              </w:rPr>
              <w:t>Inimputabilidade por embriaguez voluntária</w:t>
            </w:r>
          </w:p>
        </w:tc>
        <w:tc>
          <w:tcPr>
            <w:tcW w:type="dxa" w:w="3118"/>
            <w:shd w:val="clear" w:color="auto" w:fill="F8F8F6"/>
          </w:tcPr>
          <w:p>
            <w:r>
              <w:rPr>
                <w:b w:val="0"/>
                <w:i w:val="0"/>
              </w:rPr>
              <w:t>Embriaguez voluntária ou culposa não exclui a imputabilidade; só embriaguez completa por caso fortuito/força maior excluiria a culpabilidade, hipótese inexistente nos autos</w:t>
            </w:r>
          </w:p>
        </w:tc>
        <w:tc>
          <w:tcPr>
            <w:tcW w:type="dxa" w:w="3118"/>
            <w:shd w:val="clear" w:color="auto" w:fill="F8F8F6"/>
          </w:tcPr>
          <w:p>
            <w:r>
              <w:rPr>
                <w:b w:val="0"/>
                <w:i w:val="0"/>
              </w:rPr>
              <w:t>Art. 28, II, CP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 w:val="0"/>
                <w:i w:val="0"/>
              </w:rPr>
              <w:t>Substituição da pena privativa de liberdade por restritiva de direitos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i w:val="0"/>
              </w:rPr>
              <w:t>Vedada a substituição em crime com violência/grave ameaça; vedada a prestação pecuniária isolada em violência doméstica; já concedida a suspensão condicional da pena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i w:val="0"/>
              </w:rPr>
              <w:t>Art. 44, I, CP; Art. 17, Lei 11.340/2006</w:t>
            </w:r>
          </w:p>
        </w:tc>
      </w:tr>
      <w:tr>
        <w:tc>
          <w:tcPr>
            <w:tcW w:type="dxa" w:w="3118"/>
            <w:shd w:val="clear" w:color="auto" w:fill="F8F8F6"/>
          </w:tcPr>
          <w:p>
            <w:r>
              <w:rPr>
                <w:b w:val="0"/>
                <w:i w:val="0"/>
              </w:rPr>
              <w:t>Impugnação do valor da reparação mínima (R$ 1.000,00)</w:t>
            </w:r>
          </w:p>
        </w:tc>
        <w:tc>
          <w:tcPr>
            <w:tcW w:type="dxa" w:w="3118"/>
            <w:shd w:val="clear" w:color="auto" w:fill="F8F8F6"/>
          </w:tcPr>
          <w:p>
            <w:r>
              <w:rPr>
                <w:b w:val="0"/>
                <w:i w:val="0"/>
              </w:rPr>
              <w:t>Fixação autorizada; houve requerimento do MP na denúncia e comprovantes das despesas médicas; contraditório e ampla defesa observados</w:t>
            </w:r>
          </w:p>
        </w:tc>
        <w:tc>
          <w:tcPr>
            <w:tcW w:type="dxa" w:w="3118"/>
            <w:shd w:val="clear" w:color="auto" w:fill="F8F8F6"/>
          </w:tcPr>
          <w:p>
            <w:r>
              <w:rPr>
                <w:b w:val="0"/>
                <w:i w:val="0"/>
              </w:rPr>
              <w:t>Art. 387, IV, CPP</w:t>
            </w:r>
          </w:p>
        </w:tc>
      </w:tr>
    </w:tbl>
    <w:p/>
    <w:p/>
    <w:p>
      <w:pPr>
        <w:pStyle w:val="AETtulo2"/>
      </w:pPr>
      <w:r>
        <w:rPr>
          <w:b/>
          <w:i w:val="0"/>
        </w:rPr>
        <w:t>V – DO PEDIDO</w:t>
      </w:r>
    </w:p>
    <w:p/>
    <w:p>
      <w:pPr>
        <w:pStyle w:val="AECorpo"/>
      </w:pPr>
      <w:r>
        <w:rPr>
          <w:b w:val="0"/>
          <w:i w:val="0"/>
        </w:rPr>
        <w:t>Diante do exposto, requer a apelada sejam rejeitadas todas as preliminares suscitadas pelo apelante e, no mérito, seja NEGADO PROVIMENTO ao recurso de apelação, mantendo-se integralmente a sentença condenatória.</w:t>
      </w:r>
    </w:p>
    <w:p/>
    <w:p>
      <w:pPr>
        <w:pStyle w:val="AECorpo"/>
      </w:pPr>
      <w:r>
        <w:rPr>
          <w:b w:val="0"/>
          <w:i w:val="0"/>
        </w:rPr>
        <w:t>Em síntese, requer a apelada:</w:t>
      </w:r>
    </w:p>
    <w:p/>
    <w:p>
      <w:pPr>
        <w:pStyle w:val="AECorpo"/>
      </w:pPr>
      <w:r>
        <w:rPr>
          <w:b w:val="0"/>
          <w:i w:val="0"/>
        </w:rPr>
        <w:t>1. A rejeição de todas as preliminares suscitadas pelo apelante.</w:t>
      </w:r>
    </w:p>
    <w:p>
      <w:pPr>
        <w:pStyle w:val="AECorpo"/>
      </w:pPr>
      <w:r>
        <w:rPr>
          <w:b w:val="0"/>
          <w:i w:val="0"/>
        </w:rPr>
        <w:t>2. O desprovimento do recurso de apelação, com a manutenção integral da sentença condenatória.</w:t>
      </w:r>
    </w:p>
    <w:p/>
    <w:p>
      <w:pPr>
        <w:pStyle w:val="AECorpo"/>
      </w:pPr>
      <w:r>
        <w:rPr>
          <w:b w:val="0"/>
          <w:i w:val="0"/>
        </w:rPr>
        <w:t>Termos em que,</w:t>
      </w:r>
    </w:p>
    <w:p>
      <w:pPr>
        <w:pStyle w:val="AECorpo"/>
      </w:pPr>
      <w:r>
        <w:rPr>
          <w:b w:val="0"/>
          <w:i w:val="0"/>
        </w:rPr>
        <w:t>Pede deferimento.</w:t>
      </w:r>
    </w:p>
    <w:p/>
    <w:p>
      <w:pPr>
        <w:pStyle w:val="AECorpo"/>
      </w:pPr>
      <w:r>
        <w:rPr>
          <w:b w:val="0"/>
          <w:i w:val="0"/>
        </w:rPr>
        <w:t>Comarca de Flores, 09 de junho de 2025.</w:t>
      </w:r>
    </w:p>
    <w:p/>
    <w:p/>
    <w:p/>
    <w:p>
      <w:pPr>
        <w:jc w:val="center"/>
      </w:pPr>
      <w:r>
        <w:rPr>
          <w:b/>
          <w:i w:val="0"/>
        </w:rPr>
        <w:t>Advogado(a)</w:t>
      </w:r>
    </w:p>
    <w:p>
      <w:pPr>
        <w:jc w:val="center"/>
      </w:pPr>
      <w:r>
        <w:rPr>
          <w:b w:val="0"/>
          <w:i w:val="0"/>
        </w:rPr>
        <w:t>OAB/___ nº _____</w:t>
      </w:r>
    </w:p>
    <w:sectPr w:rsidR="00324285" w:rsidRPr="00C77D9B" w:rsidSect="00034616">
      <w:headerReference w:type="default" r:id="rId8"/>
      <w:footerReference w:type="default" r:id="rId9"/>
      <w:pgSz w:w="11906" w:h="16838"/>
      <w:pgMar w:top="1134" w:right="1134" w:bottom="1500" w:left="1417" w:header="283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00DEEB" w14:textId="77777777" w:rsidR="00560F98" w:rsidRDefault="00560F98">
      <w:pPr>
        <w:spacing w:after="0" w:line="240" w:lineRule="auto"/>
      </w:pPr>
      <w:r>
        <w:separator/>
      </w:r>
    </w:p>
  </w:endnote>
  <w:endnote w:type="continuationSeparator" w:id="0">
    <w:p w14:paraId="232E5919" w14:textId="77777777" w:rsidR="00560F98" w:rsidRDefault="00560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55CAD8" w14:textId="77777777" w:rsidR="00560F98" w:rsidRDefault="00560F98">
      <w:pPr>
        <w:spacing w:after="0" w:line="240" w:lineRule="auto"/>
      </w:pPr>
      <w:r>
        <w:separator/>
      </w:r>
    </w:p>
  </w:footnote>
  <w:footnote w:type="continuationSeparator" w:id="0">
    <w:p w14:paraId="1B4D2C98" w14:textId="77777777" w:rsidR="00560F98" w:rsidRDefault="00560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617672">
    <w:abstractNumId w:val="8"/>
  </w:num>
  <w:num w:numId="2" w16cid:durableId="2014532668">
    <w:abstractNumId w:val="6"/>
  </w:num>
  <w:num w:numId="3" w16cid:durableId="1158963494">
    <w:abstractNumId w:val="5"/>
  </w:num>
  <w:num w:numId="4" w16cid:durableId="1158497298">
    <w:abstractNumId w:val="4"/>
  </w:num>
  <w:num w:numId="5" w16cid:durableId="1960794910">
    <w:abstractNumId w:val="7"/>
  </w:num>
  <w:num w:numId="6" w16cid:durableId="2121415484">
    <w:abstractNumId w:val="3"/>
  </w:num>
  <w:num w:numId="7" w16cid:durableId="55666669">
    <w:abstractNumId w:val="2"/>
  </w:num>
  <w:num w:numId="8" w16cid:durableId="1597666146">
    <w:abstractNumId w:val="1"/>
  </w:num>
  <w:num w:numId="9" w16cid:durableId="12660413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167"/>
    <w:rsid w:val="00324285"/>
    <w:rsid w:val="00326F90"/>
    <w:rsid w:val="00560F98"/>
    <w:rsid w:val="00AA1D8D"/>
    <w:rsid w:val="00B47730"/>
    <w:rsid w:val="00C77D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BEF08A"/>
  <w14:defaultImageDpi w14:val="300"/>
  <w15:docId w15:val="{D62E1F1A-1F7C-1A40-87EF-14D2F9031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ETtulo1">
    <w:name w:val="AE Título 1"/>
    <w:pPr>
      <w:spacing w:before="240" w:after="120" w:line="360" w:lineRule="exact"/>
      <w:jc w:val="center"/>
    </w:pPr>
    <w:rPr>
      <w:rFonts w:ascii="Georgia" w:hAnsi="Georgia"/>
      <w:b/>
      <w:color w:val="0B2341"/>
      <w:sz w:val="28"/>
    </w:rPr>
  </w:style>
  <w:style w:type="paragraph" w:customStyle="1" w:styleId="AETtulo2">
    <w:name w:val="AE Título 2"/>
    <w:pPr>
      <w:spacing w:before="200" w:after="80" w:line="360" w:lineRule="exact"/>
    </w:pPr>
    <w:rPr>
      <w:rFonts w:ascii="Georgia" w:hAnsi="Georgia"/>
      <w:b/>
      <w:color w:val="0B2341"/>
      <w:sz w:val="24"/>
    </w:rPr>
  </w:style>
  <w:style w:type="paragraph" w:customStyle="1" w:styleId="AETtulo3">
    <w:name w:val="AE Título 3"/>
    <w:pPr>
      <w:spacing w:before="160" w:after="80" w:line="360" w:lineRule="exact"/>
    </w:pPr>
    <w:rPr>
      <w:rFonts w:ascii="Georgia" w:hAnsi="Georgia"/>
      <w:b/>
      <w:i/>
      <w:color w:val="173A63"/>
    </w:rPr>
  </w:style>
  <w:style w:type="paragraph" w:customStyle="1" w:styleId="AECorpo">
    <w:name w:val="AE Corpo"/>
    <w:pPr>
      <w:spacing w:after="120" w:line="360" w:lineRule="exact"/>
      <w:jc w:val="both"/>
    </w:pPr>
    <w:rPr>
      <w:rFonts w:ascii="Times New Roman" w:hAnsi="Times New Roman"/>
      <w:sz w:val="24"/>
    </w:rPr>
  </w:style>
  <w:style w:type="paragraph" w:customStyle="1" w:styleId="AECitao">
    <w:name w:val="AE Citação"/>
    <w:pPr>
      <w:spacing w:before="120" w:after="120" w:line="340" w:lineRule="exact"/>
      <w:jc w:val="both"/>
    </w:pPr>
    <w:rPr>
      <w:rFonts w:ascii="Times New Roman" w:hAnsi="Times New Roman"/>
      <w:i/>
      <w:color w:val="173A63"/>
    </w:rPr>
  </w:style>
  <w:style w:type="paragraph" w:customStyle="1" w:styleId="AENota">
    <w:name w:val="AE Nota"/>
    <w:pPr>
      <w:spacing w:after="60" w:line="240" w:lineRule="exact"/>
    </w:pPr>
    <w:rPr>
      <w:rFonts w:ascii="Arial" w:hAnsi="Arial"/>
      <w:color w:val="8A9099"/>
      <w:sz w:val="18"/>
    </w:rPr>
  </w:style>
  <w:style w:type="paragraph" w:customStyle="1" w:styleId="AEEndereamento">
    <w:name w:val="AE Endereçamento"/>
    <w:pPr>
      <w:spacing w:after="80" w:line="360" w:lineRule="exact"/>
    </w:pPr>
    <w:rPr>
      <w:rFonts w:ascii="Times New Roman" w:hAnsi="Times New Roman"/>
      <w:b/>
      <w:sz w:val="24"/>
    </w:rPr>
  </w:style>
  <w:style w:type="paragraph" w:customStyle="1" w:styleId="AEOrnamento">
    <w:name w:val="AE Ornamento"/>
    <w:pPr>
      <w:spacing w:before="80" w:after="80" w:line="240" w:lineRule="exact"/>
      <w:jc w:val="center"/>
    </w:pPr>
    <w:rPr>
      <w:rFonts w:ascii="Georgia" w:hAnsi="Georgia"/>
      <w:color w:val="B69A5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319</Words>
  <Characters>1788</Characters>
  <Application>Microsoft Office Word</Application>
  <DocSecurity>0</DocSecurity>
  <Lines>61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Epifanio</cp:lastModifiedBy>
  <cp:revision>2</cp:revision>
  <cp:lastPrinted>2026-06-30T00:05:00Z</cp:lastPrinted>
  <dcterms:created xsi:type="dcterms:W3CDTF">2013-12-23T23:15:00Z</dcterms:created>
  <dcterms:modified xsi:type="dcterms:W3CDTF">2026-06-30T00:35:00Z</dcterms:modified>
  <cp:category/>
</cp:coreProperties>
</file>