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1617C3A" w14:textId="77777777" w:rsidR="00476A55" w:rsidRDefault="00476A55"/>
    <w:p w14:paraId="63E7665B" w14:textId="77777777" w:rsidR="00476A55" w:rsidRDefault="00000000">
      <w:pPr>
        <w:jc w:val="center"/>
      </w:pPr>
      <w:r>
        <w:rPr>
          <w:b/>
        </w:rPr>
        <w:t>EGRÉGIO TRIBUNAL DE JUSTIÇA DO ESTADO DE SÃO PAULO</w:t>
      </w:r>
    </w:p>
    <w:p w14:paraId="3F4E8E1F" w14:textId="77777777" w:rsidR="00476A55" w:rsidRDefault="00000000">
      <w:pPr>
        <w:jc w:val="center"/>
      </w:pPr>
      <w:r>
        <w:rPr>
          <w:b/>
        </w:rPr>
        <w:t>COLENDA CÂMARA DE DIREITO CRIMINAL</w:t>
      </w:r>
    </w:p>
    <w:p w14:paraId="43AF05AA" w14:textId="77777777" w:rsidR="00476A55" w:rsidRDefault="00476A55"/>
    <w:p w14:paraId="2C7932C3" w14:textId="77777777" w:rsidR="00476A55" w:rsidRDefault="00000000">
      <w:pPr>
        <w:jc w:val="center"/>
      </w:pPr>
      <w:r>
        <w:rPr>
          <w:rFonts w:ascii="Times New Roman" w:hAnsi="Times New Roman"/>
          <w:b/>
          <w:color w:val="0D2340"/>
          <w:sz w:val="32"/>
        </w:rPr>
        <w:t>HABEAS CORPUS</w:t>
      </w:r>
    </w:p>
    <w:p w14:paraId="409D1AD0" w14:textId="77777777" w:rsidR="00476A55" w:rsidRDefault="00000000">
      <w:pPr>
        <w:jc w:val="center"/>
      </w:pPr>
      <w:r>
        <w:rPr>
          <w:rFonts w:ascii="Times New Roman" w:hAnsi="Times New Roman"/>
          <w:b/>
          <w:color w:val="0D2340"/>
          <w:sz w:val="32"/>
        </w:rPr>
        <w:t>COM PEDIDO DE LIMINAR</w:t>
      </w:r>
    </w:p>
    <w:p w14:paraId="661A6B56" w14:textId="77777777" w:rsidR="00476A55" w:rsidRDefault="00000000">
      <w:pPr>
        <w:jc w:val="center"/>
      </w:pPr>
      <w:r>
        <w:rPr>
          <w:color w:val="0D2340"/>
          <w:sz w:val="20"/>
        </w:rPr>
        <w:t>◆</w:t>
      </w:r>
    </w:p>
    <w:p w14:paraId="1E94B0EA" w14:textId="77777777" w:rsidR="00476A55" w:rsidRDefault="00476A55"/>
    <w:p w14:paraId="4953BF59" w14:textId="77777777" w:rsidR="00476A55" w:rsidRDefault="00476A55"/>
    <w:p w14:paraId="2CE097F8" w14:textId="77777777" w:rsidR="00476A55" w:rsidRDefault="00476A55"/>
    <w:p w14:paraId="3F32C861" w14:textId="77777777" w:rsidR="00476A55" w:rsidRDefault="00476A55"/>
    <w:tbl>
      <w:tblPr>
        <w:tblW w:w="5000" w:type="pct"/>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4785"/>
        <w:gridCol w:w="4786"/>
      </w:tblGrid>
      <w:tr w:rsidR="00476A55" w14:paraId="5061316D" w14:textId="77777777">
        <w:tc>
          <w:tcPr>
            <w:tcW w:w="4677" w:type="dxa"/>
            <w:shd w:val="clear" w:color="auto" w:fill="0D2340"/>
          </w:tcPr>
          <w:p w14:paraId="1A3E0F6D" w14:textId="77777777" w:rsidR="00476A55" w:rsidRDefault="00000000">
            <w:pPr>
              <w:spacing w:before="60" w:after="40"/>
              <w:jc w:val="center"/>
            </w:pPr>
            <w:r>
              <w:rPr>
                <w:color w:val="FFFFFF"/>
                <w:spacing w:val="80"/>
                <w:sz w:val="18"/>
              </w:rPr>
              <w:t>IMPETRANTE</w:t>
            </w:r>
          </w:p>
          <w:p w14:paraId="59E2886F" w14:textId="77777777" w:rsidR="00476A55" w:rsidRDefault="00000000">
            <w:pPr>
              <w:spacing w:after="60"/>
              <w:jc w:val="center"/>
            </w:pPr>
            <w:r>
              <w:rPr>
                <w:color w:val="C8D2E1"/>
                <w:sz w:val="14"/>
              </w:rPr>
              <w:t>◆</w:t>
            </w:r>
          </w:p>
        </w:tc>
        <w:tc>
          <w:tcPr>
            <w:tcW w:w="4677" w:type="dxa"/>
            <w:shd w:val="clear" w:color="auto" w:fill="0D2340"/>
          </w:tcPr>
          <w:p w14:paraId="6299013C" w14:textId="77777777" w:rsidR="00476A55" w:rsidRDefault="00000000">
            <w:pPr>
              <w:spacing w:before="60" w:after="40"/>
              <w:jc w:val="center"/>
            </w:pPr>
            <w:r>
              <w:rPr>
                <w:color w:val="FFFFFF"/>
                <w:spacing w:val="80"/>
                <w:sz w:val="18"/>
              </w:rPr>
              <w:t>PACIENTE</w:t>
            </w:r>
          </w:p>
          <w:p w14:paraId="22D13EC1" w14:textId="77777777" w:rsidR="00476A55" w:rsidRDefault="00000000">
            <w:pPr>
              <w:spacing w:after="60"/>
              <w:jc w:val="center"/>
            </w:pPr>
            <w:r>
              <w:rPr>
                <w:color w:val="C8D2E1"/>
                <w:sz w:val="14"/>
              </w:rPr>
              <w:t>◆</w:t>
            </w:r>
          </w:p>
        </w:tc>
      </w:tr>
      <w:tr w:rsidR="00476A55" w14:paraId="65FF6F96" w14:textId="77777777">
        <w:tc>
          <w:tcPr>
            <w:tcW w:w="4677" w:type="dxa"/>
            <w:shd w:val="clear" w:color="auto" w:fill="F8F8F6"/>
          </w:tcPr>
          <w:p w14:paraId="3BB20F18" w14:textId="77777777" w:rsidR="00476A55" w:rsidRDefault="00000000">
            <w:r>
              <w:t>Angelo Epifanio</w:t>
            </w:r>
          </w:p>
        </w:tc>
        <w:tc>
          <w:tcPr>
            <w:tcW w:w="4677" w:type="dxa"/>
            <w:shd w:val="clear" w:color="auto" w:fill="F8F8F6"/>
          </w:tcPr>
          <w:p w14:paraId="38F9E628" w14:textId="77777777" w:rsidR="00476A55" w:rsidRDefault="00000000">
            <w:r>
              <w:t>Bruno Carvalho Mendes</w:t>
            </w:r>
          </w:p>
        </w:tc>
      </w:tr>
      <w:tr w:rsidR="00476A55" w14:paraId="461BFC65" w14:textId="77777777">
        <w:tc>
          <w:tcPr>
            <w:tcW w:w="4677" w:type="dxa"/>
            <w:shd w:val="clear" w:color="auto" w:fill="FFFFFF"/>
          </w:tcPr>
          <w:p w14:paraId="1368AC48" w14:textId="77777777" w:rsidR="00476A55" w:rsidRDefault="00000000">
            <w:r>
              <w:t>OAB/SP 98.432</w:t>
            </w:r>
          </w:p>
        </w:tc>
        <w:tc>
          <w:tcPr>
            <w:tcW w:w="4677" w:type="dxa"/>
            <w:shd w:val="clear" w:color="auto" w:fill="FFFFFF"/>
          </w:tcPr>
          <w:p w14:paraId="31A5F104" w14:textId="77777777" w:rsidR="00476A55" w:rsidRDefault="00000000">
            <w:r>
              <w:t>RG: 45.678.901-2 SSP/SP</w:t>
            </w:r>
          </w:p>
        </w:tc>
      </w:tr>
      <w:tr w:rsidR="00476A55" w14:paraId="2B448A86" w14:textId="77777777">
        <w:tc>
          <w:tcPr>
            <w:tcW w:w="4677" w:type="dxa"/>
            <w:shd w:val="clear" w:color="auto" w:fill="F8F8F6"/>
          </w:tcPr>
          <w:p w14:paraId="3AAE95A5" w14:textId="77777777" w:rsidR="00476A55" w:rsidRDefault="00000000">
            <w:r>
              <w:t>contato@angeloepifanio.com.br</w:t>
            </w:r>
          </w:p>
        </w:tc>
        <w:tc>
          <w:tcPr>
            <w:tcW w:w="4677" w:type="dxa"/>
            <w:shd w:val="clear" w:color="auto" w:fill="F8F8F6"/>
          </w:tcPr>
          <w:p w14:paraId="56AFA472" w14:textId="77777777" w:rsidR="00476A55" w:rsidRDefault="00000000">
            <w:r>
              <w:t>Preso preventivamente desde 14/06/2026</w:t>
            </w:r>
          </w:p>
        </w:tc>
      </w:tr>
    </w:tbl>
    <w:p w14:paraId="7F82F9BD" w14:textId="77777777" w:rsidR="00476A55" w:rsidRDefault="00476A55"/>
    <w:p w14:paraId="5EB3B74D" w14:textId="77777777" w:rsidR="00476A55" w:rsidRDefault="00476A55"/>
    <w:p w14:paraId="2F8BF78A" w14:textId="77777777" w:rsidR="00476A55" w:rsidRDefault="00000000">
      <w:pPr>
        <w:jc w:val="center"/>
      </w:pPr>
      <w:r>
        <w:rPr>
          <w:b/>
        </w:rPr>
        <w:t>AUTORIDADE COATORA: Dr. Fábio Rodrigues Salles — Juízo da 2ª Vara Criminal da Comarca de São José dos Campos/SP</w:t>
      </w:r>
    </w:p>
    <w:p w14:paraId="27A4388F" w14:textId="77777777" w:rsidR="00476A55" w:rsidRDefault="00476A55"/>
    <w:p w14:paraId="621A8E1A" w14:textId="77777777" w:rsidR="00476A55" w:rsidRDefault="00476A55"/>
    <w:p w14:paraId="2FCA7894" w14:textId="77777777" w:rsidR="00476A55" w:rsidRDefault="00476A55"/>
    <w:p w14:paraId="05808648" w14:textId="77777777" w:rsidR="00476A55" w:rsidRDefault="00000000">
      <w:pPr>
        <w:pStyle w:val="AECorpo"/>
      </w:pPr>
      <w:r>
        <w:rPr>
          <w:b/>
        </w:rPr>
        <w:t>Angelo Epifanio</w:t>
      </w:r>
      <w:r>
        <w:t>, advogado regularmente inscrito na OAB/SP sob o nº 98.432, com endereço profissional na Rua Sete de Setembro, 412, sala 5, Centro, São José dos Campos/SP, vem, com fundamento no art. 5º, LXVIII, da Constituição Federal, e nos arts. 647 e seguintes do Código de Processo Penal, impetrar o presente:</w:t>
      </w:r>
    </w:p>
    <w:p w14:paraId="2EAC3AB2" w14:textId="77777777" w:rsidR="00476A55" w:rsidRDefault="00476A55"/>
    <w:p w14:paraId="3FB5483B" w14:textId="77777777" w:rsidR="004C74B8" w:rsidRDefault="004C74B8"/>
    <w:p w14:paraId="3B384112" w14:textId="77777777" w:rsidR="004C74B8" w:rsidRDefault="004C74B8"/>
    <w:p w14:paraId="20547D88" w14:textId="77777777" w:rsidR="00476A55" w:rsidRDefault="00000000">
      <w:pPr>
        <w:jc w:val="center"/>
      </w:pPr>
      <w:r>
        <w:rPr>
          <w:rFonts w:ascii="Times New Roman" w:hAnsi="Times New Roman"/>
          <w:color w:val="0D2340"/>
          <w:spacing w:val="80"/>
        </w:rPr>
        <w:t>HABEAS CORPUS COM PEDIDO DE LIMINAR</w:t>
      </w:r>
    </w:p>
    <w:p w14:paraId="64608D17" w14:textId="77777777" w:rsidR="00476A55" w:rsidRDefault="00000000">
      <w:pPr>
        <w:jc w:val="center"/>
      </w:pPr>
      <w:r>
        <w:rPr>
          <w:color w:val="0D2340"/>
          <w:sz w:val="16"/>
        </w:rPr>
        <w:t>◆</w:t>
      </w:r>
    </w:p>
    <w:p w14:paraId="67119E85" w14:textId="77777777" w:rsidR="00476A55" w:rsidRDefault="00476A55"/>
    <w:p w14:paraId="29FB3520" w14:textId="77777777" w:rsidR="00476A55" w:rsidRDefault="00476A55"/>
    <w:p w14:paraId="2531DA2E" w14:textId="77777777" w:rsidR="00476A55" w:rsidRDefault="00000000">
      <w:pPr>
        <w:pStyle w:val="AECorpo"/>
      </w:pPr>
      <w:r>
        <w:t xml:space="preserve">em favor de </w:t>
      </w:r>
      <w:r>
        <w:rPr>
          <w:b/>
        </w:rPr>
        <w:t>Bruno Carvalho Mendes</w:t>
      </w:r>
      <w:r>
        <w:t>, brasileiro, solteiro, auxiliar de almoxarifado, portador do RG 45.678.901-2 SSP/SP e CPF 321.654.987-00, atualmente recolhido no Centro de Detenção Provisória de São José dos Campos, pelas razões de fato e de direito a seguir expostas.</w:t>
      </w:r>
    </w:p>
    <w:p w14:paraId="048BCA1E" w14:textId="77777777" w:rsidR="00476A55" w:rsidRDefault="00476A55"/>
    <w:p w14:paraId="01D5853E" w14:textId="77777777" w:rsidR="00476A55" w:rsidRDefault="00000000">
      <w:pPr>
        <w:pStyle w:val="AETtulo1"/>
      </w:pPr>
      <w:r>
        <w:t>I — DOS FATOS</w:t>
      </w:r>
    </w:p>
    <w:p w14:paraId="776552AB" w14:textId="77777777" w:rsidR="00476A55" w:rsidRDefault="00476A55"/>
    <w:p w14:paraId="05215E57" w14:textId="77777777" w:rsidR="00476A55" w:rsidRDefault="00000000">
      <w:pPr>
        <w:pStyle w:val="AETtulo2"/>
      </w:pPr>
      <w:r>
        <w:t>1.1 Do Contexto da Prisão</w:t>
      </w:r>
    </w:p>
    <w:p w14:paraId="6C2CEF84" w14:textId="77777777" w:rsidR="00476A55" w:rsidRDefault="00476A55"/>
    <w:p w14:paraId="12ED98D6" w14:textId="77777777" w:rsidR="00476A55" w:rsidRDefault="00000000">
      <w:pPr>
        <w:pStyle w:val="AECorpo"/>
      </w:pPr>
      <w:r>
        <w:t xml:space="preserve">Na madrugada do dia 14 de junho de 2026, por volta das 2h30, agentes da Polícia Militar realizaram abordagem ao Paciente nas proximidades de sua residência, situada na Rua das Acácias, nº 87, Vila Esperança, nesta comarca. Em razão de denúncia anônima, os policiais adentraram o imóvel </w:t>
      </w:r>
      <w:r>
        <w:rPr>
          <w:b/>
        </w:rPr>
        <w:t>sem mandado judicial</w:t>
      </w:r>
      <w:r>
        <w:t xml:space="preserve">, procedendo à busca domiciliar e localizando, em gaveta do quarto do Paciente, a quantidade de </w:t>
      </w:r>
      <w:r>
        <w:rPr>
          <w:b/>
        </w:rPr>
        <w:t>3,2 gramas de maconha</w:t>
      </w:r>
      <w:r>
        <w:t xml:space="preserve"> acondicionados em embrulho artesanal.</w:t>
      </w:r>
    </w:p>
    <w:p w14:paraId="400D0336" w14:textId="77777777" w:rsidR="00476A55" w:rsidRDefault="00476A55"/>
    <w:p w14:paraId="4E4114AB" w14:textId="77777777" w:rsidR="00476A55" w:rsidRDefault="00000000">
      <w:pPr>
        <w:pStyle w:val="AECorpo"/>
      </w:pPr>
      <w:r>
        <w:t xml:space="preserve">O Paciente foi preso em flagrante delito sob a capitulação do art. 33, </w:t>
      </w:r>
      <w:r>
        <w:rPr>
          <w:i/>
        </w:rPr>
        <w:t>caput</w:t>
      </w:r>
      <w:r>
        <w:t xml:space="preserve">, da Lei nº 11.343/2006 (tráfico de drogas). A prisão foi homologada e, no dia seguinte, convertida em </w:t>
      </w:r>
      <w:r>
        <w:rPr>
          <w:b/>
        </w:rPr>
        <w:t>prisão preventiva</w:t>
      </w:r>
      <w:r>
        <w:t xml:space="preserve"> pelo Juízo da 2ª Vara Criminal, por suposto risco à ordem pública.</w:t>
      </w:r>
    </w:p>
    <w:p w14:paraId="31C2CD19" w14:textId="77777777" w:rsidR="00476A55" w:rsidRDefault="00476A55"/>
    <w:p w14:paraId="1942FDEB" w14:textId="77777777" w:rsidR="00476A55" w:rsidRDefault="00000000">
      <w:pPr>
        <w:pStyle w:val="AETtulo2"/>
      </w:pPr>
      <w:r>
        <w:t>1.2 Da Linha do Tempo</w:t>
      </w:r>
    </w:p>
    <w:p w14:paraId="3A13DEF0" w14:textId="77777777" w:rsidR="00476A55" w:rsidRDefault="00476A55"/>
    <w:tbl>
      <w:tblPr>
        <w:tblW w:w="5000" w:type="pct"/>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2392"/>
        <w:gridCol w:w="2393"/>
        <w:gridCol w:w="2393"/>
        <w:gridCol w:w="2393"/>
      </w:tblGrid>
      <w:tr w:rsidR="00476A55" w14:paraId="22E71F0E" w14:textId="77777777">
        <w:tc>
          <w:tcPr>
            <w:tcW w:w="2339" w:type="dxa"/>
            <w:shd w:val="clear" w:color="auto" w:fill="D9D9D9"/>
          </w:tcPr>
          <w:p w14:paraId="275C6A5E" w14:textId="77777777" w:rsidR="00476A55" w:rsidRDefault="00000000">
            <w:pPr>
              <w:jc w:val="center"/>
            </w:pPr>
            <w:r>
              <w:rPr>
                <w:b/>
              </w:rPr>
              <w:t>Data</w:t>
            </w:r>
          </w:p>
        </w:tc>
        <w:tc>
          <w:tcPr>
            <w:tcW w:w="2339" w:type="dxa"/>
            <w:shd w:val="clear" w:color="auto" w:fill="D9D9D9"/>
          </w:tcPr>
          <w:p w14:paraId="1F694F13" w14:textId="77777777" w:rsidR="00476A55" w:rsidRDefault="00000000">
            <w:pPr>
              <w:jc w:val="center"/>
            </w:pPr>
            <w:r>
              <w:rPr>
                <w:b/>
              </w:rPr>
              <w:t>Fato</w:t>
            </w:r>
          </w:p>
        </w:tc>
        <w:tc>
          <w:tcPr>
            <w:tcW w:w="2339" w:type="dxa"/>
            <w:shd w:val="clear" w:color="auto" w:fill="D9D9D9"/>
          </w:tcPr>
          <w:p w14:paraId="260B44DA" w14:textId="77777777" w:rsidR="00476A55" w:rsidRDefault="00000000">
            <w:pPr>
              <w:jc w:val="center"/>
            </w:pPr>
            <w:r>
              <w:rPr>
                <w:b/>
              </w:rPr>
              <w:t>Documento</w:t>
            </w:r>
          </w:p>
        </w:tc>
        <w:tc>
          <w:tcPr>
            <w:tcW w:w="2339" w:type="dxa"/>
            <w:shd w:val="clear" w:color="auto" w:fill="D9D9D9"/>
          </w:tcPr>
          <w:p w14:paraId="195D1479" w14:textId="77777777" w:rsidR="00476A55" w:rsidRDefault="00000000">
            <w:pPr>
              <w:jc w:val="center"/>
            </w:pPr>
            <w:r>
              <w:rPr>
                <w:b/>
              </w:rPr>
              <w:t>Observação</w:t>
            </w:r>
          </w:p>
        </w:tc>
      </w:tr>
      <w:tr w:rsidR="00476A55" w14:paraId="12639EC1" w14:textId="77777777">
        <w:tc>
          <w:tcPr>
            <w:tcW w:w="2339" w:type="dxa"/>
            <w:shd w:val="clear" w:color="auto" w:fill="F8F8F6"/>
          </w:tcPr>
          <w:p w14:paraId="179F1F4D" w14:textId="77777777" w:rsidR="00476A55" w:rsidRDefault="00000000">
            <w:r>
              <w:t>Data</w:t>
            </w:r>
          </w:p>
        </w:tc>
        <w:tc>
          <w:tcPr>
            <w:tcW w:w="2339" w:type="dxa"/>
            <w:shd w:val="clear" w:color="auto" w:fill="F8F8F6"/>
          </w:tcPr>
          <w:p w14:paraId="4E807DD3" w14:textId="77777777" w:rsidR="00476A55" w:rsidRDefault="00000000">
            <w:r>
              <w:t>Fato</w:t>
            </w:r>
          </w:p>
        </w:tc>
        <w:tc>
          <w:tcPr>
            <w:tcW w:w="2339" w:type="dxa"/>
            <w:shd w:val="clear" w:color="auto" w:fill="F8F8F6"/>
          </w:tcPr>
          <w:p w14:paraId="3267F1FA" w14:textId="77777777" w:rsidR="00476A55" w:rsidRDefault="00000000">
            <w:r>
              <w:t>Documento</w:t>
            </w:r>
          </w:p>
        </w:tc>
        <w:tc>
          <w:tcPr>
            <w:tcW w:w="2339" w:type="dxa"/>
            <w:shd w:val="clear" w:color="auto" w:fill="F8F8F6"/>
          </w:tcPr>
          <w:p w14:paraId="58BAD3FE" w14:textId="77777777" w:rsidR="00476A55" w:rsidRDefault="00000000">
            <w:r>
              <w:t>Situação</w:t>
            </w:r>
          </w:p>
        </w:tc>
      </w:tr>
      <w:tr w:rsidR="00476A55" w14:paraId="798429D2" w14:textId="77777777">
        <w:tc>
          <w:tcPr>
            <w:tcW w:w="2339" w:type="dxa"/>
            <w:shd w:val="clear" w:color="auto" w:fill="FFFFFF"/>
          </w:tcPr>
          <w:p w14:paraId="12CDFFAC" w14:textId="77777777" w:rsidR="00476A55" w:rsidRDefault="00000000">
            <w:r>
              <w:t>14/06/2026 — 2h30</w:t>
            </w:r>
          </w:p>
        </w:tc>
        <w:tc>
          <w:tcPr>
            <w:tcW w:w="2339" w:type="dxa"/>
            <w:shd w:val="clear" w:color="auto" w:fill="FFFFFF"/>
          </w:tcPr>
          <w:p w14:paraId="03D62DC0" w14:textId="77777777" w:rsidR="00476A55" w:rsidRDefault="00000000">
            <w:r>
              <w:t>Abordagem e busca domiciliar sem mandado</w:t>
            </w:r>
          </w:p>
        </w:tc>
        <w:tc>
          <w:tcPr>
            <w:tcW w:w="2339" w:type="dxa"/>
            <w:shd w:val="clear" w:color="auto" w:fill="FFFFFF"/>
          </w:tcPr>
          <w:p w14:paraId="4AA5BE12" w14:textId="77777777" w:rsidR="00476A55" w:rsidRDefault="00000000">
            <w:r>
              <w:t>Boletim de Ocorrência nº 2024/302</w:t>
            </w:r>
          </w:p>
        </w:tc>
        <w:tc>
          <w:tcPr>
            <w:tcW w:w="2339" w:type="dxa"/>
            <w:shd w:val="clear" w:color="auto" w:fill="FFFFFF"/>
          </w:tcPr>
          <w:p w14:paraId="53798F88" w14:textId="77777777" w:rsidR="00476A55" w:rsidRDefault="00000000">
            <w:r>
              <w:t>Base da ilegalidade</w:t>
            </w:r>
          </w:p>
        </w:tc>
      </w:tr>
      <w:tr w:rsidR="00476A55" w14:paraId="303DEE0E" w14:textId="77777777">
        <w:tc>
          <w:tcPr>
            <w:tcW w:w="2339" w:type="dxa"/>
            <w:shd w:val="clear" w:color="auto" w:fill="F8F8F6"/>
          </w:tcPr>
          <w:p w14:paraId="5E456030" w14:textId="77777777" w:rsidR="00476A55" w:rsidRDefault="00000000">
            <w:r>
              <w:lastRenderedPageBreak/>
              <w:t>14/06/2026 — 8h00</w:t>
            </w:r>
          </w:p>
        </w:tc>
        <w:tc>
          <w:tcPr>
            <w:tcW w:w="2339" w:type="dxa"/>
            <w:shd w:val="clear" w:color="auto" w:fill="F8F8F6"/>
          </w:tcPr>
          <w:p w14:paraId="2687F7DE" w14:textId="77777777" w:rsidR="00476A55" w:rsidRDefault="00000000">
            <w:r>
              <w:t>Audiência de custódia</w:t>
            </w:r>
          </w:p>
        </w:tc>
        <w:tc>
          <w:tcPr>
            <w:tcW w:w="2339" w:type="dxa"/>
            <w:shd w:val="clear" w:color="auto" w:fill="F8F8F6"/>
          </w:tcPr>
          <w:p w14:paraId="493CBEBD" w14:textId="77777777" w:rsidR="00476A55" w:rsidRDefault="00000000">
            <w:r>
              <w:t>Termo de Audiência</w:t>
            </w:r>
          </w:p>
        </w:tc>
        <w:tc>
          <w:tcPr>
            <w:tcW w:w="2339" w:type="dxa"/>
            <w:shd w:val="clear" w:color="auto" w:fill="F8F8F6"/>
          </w:tcPr>
          <w:p w14:paraId="3A6E3041" w14:textId="77777777" w:rsidR="00476A55" w:rsidRDefault="00000000">
            <w:r>
              <w:t>Prisão em flagrante homologada</w:t>
            </w:r>
          </w:p>
        </w:tc>
      </w:tr>
      <w:tr w:rsidR="00476A55" w14:paraId="39AF721D" w14:textId="77777777">
        <w:tc>
          <w:tcPr>
            <w:tcW w:w="2339" w:type="dxa"/>
            <w:shd w:val="clear" w:color="auto" w:fill="FFFFFF"/>
          </w:tcPr>
          <w:p w14:paraId="52E24AA7" w14:textId="77777777" w:rsidR="00476A55" w:rsidRDefault="00000000">
            <w:r>
              <w:t>15/06/2026</w:t>
            </w:r>
          </w:p>
        </w:tc>
        <w:tc>
          <w:tcPr>
            <w:tcW w:w="2339" w:type="dxa"/>
            <w:shd w:val="clear" w:color="auto" w:fill="FFFFFF"/>
          </w:tcPr>
          <w:p w14:paraId="4E56D204" w14:textId="77777777" w:rsidR="00476A55" w:rsidRDefault="00000000">
            <w:r>
              <w:t>Decisão de conversão em preventiva</w:t>
            </w:r>
          </w:p>
        </w:tc>
        <w:tc>
          <w:tcPr>
            <w:tcW w:w="2339" w:type="dxa"/>
            <w:shd w:val="clear" w:color="auto" w:fill="FFFFFF"/>
          </w:tcPr>
          <w:p w14:paraId="73C3CC20" w14:textId="77777777" w:rsidR="00476A55" w:rsidRDefault="00000000">
            <w:r>
              <w:t>Decisão fls. 47-51</w:t>
            </w:r>
          </w:p>
        </w:tc>
        <w:tc>
          <w:tcPr>
            <w:tcW w:w="2339" w:type="dxa"/>
            <w:shd w:val="clear" w:color="auto" w:fill="FFFFFF"/>
          </w:tcPr>
          <w:p w14:paraId="397ADE50" w14:textId="77777777" w:rsidR="00476A55" w:rsidRDefault="00000000">
            <w:r>
              <w:t>Constrangimento atual</w:t>
            </w:r>
          </w:p>
        </w:tc>
      </w:tr>
      <w:tr w:rsidR="00476A55" w14:paraId="77089868" w14:textId="77777777">
        <w:tc>
          <w:tcPr>
            <w:tcW w:w="2339" w:type="dxa"/>
            <w:shd w:val="clear" w:color="auto" w:fill="F8F8F6"/>
          </w:tcPr>
          <w:p w14:paraId="1AB98E37" w14:textId="77777777" w:rsidR="00476A55" w:rsidRDefault="00000000">
            <w:r>
              <w:t>24/06/2026</w:t>
            </w:r>
          </w:p>
        </w:tc>
        <w:tc>
          <w:tcPr>
            <w:tcW w:w="2339" w:type="dxa"/>
            <w:shd w:val="clear" w:color="auto" w:fill="F8F8F6"/>
          </w:tcPr>
          <w:p w14:paraId="5B9198FD" w14:textId="77777777" w:rsidR="00476A55" w:rsidRDefault="00000000">
            <w:r>
              <w:t>Laudo pericial definitivo</w:t>
            </w:r>
          </w:p>
        </w:tc>
        <w:tc>
          <w:tcPr>
            <w:tcW w:w="2339" w:type="dxa"/>
            <w:shd w:val="clear" w:color="auto" w:fill="F8F8F6"/>
          </w:tcPr>
          <w:p w14:paraId="7BA706E9" w14:textId="77777777" w:rsidR="00476A55" w:rsidRDefault="00000000">
            <w:r>
              <w:t>Laudo ICIT nº 876/2026</w:t>
            </w:r>
          </w:p>
        </w:tc>
        <w:tc>
          <w:tcPr>
            <w:tcW w:w="2339" w:type="dxa"/>
            <w:shd w:val="clear" w:color="auto" w:fill="F8F8F6"/>
          </w:tcPr>
          <w:p w14:paraId="51C11327" w14:textId="77777777" w:rsidR="00476A55" w:rsidRDefault="00000000">
            <w:r>
              <w:t>3,2g de Cannabis sativa</w:t>
            </w:r>
          </w:p>
        </w:tc>
      </w:tr>
    </w:tbl>
    <w:p w14:paraId="1FCBB46F" w14:textId="77777777" w:rsidR="00476A55" w:rsidRDefault="00476A55"/>
    <w:p w14:paraId="64D5DA51" w14:textId="77777777" w:rsidR="00476A55" w:rsidRDefault="00476A55"/>
    <w:p w14:paraId="7B254704" w14:textId="77777777" w:rsidR="00476A55" w:rsidRDefault="00000000">
      <w:pPr>
        <w:pStyle w:val="AETtulo1"/>
      </w:pPr>
      <w:r>
        <w:t>II — DO DIREITO</w:t>
      </w:r>
    </w:p>
    <w:p w14:paraId="60224C61" w14:textId="77777777" w:rsidR="00476A55" w:rsidRDefault="00476A55"/>
    <w:p w14:paraId="1ED8FCAF" w14:textId="77777777" w:rsidR="00476A55" w:rsidRDefault="00000000">
      <w:pPr>
        <w:pStyle w:val="AETtulo2"/>
      </w:pPr>
      <w:r>
        <w:t>2.1 Da Nulidade da Busca Domiciliar — Violação ao Art. 5º, XI, da CF/88</w:t>
      </w:r>
    </w:p>
    <w:p w14:paraId="05627814" w14:textId="77777777" w:rsidR="00476A55" w:rsidRDefault="00476A55"/>
    <w:p w14:paraId="2DA55B14" w14:textId="77777777" w:rsidR="00476A55" w:rsidRDefault="00000000">
      <w:pPr>
        <w:pStyle w:val="AECorpo"/>
      </w:pPr>
      <w:r>
        <w:t xml:space="preserve">A </w:t>
      </w:r>
      <w:r>
        <w:rPr>
          <w:b/>
        </w:rPr>
        <w:t>inviolabilidade do domicílio</w:t>
      </w:r>
      <w:r>
        <w:t xml:space="preserve"> é garantia constitucional expressa, somente afastável nas hipóteses taxativas do art. 5º, inciso XI, da Constituição Federal: consentimento do morador, flagrante delito, desastre, prestação de socorro — ou, durante o dia, mediante determinação judicial.</w:t>
      </w:r>
    </w:p>
    <w:p w14:paraId="3BA3D081" w14:textId="77777777" w:rsidR="00476A55" w:rsidRDefault="00476A55"/>
    <w:p w14:paraId="1682AE39" w14:textId="77777777" w:rsidR="00476A55" w:rsidRDefault="00000000">
      <w:pPr>
        <w:pStyle w:val="AECorpo"/>
      </w:pPr>
      <w:r>
        <w:t xml:space="preserve">No presente caso, nenhuma das exceções estava configurada. O Paciente não consentiu com a entrada dos agentes. Não havia flagrante em curso antes da invasão — o crime, se existente, só foi "descoberto" </w:t>
      </w:r>
      <w:r>
        <w:rPr>
          <w:i/>
        </w:rPr>
        <w:t>após</w:t>
      </w:r>
      <w:r>
        <w:t xml:space="preserve"> a entrada ilegal. O Supremo Tribunal Federal consolidou entendimento no sentido de que:</w:t>
      </w:r>
    </w:p>
    <w:p w14:paraId="2E626D84" w14:textId="77777777" w:rsidR="00476A55" w:rsidRDefault="00476A55"/>
    <w:p w14:paraId="11102C42" w14:textId="77777777" w:rsidR="00476A55" w:rsidRDefault="00000000">
      <w:pPr>
        <w:pStyle w:val="AECitao"/>
      </w:pPr>
      <w:r>
        <w:rPr>
          <w:i w:val="0"/>
        </w:rPr>
        <w:t>"A entrada forçada em domicílio sem mandado judicial só é lícita, mesmo em período noturno, quando amparada em fundadas razões, devidamente justificadas a posteriori, que indiquem que dentro da casa ocorre situação de flagrante delito, sob pena de responsabilidade disciplinar, civil e penal do agente ou da autoridade, e de nulidade dos atos praticados."</w:t>
      </w:r>
    </w:p>
    <w:p w14:paraId="347EA882" w14:textId="77777777" w:rsidR="00476A55" w:rsidRDefault="00000000">
      <w:pPr>
        <w:pStyle w:val="AECitao"/>
      </w:pPr>
      <w:r>
        <w:rPr>
          <w:i w:val="0"/>
        </w:rPr>
        <w:t>(STF, RE 603.616, Rel. Min. Gilmar Mendes, Tema 280 — Repercussão Geral)</w:t>
      </w:r>
    </w:p>
    <w:p w14:paraId="7A135678" w14:textId="77777777" w:rsidR="00476A55" w:rsidRDefault="00476A55"/>
    <w:p w14:paraId="52E9323A" w14:textId="77777777" w:rsidR="00476A55" w:rsidRDefault="00000000">
      <w:pPr>
        <w:pStyle w:val="AECorpo"/>
      </w:pPr>
      <w:r>
        <w:t xml:space="preserve">A denúncia anônima, por si só, não autoriza a invasão domiciliar. Ausente qualquer elemento objetivo que indicasse flagrante em andamento </w:t>
      </w:r>
      <w:r>
        <w:rPr>
          <w:i/>
        </w:rPr>
        <w:t>antes</w:t>
      </w:r>
      <w:r>
        <w:t xml:space="preserve"> da entrada, a busca é nula de pleno direito — e, com ela, tudo que dela decorreu, inclusive a prisão.</w:t>
      </w:r>
    </w:p>
    <w:p w14:paraId="5738C5D8" w14:textId="77777777" w:rsidR="00476A55" w:rsidRDefault="00476A55"/>
    <w:p w14:paraId="380AC317" w14:textId="77777777" w:rsidR="00476A55" w:rsidRDefault="00000000">
      <w:pPr>
        <w:pStyle w:val="AETtulo2"/>
      </w:pPr>
      <w:r>
        <w:lastRenderedPageBreak/>
        <w:t>2.2 Da Ausência dos Requisitos da Prisão Preventiva</w:t>
      </w:r>
    </w:p>
    <w:p w14:paraId="0FEB181C" w14:textId="77777777" w:rsidR="00476A55" w:rsidRDefault="00476A55"/>
    <w:p w14:paraId="490899FA" w14:textId="77777777" w:rsidR="00476A55" w:rsidRDefault="00000000">
      <w:pPr>
        <w:pStyle w:val="AECorpo"/>
      </w:pPr>
      <w:r>
        <w:t xml:space="preserve">Ultrapassada a questão da nulidade — </w:t>
      </w:r>
      <w:r>
        <w:rPr>
          <w:i/>
        </w:rPr>
        <w:t>ad argumentandum tantum</w:t>
      </w:r>
      <w:r>
        <w:t xml:space="preserve"> —, a prisão preventiva também não resiste à análise dos requisitos do art. 312 do CPP.</w:t>
      </w:r>
    </w:p>
    <w:p w14:paraId="6A07E150" w14:textId="77777777" w:rsidR="00476A55" w:rsidRDefault="00476A55"/>
    <w:tbl>
      <w:tblPr>
        <w:tblW w:w="5000" w:type="pct"/>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4785"/>
        <w:gridCol w:w="4786"/>
      </w:tblGrid>
      <w:tr w:rsidR="00476A55" w14:paraId="0AC19425" w14:textId="77777777">
        <w:tc>
          <w:tcPr>
            <w:tcW w:w="4677" w:type="dxa"/>
            <w:shd w:val="clear" w:color="auto" w:fill="D9D9D9"/>
          </w:tcPr>
          <w:p w14:paraId="4B5B9D91" w14:textId="77777777" w:rsidR="00476A55" w:rsidRDefault="00000000">
            <w:pPr>
              <w:jc w:val="center"/>
            </w:pPr>
            <w:r>
              <w:rPr>
                <w:b/>
              </w:rPr>
              <w:t>Questão processual</w:t>
            </w:r>
          </w:p>
        </w:tc>
        <w:tc>
          <w:tcPr>
            <w:tcW w:w="4677" w:type="dxa"/>
            <w:shd w:val="clear" w:color="auto" w:fill="D9D9D9"/>
          </w:tcPr>
          <w:p w14:paraId="14B8A5E9" w14:textId="77777777" w:rsidR="00476A55" w:rsidRDefault="00000000">
            <w:pPr>
              <w:jc w:val="center"/>
            </w:pPr>
            <w:r>
              <w:rPr>
                <w:b/>
              </w:rPr>
              <w:t>Posição da parte</w:t>
            </w:r>
          </w:p>
        </w:tc>
      </w:tr>
      <w:tr w:rsidR="00476A55" w14:paraId="0B4B3CCB" w14:textId="77777777">
        <w:tc>
          <w:tcPr>
            <w:tcW w:w="4677" w:type="dxa"/>
            <w:shd w:val="clear" w:color="auto" w:fill="F8F8F6"/>
          </w:tcPr>
          <w:p w14:paraId="3F5D0145" w14:textId="77777777" w:rsidR="00476A55" w:rsidRDefault="00000000">
            <w:r>
              <w:rPr>
                <w:b/>
              </w:rPr>
              <w:t>Ordem pública</w:t>
            </w:r>
          </w:p>
        </w:tc>
        <w:tc>
          <w:tcPr>
            <w:tcW w:w="4677" w:type="dxa"/>
            <w:shd w:val="clear" w:color="auto" w:fill="FFFFFF"/>
          </w:tcPr>
          <w:p w14:paraId="6E0685E3" w14:textId="77777777" w:rsidR="00476A55" w:rsidRDefault="00000000">
            <w:r>
              <w:t>3,2g para uso pessoal não configura periculosidade concreta; Paciente é primário, tem residência fixa e emprego formal</w:t>
            </w:r>
          </w:p>
        </w:tc>
      </w:tr>
      <w:tr w:rsidR="00476A55" w14:paraId="30D2E683" w14:textId="77777777">
        <w:tc>
          <w:tcPr>
            <w:tcW w:w="4677" w:type="dxa"/>
            <w:shd w:val="clear" w:color="auto" w:fill="FFFFFF"/>
          </w:tcPr>
          <w:p w14:paraId="6067FDCD" w14:textId="77777777" w:rsidR="00476A55" w:rsidRDefault="00000000">
            <w:r>
              <w:rPr>
                <w:b/>
              </w:rPr>
              <w:t>Conveniência da instrução</w:t>
            </w:r>
          </w:p>
        </w:tc>
        <w:tc>
          <w:tcPr>
            <w:tcW w:w="4677" w:type="dxa"/>
            <w:shd w:val="clear" w:color="auto" w:fill="FFFFFF"/>
          </w:tcPr>
          <w:p w14:paraId="10809B4F" w14:textId="77777777" w:rsidR="00476A55" w:rsidRDefault="00000000">
            <w:r>
              <w:t>Inquérito já encerrado; laudo pericial definitivo juntado; não há diligências pendentes</w:t>
            </w:r>
          </w:p>
        </w:tc>
      </w:tr>
      <w:tr w:rsidR="00476A55" w14:paraId="6B1D6592" w14:textId="77777777">
        <w:tc>
          <w:tcPr>
            <w:tcW w:w="4677" w:type="dxa"/>
            <w:shd w:val="clear" w:color="auto" w:fill="F8F8F6"/>
          </w:tcPr>
          <w:p w14:paraId="25E20E00" w14:textId="77777777" w:rsidR="00476A55" w:rsidRDefault="00000000">
            <w:r>
              <w:rPr>
                <w:b/>
              </w:rPr>
              <w:t>Aplicação da lei penal</w:t>
            </w:r>
          </w:p>
        </w:tc>
        <w:tc>
          <w:tcPr>
            <w:tcW w:w="4677" w:type="dxa"/>
            <w:shd w:val="clear" w:color="auto" w:fill="FFFFFF"/>
          </w:tcPr>
          <w:p w14:paraId="6C3FEABE" w14:textId="77777777" w:rsidR="00476A55" w:rsidRDefault="00000000">
            <w:r>
              <w:t>Paciente não possui antecedentes; compareceu espontaneamente à DP após a soltura anterior em 2023 (outro caso)</w:t>
            </w:r>
          </w:p>
        </w:tc>
      </w:tr>
    </w:tbl>
    <w:p w14:paraId="61CE771E" w14:textId="77777777" w:rsidR="00476A55" w:rsidRDefault="00476A55"/>
    <w:p w14:paraId="48BC9516" w14:textId="77777777" w:rsidR="00476A55" w:rsidRDefault="00476A55"/>
    <w:p w14:paraId="05B04902" w14:textId="77777777" w:rsidR="00476A55" w:rsidRDefault="00000000">
      <w:pPr>
        <w:pStyle w:val="AECorpo"/>
      </w:pPr>
      <w:r>
        <w:t xml:space="preserve">A jurisprudência do STJ é pacífica: </w:t>
      </w:r>
      <w:r>
        <w:rPr>
          <w:b/>
        </w:rPr>
        <w:t>fundamentação genérica</w:t>
      </w:r>
      <w:r>
        <w:t xml:space="preserve"> sobre ordem pública, sem referência a elementos concretos do caso, não supre a exigência constitucional de motivação (art. 93, IX, CF):</w:t>
      </w:r>
    </w:p>
    <w:p w14:paraId="56ED874D" w14:textId="77777777" w:rsidR="00476A55" w:rsidRDefault="00476A55"/>
    <w:p w14:paraId="716C69F0" w14:textId="77777777" w:rsidR="00476A55" w:rsidRDefault="00000000">
      <w:pPr>
        <w:pStyle w:val="AECitao"/>
      </w:pPr>
      <w:r>
        <w:rPr>
          <w:i w:val="0"/>
        </w:rPr>
        <w:t>"A prisão preventiva exige fundamentação concreta, lastreada em elementos do caso específico, não bastando alusões genéricas à gravidade abstrata do delito ou à necessidade de garantia da ordem pública."</w:t>
      </w:r>
    </w:p>
    <w:p w14:paraId="67291BA3" w14:textId="77777777" w:rsidR="00476A55" w:rsidRDefault="00000000">
      <w:pPr>
        <w:pStyle w:val="AECitao"/>
      </w:pPr>
      <w:r>
        <w:rPr>
          <w:i w:val="0"/>
        </w:rPr>
        <w:t>(STJ, HC 785.321/SP, 6ª Turma, Rel. Min. Rogerio Schietti Cruz, j. 05/2026)</w:t>
      </w:r>
    </w:p>
    <w:p w14:paraId="2F163B5F" w14:textId="77777777" w:rsidR="00476A55" w:rsidRDefault="00476A55"/>
    <w:p w14:paraId="02F0685C" w14:textId="77777777" w:rsidR="00476A55" w:rsidRDefault="00000000">
      <w:pPr>
        <w:pStyle w:val="AETtulo2"/>
      </w:pPr>
      <w:r>
        <w:t>2.3 Da Desclassificação para Uso Pessoal — Art. 28 da Lei 11.343/2006</w:t>
      </w:r>
    </w:p>
    <w:p w14:paraId="5BE0316A" w14:textId="77777777" w:rsidR="00476A55" w:rsidRDefault="00476A55"/>
    <w:p w14:paraId="42D49EDB" w14:textId="77777777" w:rsidR="00476A55" w:rsidRDefault="00000000">
      <w:pPr>
        <w:pStyle w:val="AECorpo"/>
      </w:pPr>
      <w:r>
        <w:t xml:space="preserve">O laudo pericial (Anexo 3) atesta quantidade de </w:t>
      </w:r>
      <w:r>
        <w:rPr>
          <w:b/>
        </w:rPr>
        <w:t>3,2 gramas</w:t>
      </w:r>
      <w:r>
        <w:t xml:space="preserve"> de maconha. A jurisprudência dominante dos Tribunais Superiores orienta que:</w:t>
      </w:r>
    </w:p>
    <w:p w14:paraId="71DEFEE3" w14:textId="77777777" w:rsidR="00476A55" w:rsidRDefault="00476A55"/>
    <w:p w14:paraId="12E547AC" w14:textId="77777777" w:rsidR="00476A55" w:rsidRDefault="00000000">
      <w:pPr>
        <w:pStyle w:val="AECorpo"/>
      </w:pPr>
      <w:r>
        <w:t>A quantidade reduzida constitui indício relevante de uso pessoal;</w:t>
      </w:r>
    </w:p>
    <w:p w14:paraId="00FB590C" w14:textId="77777777" w:rsidR="00476A55" w:rsidRDefault="00000000">
      <w:pPr>
        <w:pStyle w:val="AECorpo"/>
      </w:pPr>
      <w:r>
        <w:lastRenderedPageBreak/>
        <w:t>O Paciente não possuía balança de precisão, embalagens fracionadas, listas de clientes ou dinheiro trocado;</w:t>
      </w:r>
    </w:p>
    <w:p w14:paraId="4593C061" w14:textId="77777777" w:rsidR="00476A55" w:rsidRDefault="00000000">
      <w:pPr>
        <w:pStyle w:val="AECorpo"/>
      </w:pPr>
      <w:r>
        <w:t>Testemunhas vizinhas confirmaram ser o Paciente usuário ocasional, não comerciante;</w:t>
      </w:r>
    </w:p>
    <w:p w14:paraId="50482AB8" w14:textId="77777777" w:rsidR="00476A55" w:rsidRDefault="00000000">
      <w:pPr>
        <w:pStyle w:val="AECorpo"/>
      </w:pPr>
      <w:r>
        <w:t>Não havia qualquer movimentação financeira atípica em sua conta bancária.</w:t>
      </w:r>
    </w:p>
    <w:p w14:paraId="7B9BC635" w14:textId="77777777" w:rsidR="00476A55" w:rsidRDefault="00476A55"/>
    <w:p w14:paraId="220FD8A4" w14:textId="77777777" w:rsidR="00476A55" w:rsidRDefault="00000000">
      <w:pPr>
        <w:pStyle w:val="AECorpo"/>
      </w:pPr>
      <w:r>
        <w:t>A conjunção desses fatores aponta inequivocamente para o art. 28 da Lei de Drogas — conduta não punida com pena privativa de liberdade —, afastando qualquer fundamento para a custódia cautelar.</w:t>
      </w:r>
    </w:p>
    <w:p w14:paraId="54F6C8F2" w14:textId="77777777" w:rsidR="00476A55" w:rsidRDefault="00476A55"/>
    <w:p w14:paraId="1A87BCB0" w14:textId="77777777" w:rsidR="00476A55" w:rsidRDefault="00000000">
      <w:pPr>
        <w:pStyle w:val="AETtulo1"/>
      </w:pPr>
      <w:r>
        <w:t>III — DO PEDIDO LIMINAR</w:t>
      </w:r>
    </w:p>
    <w:p w14:paraId="645E7E6F" w14:textId="77777777" w:rsidR="00476A55" w:rsidRDefault="00476A55"/>
    <w:p w14:paraId="182541A4" w14:textId="77777777" w:rsidR="00476A55" w:rsidRDefault="00000000">
      <w:pPr>
        <w:pStyle w:val="AECorpo"/>
      </w:pPr>
      <w:r>
        <w:t xml:space="preserve">Presentes o </w:t>
      </w:r>
      <w:r>
        <w:rPr>
          <w:i/>
        </w:rPr>
        <w:t>fumus boni juris</w:t>
      </w:r>
      <w:r>
        <w:t xml:space="preserve"> — ilegalidade manifesta da busca e da preventiva — e o </w:t>
      </w:r>
      <w:r>
        <w:rPr>
          <w:i/>
        </w:rPr>
        <w:t>periculum in mora</w:t>
      </w:r>
      <w:r>
        <w:t xml:space="preserve"> — Paciente preso há mais de duas semanas por fato que, em tese, não admite prisão —, requer a concessão de </w:t>
      </w:r>
      <w:r>
        <w:rPr>
          <w:b/>
        </w:rPr>
        <w:t>medida liminar</w:t>
      </w:r>
      <w:r>
        <w:t xml:space="preserve"> para a imediata expedição de alvará de soltura.</w:t>
      </w:r>
    </w:p>
    <w:p w14:paraId="6853F7D5" w14:textId="77777777" w:rsidR="00476A55" w:rsidRDefault="00476A55"/>
    <w:p w14:paraId="78579C9D" w14:textId="77777777" w:rsidR="00476A55" w:rsidRDefault="00000000">
      <w:pPr>
        <w:pStyle w:val="AETtulo1"/>
      </w:pPr>
      <w:r>
        <w:t>IV — DOS PEDIDOS</w:t>
      </w:r>
    </w:p>
    <w:p w14:paraId="54202500" w14:textId="77777777" w:rsidR="00476A55" w:rsidRDefault="00476A55"/>
    <w:p w14:paraId="7038557A" w14:textId="77777777" w:rsidR="00476A55" w:rsidRDefault="00000000">
      <w:pPr>
        <w:pStyle w:val="AECorpo"/>
      </w:pPr>
      <w:r>
        <w:t>Ante o exposto, requer:</w:t>
      </w:r>
    </w:p>
    <w:p w14:paraId="3C34196A" w14:textId="77777777" w:rsidR="00476A55" w:rsidRDefault="00476A55"/>
    <w:p w14:paraId="35BFC728" w14:textId="77777777" w:rsidR="00476A55" w:rsidRDefault="00000000">
      <w:pPr>
        <w:pStyle w:val="AECorpo"/>
      </w:pPr>
      <w:r>
        <w:t xml:space="preserve">O conhecimento e </w:t>
      </w:r>
      <w:r>
        <w:rPr>
          <w:b/>
        </w:rPr>
        <w:t>provimento</w:t>
      </w:r>
      <w:r>
        <w:t xml:space="preserve"> do presente writ, para que seja declarada a nulidade absoluta da busca domiciliar e, por consequência, de todos os atos dela derivados, notadamente o auto de prisão em flagrante e a decisão que converteu a prisão em preventiva;</w:t>
      </w:r>
    </w:p>
    <w:p w14:paraId="19482698" w14:textId="77777777" w:rsidR="00476A55" w:rsidRDefault="00000000">
      <w:pPr>
        <w:pStyle w:val="AECorpo"/>
      </w:pPr>
      <w:r>
        <w:t xml:space="preserve">Subsidiariamente, a </w:t>
      </w:r>
      <w:r>
        <w:rPr>
          <w:b/>
        </w:rPr>
        <w:t>revogação da prisão preventiva</w:t>
      </w:r>
      <w:r>
        <w:t xml:space="preserve"> por ausência de seus pressupostos legais, com expedição imediata de alvará de soltura em favor do Paciente;</w:t>
      </w:r>
    </w:p>
    <w:p w14:paraId="7FFD5F9E" w14:textId="77777777" w:rsidR="00476A55" w:rsidRDefault="00000000">
      <w:pPr>
        <w:pStyle w:val="AECorpo"/>
      </w:pPr>
      <w:r>
        <w:t xml:space="preserve">Em ambos os casos, a </w:t>
      </w:r>
      <w:r>
        <w:rPr>
          <w:b/>
        </w:rPr>
        <w:t>desclassificação</w:t>
      </w:r>
      <w:r>
        <w:t xml:space="preserve"> da conduta para o art. 28 da Lei nº 11.343/2006, por se tratar de usuário, não traficante;</w:t>
      </w:r>
    </w:p>
    <w:p w14:paraId="364A3EC3" w14:textId="77777777" w:rsidR="00476A55" w:rsidRDefault="00000000">
      <w:pPr>
        <w:pStyle w:val="AECorpo"/>
      </w:pPr>
      <w:r>
        <w:t xml:space="preserve">A concessão de </w:t>
      </w:r>
      <w:r>
        <w:rPr>
          <w:b/>
        </w:rPr>
        <w:t>liminar</w:t>
      </w:r>
      <w:r>
        <w:t>, com expedição urgente do alvará de soltura, ante o constrangimento ilegal manifesto.</w:t>
      </w:r>
    </w:p>
    <w:p w14:paraId="59569D2C" w14:textId="77777777" w:rsidR="00476A55" w:rsidRDefault="00476A55"/>
    <w:p w14:paraId="44FBFC8C" w14:textId="77777777" w:rsidR="004C74B8" w:rsidRDefault="004C74B8"/>
    <w:p w14:paraId="33EDF7C5" w14:textId="77777777" w:rsidR="004C74B8" w:rsidRDefault="004C74B8"/>
    <w:p w14:paraId="7D774B5F" w14:textId="77777777" w:rsidR="004C74B8" w:rsidRDefault="004C74B8"/>
    <w:tbl>
      <w:tblPr>
        <w:tblW w:w="5000" w:type="pct"/>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4785"/>
        <w:gridCol w:w="4786"/>
      </w:tblGrid>
      <w:tr w:rsidR="00476A55" w14:paraId="11DDB4EF" w14:textId="77777777">
        <w:tc>
          <w:tcPr>
            <w:tcW w:w="9354" w:type="dxa"/>
            <w:gridSpan w:val="2"/>
            <w:shd w:val="clear" w:color="auto" w:fill="F1F1EB"/>
          </w:tcPr>
          <w:p w14:paraId="6AD8951F" w14:textId="77777777" w:rsidR="00476A55" w:rsidRDefault="00000000">
            <w:pPr>
              <w:jc w:val="center"/>
            </w:pPr>
            <w:r>
              <w:rPr>
                <w:b/>
              </w:rPr>
              <w:t>DOCUMENTOS ANEXADOS</w:t>
            </w:r>
          </w:p>
        </w:tc>
      </w:tr>
      <w:tr w:rsidR="00476A55" w14:paraId="05292E5F" w14:textId="77777777">
        <w:tc>
          <w:tcPr>
            <w:tcW w:w="4677" w:type="dxa"/>
            <w:shd w:val="clear" w:color="auto" w:fill="F8F8F6"/>
          </w:tcPr>
          <w:p w14:paraId="0172F33E" w14:textId="77777777" w:rsidR="00476A55" w:rsidRDefault="00000000">
            <w:r>
              <w:t>Boletim de Ocorrência nº 2024/302</w:t>
            </w:r>
          </w:p>
        </w:tc>
        <w:tc>
          <w:tcPr>
            <w:tcW w:w="4677" w:type="dxa"/>
            <w:shd w:val="clear" w:color="auto" w:fill="F8F8F6"/>
          </w:tcPr>
          <w:p w14:paraId="31EA50C4" w14:textId="77777777" w:rsidR="00476A55" w:rsidRDefault="00000000">
            <w:r>
              <w:t>Anexo 1</w:t>
            </w:r>
          </w:p>
        </w:tc>
      </w:tr>
      <w:tr w:rsidR="00476A55" w14:paraId="723636D8" w14:textId="77777777">
        <w:tc>
          <w:tcPr>
            <w:tcW w:w="4677" w:type="dxa"/>
            <w:shd w:val="clear" w:color="auto" w:fill="FFFFFF"/>
          </w:tcPr>
          <w:p w14:paraId="17E4B636" w14:textId="77777777" w:rsidR="00476A55" w:rsidRDefault="00000000">
            <w:r>
              <w:t>Termo de Audiência de Custódia</w:t>
            </w:r>
          </w:p>
        </w:tc>
        <w:tc>
          <w:tcPr>
            <w:tcW w:w="4677" w:type="dxa"/>
            <w:shd w:val="clear" w:color="auto" w:fill="FFFFFF"/>
          </w:tcPr>
          <w:p w14:paraId="3C2F0095" w14:textId="77777777" w:rsidR="00476A55" w:rsidRDefault="00000000">
            <w:r>
              <w:t>Anexo 2</w:t>
            </w:r>
          </w:p>
        </w:tc>
      </w:tr>
      <w:tr w:rsidR="00476A55" w14:paraId="66871649" w14:textId="77777777">
        <w:tc>
          <w:tcPr>
            <w:tcW w:w="4677" w:type="dxa"/>
            <w:shd w:val="clear" w:color="auto" w:fill="F8F8F6"/>
          </w:tcPr>
          <w:p w14:paraId="24E2F57B" w14:textId="77777777" w:rsidR="00476A55" w:rsidRDefault="00000000">
            <w:r>
              <w:t>Laudo Pericial ICIT nº 876/2026</w:t>
            </w:r>
          </w:p>
        </w:tc>
        <w:tc>
          <w:tcPr>
            <w:tcW w:w="4677" w:type="dxa"/>
            <w:shd w:val="clear" w:color="auto" w:fill="F8F8F6"/>
          </w:tcPr>
          <w:p w14:paraId="31F030A6" w14:textId="77777777" w:rsidR="00476A55" w:rsidRDefault="00000000">
            <w:r>
              <w:t>Anexo 3</w:t>
            </w:r>
          </w:p>
        </w:tc>
      </w:tr>
      <w:tr w:rsidR="00476A55" w14:paraId="7E3DF096" w14:textId="77777777">
        <w:tc>
          <w:tcPr>
            <w:tcW w:w="4677" w:type="dxa"/>
            <w:shd w:val="clear" w:color="auto" w:fill="FFFFFF"/>
          </w:tcPr>
          <w:p w14:paraId="676EE162" w14:textId="77777777" w:rsidR="00476A55" w:rsidRDefault="00000000">
            <w:r>
              <w:t>Decisão de Conversão em Preventiva</w:t>
            </w:r>
          </w:p>
        </w:tc>
        <w:tc>
          <w:tcPr>
            <w:tcW w:w="4677" w:type="dxa"/>
            <w:shd w:val="clear" w:color="auto" w:fill="FFFFFF"/>
          </w:tcPr>
          <w:p w14:paraId="23C957E7" w14:textId="77777777" w:rsidR="00476A55" w:rsidRDefault="00000000">
            <w:r>
              <w:t>Anexo 4</w:t>
            </w:r>
          </w:p>
        </w:tc>
      </w:tr>
      <w:tr w:rsidR="00476A55" w14:paraId="7A024CED" w14:textId="77777777">
        <w:tc>
          <w:tcPr>
            <w:tcW w:w="4677" w:type="dxa"/>
            <w:shd w:val="clear" w:color="auto" w:fill="F8F8F6"/>
          </w:tcPr>
          <w:p w14:paraId="2943A91F" w14:textId="77777777" w:rsidR="00476A55" w:rsidRDefault="00000000">
            <w:r>
              <w:t>Declarações das Testemunhas</w:t>
            </w:r>
          </w:p>
        </w:tc>
        <w:tc>
          <w:tcPr>
            <w:tcW w:w="4677" w:type="dxa"/>
            <w:shd w:val="clear" w:color="auto" w:fill="F8F8F6"/>
          </w:tcPr>
          <w:p w14:paraId="23BBE30E" w14:textId="77777777" w:rsidR="00476A55" w:rsidRDefault="00000000">
            <w:r>
              <w:t>Anexo 5</w:t>
            </w:r>
          </w:p>
        </w:tc>
      </w:tr>
      <w:tr w:rsidR="00476A55" w14:paraId="08F716A2" w14:textId="77777777">
        <w:tc>
          <w:tcPr>
            <w:tcW w:w="4677" w:type="dxa"/>
            <w:shd w:val="clear" w:color="auto" w:fill="FFFFFF"/>
          </w:tcPr>
          <w:p w14:paraId="454E0CD2" w14:textId="77777777" w:rsidR="00476A55" w:rsidRDefault="00000000">
            <w:r>
              <w:t>Comprovante de Residência e Emprego do Paciente</w:t>
            </w:r>
          </w:p>
        </w:tc>
        <w:tc>
          <w:tcPr>
            <w:tcW w:w="4677" w:type="dxa"/>
            <w:shd w:val="clear" w:color="auto" w:fill="FFFFFF"/>
          </w:tcPr>
          <w:p w14:paraId="5E4E9D58" w14:textId="77777777" w:rsidR="00476A55" w:rsidRDefault="00000000">
            <w:r>
              <w:t>Anexo 6</w:t>
            </w:r>
          </w:p>
        </w:tc>
      </w:tr>
    </w:tbl>
    <w:p w14:paraId="0A2BFA47" w14:textId="77777777" w:rsidR="00476A55" w:rsidRDefault="00476A55"/>
    <w:p w14:paraId="542D3CD3" w14:textId="77777777" w:rsidR="00476A55" w:rsidRDefault="00476A55"/>
    <w:p w14:paraId="66834BFB" w14:textId="77777777" w:rsidR="00476A55" w:rsidRDefault="00000000">
      <w:pPr>
        <w:pStyle w:val="AECorpo"/>
      </w:pPr>
      <w:r>
        <w:t>Termos em que,</w:t>
      </w:r>
    </w:p>
    <w:p w14:paraId="5606DA83" w14:textId="77777777" w:rsidR="00476A55" w:rsidRDefault="00000000">
      <w:pPr>
        <w:pStyle w:val="AECorpo"/>
      </w:pPr>
      <w:r>
        <w:t>Pede deferimento.</w:t>
      </w:r>
    </w:p>
    <w:p w14:paraId="5FF9B6DE" w14:textId="77777777" w:rsidR="00476A55" w:rsidRDefault="00476A55"/>
    <w:p w14:paraId="09E95657" w14:textId="77777777" w:rsidR="00476A55" w:rsidRDefault="00476A55"/>
    <w:p w14:paraId="57A20C77" w14:textId="77777777" w:rsidR="00476A55" w:rsidRDefault="00476A55"/>
    <w:p w14:paraId="7EC5084B" w14:textId="77777777" w:rsidR="00476A55" w:rsidRDefault="00000000">
      <w:pPr>
        <w:jc w:val="center"/>
      </w:pPr>
      <w:r>
        <w:rPr>
          <w:b/>
        </w:rPr>
        <w:t>São José dos Campos, 29 de junho de 2026.</w:t>
      </w:r>
    </w:p>
    <w:p w14:paraId="67DC27FE" w14:textId="77777777" w:rsidR="00476A55" w:rsidRDefault="00476A55"/>
    <w:p w14:paraId="03F73A22" w14:textId="77777777" w:rsidR="00476A55" w:rsidRDefault="00000000">
      <w:pPr>
        <w:jc w:val="center"/>
      </w:pPr>
      <w:r>
        <w:rPr>
          <w:b/>
        </w:rPr>
        <w:t>Angelo Epifanio</w:t>
      </w:r>
    </w:p>
    <w:p w14:paraId="3E7DCB52" w14:textId="77777777" w:rsidR="00476A55" w:rsidRDefault="00000000">
      <w:pPr>
        <w:jc w:val="center"/>
      </w:pPr>
      <w:r>
        <w:t>OAB/SP 98.432</w:t>
      </w:r>
    </w:p>
    <w:sectPr w:rsidR="00476A55" w:rsidSect="00034616">
      <w:headerReference w:type="default" r:id="rId8"/>
      <w:footerReference w:type="default" r:id="rId9"/>
      <w:pgSz w:w="11906" w:h="16838"/>
      <w:pgMar w:top="1134" w:right="1134" w:bottom="1500" w:left="1417" w:header="283" w:footer="3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68A14AC" w14:textId="77777777" w:rsidR="00DD19A9" w:rsidRDefault="00DD19A9">
      <w:pPr>
        <w:spacing w:after="0" w:line="240" w:lineRule="auto"/>
      </w:pPr>
      <w:r>
        <w:separator/>
      </w:r>
    </w:p>
  </w:endnote>
  <w:endnote w:type="continuationSeparator" w:id="0">
    <w:p w14:paraId="62937B62" w14:textId="77777777" w:rsidR="00DD19A9" w:rsidRDefault="00DD19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E785F" w14:textId="77777777" w:rsidR="00476A55" w:rsidRDefault="00000000">
    <w:pPr>
      <w:shd w:val="clear" w:color="auto" w:fill="0B2341"/>
      <w:spacing w:after="0" w:line="567" w:lineRule="exact"/>
      <w:ind w:left="-1417" w:right="-1134"/>
    </w:pPr>
    <w:r>
      <w:rPr>
        <w:rFonts w:ascii="Arial" w:hAnsi="Arial"/>
        <w:b/>
        <w:color w:val="FFFFFF"/>
        <w:spacing w:val="80"/>
        <w:sz w:val="32"/>
      </w:rPr>
      <w:t xml:space="preserve">   AE</w:t>
    </w:r>
    <w:r>
      <w:rPr>
        <w:rFonts w:ascii="Arial" w:hAnsi="Arial"/>
        <w:color w:val="FFFFFF"/>
        <w:sz w:val="14"/>
      </w:rPr>
      <w:t xml:space="preserve">   </w:t>
    </w:r>
    <w:r>
      <w:rPr>
        <w:rFonts w:ascii="Arial" w:hAnsi="Arial"/>
        <w:b/>
        <w:color w:val="FFFFFF"/>
        <w:spacing w:val="15"/>
        <w:sz w:val="16"/>
      </w:rPr>
      <w:t>ANGELO EPIFANIO ADVOCACIA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7CFEAD5" w14:textId="77777777" w:rsidR="00DD19A9" w:rsidRDefault="00DD19A9">
      <w:pPr>
        <w:spacing w:after="0" w:line="240" w:lineRule="auto"/>
      </w:pPr>
      <w:r>
        <w:separator/>
      </w:r>
    </w:p>
  </w:footnote>
  <w:footnote w:type="continuationSeparator" w:id="0">
    <w:p w14:paraId="76193237" w14:textId="77777777" w:rsidR="00DD19A9" w:rsidRDefault="00DD19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9355" w:type="dxa"/>
      <w:tblLayout w:type="fixed"/>
      <w:tblLook w:val="04A0" w:firstRow="1" w:lastRow="0" w:firstColumn="1" w:lastColumn="0" w:noHBand="0" w:noVBand="1"/>
    </w:tblPr>
    <w:tblGrid>
      <w:gridCol w:w="851"/>
      <w:gridCol w:w="5669"/>
      <w:gridCol w:w="2835"/>
    </w:tblGrid>
    <w:tr w:rsidR="00476A55" w14:paraId="1095E08F" w14:textId="77777777">
      <w:tc>
        <w:tcPr>
          <w:tcW w:w="851" w:type="dxa"/>
          <w:vAlign w:val="center"/>
        </w:tcPr>
        <w:p w14:paraId="556F0C2A" w14:textId="77777777" w:rsidR="00476A55" w:rsidRDefault="00476A55"/>
      </w:tc>
      <w:tc>
        <w:tcPr>
          <w:tcW w:w="5669" w:type="dxa"/>
          <w:vAlign w:val="center"/>
        </w:tcPr>
        <w:p w14:paraId="203279E8" w14:textId="77777777" w:rsidR="00476A55" w:rsidRDefault="00000000">
          <w:pPr>
            <w:pBdr>
              <w:bottom w:val="single" w:sz="4" w:space="3" w:color="B69A54"/>
            </w:pBdr>
            <w:spacing w:before="80" w:after="40" w:line="240" w:lineRule="auto"/>
            <w:jc w:val="center"/>
          </w:pPr>
          <w:r>
            <w:rPr>
              <w:rFonts w:ascii="Georgia" w:hAnsi="Georgia"/>
              <w:b/>
              <w:color w:val="0B2341"/>
              <w:spacing w:val="80"/>
              <w:sz w:val="56"/>
            </w:rPr>
            <w:t>AE</w:t>
          </w:r>
        </w:p>
        <w:p w14:paraId="4B7B7A2B" w14:textId="77777777" w:rsidR="00476A55" w:rsidRDefault="00000000">
          <w:pPr>
            <w:pBdr>
              <w:bottom w:val="single" w:sz="4" w:space="3" w:color="B69A54"/>
            </w:pBdr>
            <w:spacing w:before="80" w:after="0" w:line="240" w:lineRule="auto"/>
            <w:jc w:val="center"/>
          </w:pPr>
          <w:r>
            <w:rPr>
              <w:rFonts w:ascii="Georgia" w:hAnsi="Georgia"/>
              <w:b/>
              <w:color w:val="0B2341"/>
              <w:spacing w:val="100"/>
              <w:sz w:val="18"/>
            </w:rPr>
            <w:t>ANGELO EPIFANIO</w:t>
          </w:r>
        </w:p>
        <w:p w14:paraId="5B0AA8FF" w14:textId="77777777" w:rsidR="00476A55" w:rsidRDefault="00000000">
          <w:pPr>
            <w:spacing w:before="60" w:after="80" w:line="240" w:lineRule="auto"/>
            <w:jc w:val="center"/>
          </w:pPr>
          <w:r>
            <w:rPr>
              <w:rFonts w:ascii="Arial" w:hAnsi="Arial"/>
              <w:color w:val="8A9099"/>
              <w:spacing w:val="160"/>
              <w:sz w:val="15"/>
            </w:rPr>
            <w:t>ADVOCACIA</w:t>
          </w:r>
        </w:p>
      </w:tc>
      <w:tc>
        <w:tcPr>
          <w:tcW w:w="2835" w:type="dxa"/>
          <w:vAlign w:val="center"/>
        </w:tcPr>
        <w:p w14:paraId="4302359F" w14:textId="77777777" w:rsidR="00476A55" w:rsidRDefault="00000000">
          <w:pPr>
            <w:spacing w:after="20" w:line="240" w:lineRule="auto"/>
            <w:jc w:val="right"/>
          </w:pPr>
          <w:r>
            <w:rPr>
              <w:rFonts w:ascii="Arial" w:hAnsi="Arial"/>
              <w:b/>
              <w:color w:val="0B2341"/>
              <w:spacing w:val="80"/>
              <w:sz w:val="18"/>
            </w:rPr>
            <w:t>OAB/SP XXXXX</w:t>
          </w:r>
        </w:p>
        <w:p w14:paraId="46CFFFAF" w14:textId="77777777" w:rsidR="00476A55" w:rsidRDefault="00476A55">
          <w:pPr>
            <w:spacing w:after="20" w:line="240" w:lineRule="auto"/>
            <w:jc w:val="right"/>
          </w:pPr>
        </w:p>
        <w:p w14:paraId="3490BE22" w14:textId="77777777" w:rsidR="00476A55" w:rsidRDefault="00000000">
          <w:pPr>
            <w:spacing w:after="20" w:line="240" w:lineRule="auto"/>
            <w:jc w:val="right"/>
          </w:pPr>
          <w:r>
            <w:rPr>
              <w:rFonts w:ascii="Arial" w:hAnsi="Arial"/>
              <w:color w:val="8A9099"/>
              <w:sz w:val="15"/>
            </w:rPr>
            <w:t>www.angeloepifanio.com.br</w:t>
          </w:r>
        </w:p>
        <w:p w14:paraId="2FDAE4DC" w14:textId="77777777" w:rsidR="00476A55" w:rsidRDefault="00000000">
          <w:pPr>
            <w:spacing w:after="20" w:line="240" w:lineRule="auto"/>
            <w:jc w:val="right"/>
          </w:pPr>
          <w:r>
            <w:rPr>
              <w:rFonts w:ascii="Arial" w:hAnsi="Arial"/>
              <w:color w:val="8A9099"/>
              <w:sz w:val="15"/>
            </w:rPr>
            <w:t>contato@angeloepifanio.com.br</w:t>
          </w:r>
        </w:p>
        <w:p w14:paraId="7B8AA2D6" w14:textId="77777777" w:rsidR="00476A55" w:rsidRDefault="00000000">
          <w:pPr>
            <w:spacing w:after="20" w:line="240" w:lineRule="auto"/>
            <w:jc w:val="right"/>
          </w:pPr>
          <w:r>
            <w:rPr>
              <w:rFonts w:ascii="Arial" w:hAnsi="Arial"/>
              <w:color w:val="8A9099"/>
              <w:sz w:val="15"/>
            </w:rPr>
            <w:t>(12) 99999-9999</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1228615115">
    <w:abstractNumId w:val="8"/>
  </w:num>
  <w:num w:numId="2" w16cid:durableId="1713573718">
    <w:abstractNumId w:val="6"/>
  </w:num>
  <w:num w:numId="3" w16cid:durableId="1778020832">
    <w:abstractNumId w:val="5"/>
  </w:num>
  <w:num w:numId="4" w16cid:durableId="1996713630">
    <w:abstractNumId w:val="4"/>
  </w:num>
  <w:num w:numId="5" w16cid:durableId="1612007101">
    <w:abstractNumId w:val="7"/>
  </w:num>
  <w:num w:numId="6" w16cid:durableId="1179736490">
    <w:abstractNumId w:val="3"/>
  </w:num>
  <w:num w:numId="7" w16cid:durableId="1643118879">
    <w:abstractNumId w:val="2"/>
  </w:num>
  <w:num w:numId="8" w16cid:durableId="588317070">
    <w:abstractNumId w:val="1"/>
  </w:num>
  <w:num w:numId="9" w16cid:durableId="85950971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76A55"/>
    <w:rsid w:val="004C74B8"/>
    <w:rsid w:val="008C40B2"/>
    <w:rsid w:val="00AA1D8D"/>
    <w:rsid w:val="00B47730"/>
    <w:rsid w:val="00CB0664"/>
    <w:rsid w:val="00DD19A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F9DE4F"/>
  <w14:defaultImageDpi w14:val="300"/>
  <w15:docId w15:val="{1BE68E41-D939-764C-994B-12A040BEF1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ETtulo1">
    <w:name w:val="AE Título 1"/>
    <w:pPr>
      <w:spacing w:before="240" w:after="120" w:line="360" w:lineRule="exact"/>
      <w:jc w:val="center"/>
    </w:pPr>
    <w:rPr>
      <w:rFonts w:ascii="Georgia" w:hAnsi="Georgia"/>
      <w:b/>
      <w:color w:val="0B2341"/>
      <w:sz w:val="28"/>
    </w:rPr>
  </w:style>
  <w:style w:type="paragraph" w:customStyle="1" w:styleId="AETtulo2">
    <w:name w:val="AE Título 2"/>
    <w:pPr>
      <w:spacing w:before="200" w:after="80" w:line="360" w:lineRule="exact"/>
    </w:pPr>
    <w:rPr>
      <w:rFonts w:ascii="Georgia" w:hAnsi="Georgia"/>
      <w:b/>
      <w:color w:val="0B2341"/>
      <w:sz w:val="24"/>
    </w:rPr>
  </w:style>
  <w:style w:type="paragraph" w:customStyle="1" w:styleId="AETtulo3">
    <w:name w:val="AE Título 3"/>
    <w:pPr>
      <w:spacing w:before="160" w:after="80" w:line="360" w:lineRule="exact"/>
    </w:pPr>
    <w:rPr>
      <w:rFonts w:ascii="Georgia" w:hAnsi="Georgia"/>
      <w:b/>
      <w:i/>
      <w:color w:val="173A63"/>
    </w:rPr>
  </w:style>
  <w:style w:type="paragraph" w:customStyle="1" w:styleId="AECorpo">
    <w:name w:val="AE Corpo"/>
    <w:pPr>
      <w:spacing w:after="120" w:line="360" w:lineRule="exact"/>
      <w:jc w:val="both"/>
    </w:pPr>
    <w:rPr>
      <w:rFonts w:ascii="Times New Roman" w:hAnsi="Times New Roman"/>
      <w:sz w:val="24"/>
    </w:rPr>
  </w:style>
  <w:style w:type="paragraph" w:customStyle="1" w:styleId="AECitao">
    <w:name w:val="AE Citação"/>
    <w:pPr>
      <w:spacing w:before="120" w:after="120" w:line="340" w:lineRule="exact"/>
      <w:jc w:val="both"/>
    </w:pPr>
    <w:rPr>
      <w:rFonts w:ascii="Times New Roman" w:hAnsi="Times New Roman"/>
      <w:i/>
      <w:color w:val="173A63"/>
    </w:rPr>
  </w:style>
  <w:style w:type="paragraph" w:customStyle="1" w:styleId="AENota">
    <w:name w:val="AE Nota"/>
    <w:pPr>
      <w:spacing w:after="60" w:line="240" w:lineRule="exact"/>
    </w:pPr>
    <w:rPr>
      <w:rFonts w:ascii="Arial" w:hAnsi="Arial"/>
      <w:color w:val="8A9099"/>
      <w:sz w:val="18"/>
    </w:rPr>
  </w:style>
  <w:style w:type="paragraph" w:customStyle="1" w:styleId="AEEndereamento">
    <w:name w:val="AE Endereçamento"/>
    <w:pPr>
      <w:spacing w:after="80" w:line="360" w:lineRule="exact"/>
    </w:pPr>
    <w:rPr>
      <w:rFonts w:ascii="Times New Roman" w:hAnsi="Times New Roman"/>
      <w:b/>
      <w:sz w:val="24"/>
    </w:rPr>
  </w:style>
  <w:style w:type="paragraph" w:customStyle="1" w:styleId="AEOrnamento">
    <w:name w:val="AE Ornamento"/>
    <w:pPr>
      <w:spacing w:before="80" w:after="80" w:line="240" w:lineRule="exact"/>
      <w:jc w:val="center"/>
    </w:pPr>
    <w:rPr>
      <w:rFonts w:ascii="Georgia" w:hAnsi="Georgia"/>
      <w:color w:val="B69A54"/>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6</Pages>
  <Words>1055</Words>
  <Characters>5808</Characters>
  <Application>Microsoft Office Word</Application>
  <DocSecurity>0</DocSecurity>
  <Lines>207</Lines>
  <Paragraphs>120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Angelo Epifanio</cp:lastModifiedBy>
  <cp:revision>2</cp:revision>
  <cp:lastPrinted>2026-06-29T16:33:00Z</cp:lastPrinted>
  <dcterms:created xsi:type="dcterms:W3CDTF">2013-12-23T23:15:00Z</dcterms:created>
  <dcterms:modified xsi:type="dcterms:W3CDTF">2026-06-29T16:34:00Z</dcterms:modified>
  <cp:category/>
</cp:coreProperties>
</file>