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/>
      <w:r>
        <w:rPr>
          <w:b w:val="0"/>
          <w:i w:val="0"/>
        </w:rPr>
        <w:t>AO EXMO. SR. DESEMBARGADOR PRESIDENTE</w:t>
      </w:r>
    </w:p>
    <w:p>
      <w:pPr/>
      <w:r>
        <w:rPr>
          <w:b/>
          <w:i w:val="0"/>
        </w:rPr>
        <w:t>Tribunal de Justiça do Estado de São Paulo</w:t>
      </w:r>
    </w:p>
    <w:p/>
    <w:p>
      <w:pPr/>
      <w:r>
        <w:rPr>
          <w:b w:val="0"/>
          <w:i w:val="0"/>
        </w:rPr>
        <w:t>Autos de origem nº 1001234-55.2024.8.26.0001 — 3.ª Vara Cível da Comarca de São José dos Campos/SP</w:t>
      </w:r>
    </w:p>
    <w:p/>
    <w:p>
      <w:pPr/>
      <w:r>
        <w:rPr>
          <w:b/>
          <w:i w:val="0"/>
        </w:rPr>
        <w:t>CARLOS EDUARDO MARTINS</w:t>
      </w:r>
      <w:r>
        <w:rPr>
          <w:b w:val="0"/>
          <w:i w:val="0"/>
        </w:rPr>
        <w:t>, brasileiro, casado, engenheiro, RG nº 34.567.890-1 SSP/SP, CPF nº 345.678.901-23, residente na Rua das Palmeiras, nº 456, Vila Nova, CEP 04567-890, São José dos Campos/SP, por intermédio de seu advogado que esta subscreve, com fulcro nos arts. 1.015, I, e 1.019, I, do CPC/2015 e na Lei nº 11.340/2006, interpor</w:t>
      </w:r>
    </w:p>
    <w:p/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AGRAVO DE INSTRUMENTO</w:t>
      </w:r>
    </w:p>
    <w:p>
      <w:pPr>
        <w:jc w:val="center"/>
      </w:pPr>
      <w:r>
        <w:rPr>
          <w:rFonts w:ascii="Times New Roman" w:hAnsi="Times New Roman"/>
          <w:b/>
          <w:color w:val="0D2340"/>
          <w:sz w:val="32"/>
        </w:rPr>
        <w:t>COM PEDIDO DE TUTELA RECURSAL</w:t>
      </w:r>
    </w:p>
    <w:p>
      <w:pPr>
        <w:jc w:val="center"/>
      </w:pPr>
      <w:r>
        <w:rPr>
          <w:color w:val="0D2340"/>
          <w:sz w:val="20"/>
        </w:rPr>
        <w:t>◆</w:t>
      </w:r>
    </w:p>
    <w:p/>
    <w:p/>
    <w:p>
      <w:pPr/>
      <w:r>
        <w:rPr>
          <w:b w:val="0"/>
          <w:i w:val="0"/>
        </w:rPr>
        <w:t xml:space="preserve">contra decisão proferida pelo juízo </w:t>
      </w:r>
      <w:r>
        <w:rPr>
          <w:b w:val="0"/>
          <w:i/>
        </w:rPr>
        <w:t>a quo</w:t>
      </w:r>
      <w:r>
        <w:rPr>
          <w:b w:val="0"/>
          <w:i w:val="0"/>
        </w:rPr>
        <w:t xml:space="preserve"> nos autos em epígrafe, que move em face de </w:t>
      </w:r>
      <w:r>
        <w:rPr>
          <w:b/>
          <w:i w:val="0"/>
        </w:rPr>
        <w:t>SAÚDE TOTAL OPERADORA DE PLANOS DE SAÚDE LTDA.</w:t>
      </w:r>
      <w:r>
        <w:rPr>
          <w:b w:val="0"/>
          <w:i w:val="0"/>
        </w:rPr>
        <w:t>, já qualificada no processo originário, pelas razões de fato e de direito expostas, requerendo seja recebido e processado na forma da lei para, ao final, ser conhecido e provido.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19"/>
        <w:gridCol w:w="4419"/>
      </w:tblGrid>
      <w:tr>
        <w:tc>
          <w:tcPr>
            <w:tcW w:type="dxa" w:w="4419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DECISÃO RECORRIDA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  <w:tc>
          <w:tcPr>
            <w:tcW w:type="dxa" w:w="4419"/>
            <w:shd w:val="clear" w:color="auto" w:fill="0D2340"/>
          </w:tcPr>
          <w:p>
            <w:pPr>
              <w:jc w:val="center"/>
              <w:spacing w:before="60" w:after="40"/>
            </w:pPr>
            <w:r>
              <w:rPr>
                <w:b w:val="0"/>
                <w:color w:val="FFFFFF"/>
                <w:sz w:val="18"/>
                <w:spacing w:val="80"/>
              </w:rPr>
              <w:t>PEDIDO</w:t>
            </w:r>
          </w:p>
          <w:p>
            <w:pPr>
              <w:jc w:val="center"/>
              <w:spacing w:before="0" w:after="60"/>
            </w:pPr>
            <w:r>
              <w:rPr>
                <w:color w:val="C8D2E1"/>
                <w:sz w:val="14"/>
              </w:rPr>
              <w:t>◆</w:t>
            </w:r>
          </w:p>
        </w:tc>
      </w:tr>
      <w:tr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 xml:space="preserve">O juízo </w:t>
            </w:r>
            <w:r>
              <w:rPr>
                <w:b w:val="0"/>
                <w:i/>
              </w:rPr>
              <w:t>a quo</w:t>
            </w:r>
            <w:r>
              <w:rPr>
                <w:b w:val="0"/>
                <w:i w:val="0"/>
              </w:rPr>
              <w:t xml:space="preserve"> deferiu parcialmente a tutela de urgência, autorizando o tratamento oncológico mas limitando a cobertura a 12 sessões de quimioterapia, sem amparo legal ou técnico para tal restrição quantitativa.</w:t>
            </w:r>
          </w:p>
        </w:tc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>Reforma integral da decisão para que a ré seja compelida a custear todas as sessões de quimioterapia prescritas pelo oncologista assistente, sem qualquer limitação de quantidade, enquanto necessário segundo indicação médica, sob pena de astreintes de R$ 5.000,00 por dia de descumprimento.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 w:val="0"/>
          <w:color w:val="0D2340"/>
          <w:sz w:val="22"/>
          <w:spacing w:val="80"/>
        </w:rPr>
        <w:t>JUSTIFICATIVA DA REFORMA</w:t>
      </w:r>
    </w:p>
    <w:p>
      <w:pPr>
        <w:jc w:val="center"/>
      </w:pPr>
      <w:r>
        <w:rPr>
          <w:color w:val="0D2340"/>
          <w:sz w:val="16"/>
        </w:rPr>
        <w:t>◆</w:t>
      </w:r>
    </w:p>
    <w:p/>
    <w:p/>
    <w:p>
      <w:pPr/>
      <w:r>
        <w:rPr>
          <w:b w:val="0"/>
          <w:i w:val="0"/>
        </w:rPr>
        <w:t>A Resolução Normativa ANS nº 465/2021 veda expressamente qualquer limitação quantitativa à cobertura de quimioterapia — a decisão recorrida contraria norma de ordem pública regulatória.</w:t>
      </w:r>
    </w:p>
    <w:p>
      <w:pPr/>
      <w:r>
        <w:rPr>
          <w:b w:val="0"/>
          <w:i w:val="0"/>
        </w:rPr>
        <w:t>O Superior Tribunal de Justiça pacificou, pela Súmula 302, que "É abusiva a cláusula contratual de plano de saúde que limita no tempo a internação hospitalar do segurado." O mesmo raciocínio se aplica, por analogia, à limitação de sessões de tratamento contínuo.</w:t>
      </w:r>
    </w:p>
    <w:p>
      <w:pPr/>
      <w:r>
        <w:rPr>
          <w:b w:val="0"/>
          <w:i w:val="0"/>
        </w:rPr>
        <w:t>A limitação imposta causa dano imediato e irreparável à saúde do recorrente — cada semana de tratamento incompleto reduz a eficácia terapêutica e aumenta o risco de progressão tumoral, conforme laudo pericial juntado aos autos (Anexo 3).</w:t>
      </w:r>
    </w:p>
    <w:p>
      <w:pPr/>
      <w:r>
        <w:rPr>
          <w:b w:val="0"/>
          <w:i w:val="0"/>
        </w:rPr>
        <w:t>O fumus boni iuris é inequívoco: prescrição médica documentada, procedimento no Rol ANS, ausência de fundamento técnico na limitação imposta. O periculum in mora decorre da natureza do quadro clínico oncológico.</w:t>
      </w:r>
    </w:p>
    <w:p/>
    <w:p>
      <w:pPr>
        <w:jc w:val="center"/>
      </w:pPr>
      <w:r>
        <w:rPr>
          <w:b/>
          <w:i w:val="0"/>
        </w:rPr>
        <w:t>I — DO CABIMENTO DO AGRAVO DE INSTRUMENTO</w:t>
      </w:r>
    </w:p>
    <w:p/>
    <w:p>
      <w:pPr/>
      <w:r>
        <w:rPr>
          <w:b w:val="0"/>
          <w:i w:val="0"/>
        </w:rPr>
        <w:t>O recurso é tempestivo, tendo em vista que a decisão agravada foi publicada em &lt;data de publicação&gt;, e o presente recurso é interposto no 15.º (décimo quinto) dia útil subsequente (art. 1.003, §5.º, do CPC).</w:t>
      </w:r>
    </w:p>
    <w:p/>
    <w:p>
      <w:pPr/>
      <w:r>
        <w:rPr>
          <w:b w:val="0"/>
          <w:i w:val="0"/>
        </w:rPr>
        <w:t>A decisão é agravável por força do art. 1.015, I, do CPC, por versar sobre tutela provisória de urgência — espécie de tutela provisória que se enquadra expressamente no inciso invocado.</w:t>
      </w:r>
    </w:p>
    <w:p/>
    <w:p>
      <w:pPr>
        <w:jc w:val="center"/>
      </w:pPr>
      <w:r>
        <w:rPr>
          <w:b/>
          <w:i w:val="0"/>
        </w:rPr>
        <w:t>II — DA TUTELA RECURSAL</w:t>
      </w:r>
    </w:p>
    <w:p/>
    <w:p>
      <w:pPr/>
      <w:r>
        <w:rPr>
          <w:b w:val="0"/>
          <w:i w:val="0"/>
        </w:rPr>
        <w:t xml:space="preserve">Presentes os requisitos do art. 1.019, I, c/c art. 300 do CPC, requer-se a concessão imediata de tutela recursal, </w:t>
      </w:r>
      <w:r>
        <w:rPr>
          <w:b w:val="0"/>
          <w:i/>
        </w:rPr>
        <w:t>inaudita altera pars</w:t>
      </w:r>
      <w:r>
        <w:rPr>
          <w:b w:val="0"/>
          <w:i w:val="0"/>
        </w:rPr>
        <w:t>, para que a ré seja compelida a autorizar e custear todas as sessões de quimioterapia necessárias, sem limitação quantitativa, até o julgamento do presente recurso.</w:t>
      </w:r>
    </w:p>
    <w:p/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19"/>
        <w:gridCol w:w="4419"/>
      </w:tblGrid>
      <w:tr>
        <w:tc>
          <w:tcPr>
            <w:tcW w:type="dxa" w:w="8838"/>
            <w:gridSpan w:val="2"/>
            <w:shd w:val="clear" w:color="auto" w:fill="F1F1EB"/>
          </w:tcPr>
          <w:p>
            <w:pPr>
              <w:jc w:val="center"/>
            </w:pPr>
            <w:r>
              <w:rPr>
                <w:b/>
                <w:i w:val="0"/>
              </w:rPr>
              <w:t>Requisitos da Tutela Recursal — art. 300 do CPC</w:t>
            </w:r>
          </w:p>
        </w:tc>
      </w:tr>
      <w:tr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>Probabilidade do direito</w:t>
            </w:r>
          </w:p>
        </w:tc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>RN ANS 465/2021 + prescrição médica + ausência de fundamento técnico na decisão</w:t>
            </w:r>
          </w:p>
        </w:tc>
      </w:tr>
      <w:tr>
        <w:tc>
          <w:tcPr>
            <w:tcW w:type="dxa" w:w="4419"/>
            <w:shd w:val="clear" w:color="auto" w:fill="FFFFFF"/>
          </w:tcPr>
          <w:p>
            <w:r>
              <w:rPr>
                <w:b w:val="0"/>
                <w:i w:val="0"/>
              </w:rPr>
              <w:t>Perigo de dano irreparável</w:t>
            </w:r>
          </w:p>
        </w:tc>
        <w:tc>
          <w:tcPr>
            <w:tcW w:type="dxa" w:w="4419"/>
            <w:shd w:val="clear" w:color="auto" w:fill="FFFFFF"/>
          </w:tcPr>
          <w:p>
            <w:r>
              <w:rPr>
                <w:b w:val="0"/>
                <w:i w:val="0"/>
              </w:rPr>
              <w:t>Progressão tumoral — cada sessão suprimida compromete a eficácia do protocolo oncológico</w:t>
            </w:r>
          </w:p>
        </w:tc>
      </w:tr>
      <w:tr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>Reversibilidade</w:t>
            </w:r>
          </w:p>
        </w:tc>
        <w:tc>
          <w:tcPr>
            <w:tcW w:type="dxa" w:w="4419"/>
            <w:shd w:val="clear" w:color="auto" w:fill="F8F8F6"/>
          </w:tcPr>
          <w:p>
            <w:r>
              <w:rPr>
                <w:b w:val="0"/>
                <w:i w:val="0"/>
              </w:rPr>
              <w:t>Custear as sessões não gera dano irreparável à ré; negar gera dano irreparável e irreversível ao paciente</w:t>
            </w:r>
          </w:p>
        </w:tc>
      </w:tr>
    </w:tbl>
    <w:p/>
    <w:p/>
    <w:p>
      <w:pPr>
        <w:jc w:val="center"/>
      </w:pPr>
      <w:r>
        <w:rPr>
          <w:b/>
          <w:i w:val="0"/>
        </w:rPr>
        <w:t>III — DOS PEDIDOS</w:t>
      </w:r>
    </w:p>
    <w:p/>
    <w:p>
      <w:pPr/>
      <w:r>
        <w:rPr>
          <w:b w:val="0"/>
          <w:i w:val="0"/>
        </w:rPr>
        <w:t>Ante o exposto, requer-se:</w:t>
      </w:r>
    </w:p>
    <w:p/>
    <w:p>
      <w:pPr/>
      <w:r>
        <w:rPr>
          <w:b w:val="0"/>
          <w:i w:val="0"/>
        </w:rPr>
        <w:t>o conhecimento e provimento do presente Agravo de Instrumento, com reforma integral da decisão agravada, determinando à ré a cobertura irrestrita e sem limitação quantitativa de todas as sessões de quimioterapia prescritas;</w:t>
      </w:r>
    </w:p>
    <w:p>
      <w:pPr/>
      <w:r>
        <w:rPr>
          <w:b w:val="0"/>
          <w:i w:val="0"/>
        </w:rPr>
        <w:t xml:space="preserve">a concessão imediata de tutela recursal, </w:t>
      </w:r>
      <w:r>
        <w:rPr>
          <w:b w:val="0"/>
          <w:i/>
        </w:rPr>
        <w:t>inaudita altera pars</w:t>
      </w:r>
      <w:r>
        <w:rPr>
          <w:b w:val="0"/>
          <w:i w:val="0"/>
        </w:rPr>
        <w:t>, sob pena de astreintes de R$ 5.000,00 (cinco mil reais) por dia de descumprimento, majoráveis na forma do art. 537, §1.º, do CPC;</w:t>
      </w:r>
    </w:p>
    <w:p>
      <w:pPr/>
      <w:r>
        <w:rPr>
          <w:b w:val="0"/>
          <w:i w:val="0"/>
        </w:rPr>
        <w:t>a intimação da parte agravada para, querendo, oferecer resposta no prazo de 15 (quinze) dias (art. 1.019, II, do CPC).</w:t>
      </w:r>
    </w:p>
    <w:p/>
    <w:p>
      <w:pPr/>
      <w:r>
        <w:rPr>
          <w:b w:val="0"/>
          <w:i w:val="0"/>
        </w:rPr>
        <w:t>Nestes termos,</w:t>
      </w:r>
    </w:p>
    <w:p>
      <w:pPr/>
      <w:r>
        <w:rPr>
          <w:b w:val="0"/>
          <w:i w:val="0"/>
        </w:rPr>
        <w:t>Pede deferimento.</w:t>
      </w:r>
    </w:p>
    <w:p/>
    <w:p>
      <w:pPr/>
      <w:r>
        <w:rPr>
          <w:b w:val="0"/>
          <w:i w:val="0"/>
        </w:rPr>
        <w:t>São José dos Campos, &lt;data por extenso&gt;.</w:t>
      </w:r>
    </w:p>
    <w:p/>
    <w:p/>
    <w:p/>
    <w:p>
      <w:pPr>
        <w:jc w:val="center"/>
      </w:pPr>
      <w:r>
        <w:rPr>
          <w:b/>
          <w:i w:val="0"/>
        </w:rPr>
        <w:t>Vanildo Angelo Epifanio</w:t>
      </w:r>
    </w:p>
    <w:p>
      <w:pPr>
        <w:jc w:val="center"/>
      </w:pPr>
      <w:r>
        <w:rPr>
          <w:b w:val="0"/>
          <w:i w:val="0"/>
        </w:rPr>
        <w:t>OAB/SP nº XXXXX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551" w:right="1134" w:bottom="1417" w:left="2268" w:header="45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W w:w="5000" w:type="pct"/>
    </w:tblPr>
    <w:tblGrid>
      <w:gridCol w:w="3118"/>
      <w:gridCol w:w="3118"/>
      <w:gridCol w:w="3118"/>
    </w:tblGrid>
    <w:tr>
      <w:tc>
        <w:tcPr>
          <w:tcW w:type="dxa" w:w="3402"/>
          <w:shd w:val="clear" w:color="auto" w:fill="0D2340"/>
        </w:tcPr>
        <w:p>
          <w:pPr>
            <w:jc w:val="left"/>
            <w:spacing w:before="60" w:after="60"/>
          </w:pPr>
          <w:r>
            <w:rPr>
              <w:rFonts w:ascii="Times New Roman" w:hAnsi="Times New Roman"/>
              <w:b/>
              <w:color w:val="FFFFFF"/>
              <w:sz w:val="20"/>
            </w:rPr>
            <w:t xml:space="preserve">AE  </w:t>
          </w:r>
          <w:r>
            <w:rPr>
              <w:color w:val="B4C8DC"/>
              <w:sz w:val="14"/>
            </w:rPr>
            <w:t>ANGELO EPIFANIO ADVOCACIA</w:t>
          </w:r>
        </w:p>
      </w:tc>
      <w:tc>
        <w:tcPr>
          <w:tcW w:type="dxa" w:w="4535"/>
          <w:shd w:val="clear" w:color="auto" w:fill="0D2340"/>
        </w:tcPr>
        <w:p>
          <w:pPr>
            <w:jc w:val="center"/>
            <w:spacing w:before="60" w:after="60"/>
          </w:pPr>
          <w:r>
            <w:rPr>
              <w:color w:val="B4C8DC"/>
              <w:sz w:val="13"/>
            </w:rPr>
            <w:t>www.angeloepifanio.com.br  |  contato@angeloepifanio.com.br  |  São José dos Campos/SP</w:t>
          </w:r>
        </w:p>
      </w:tc>
      <w:tc>
        <w:tcPr>
          <w:tcW w:type="dxa" w:w="1417"/>
          <w:shd w:val="clear" w:color="auto" w:fill="0D2340"/>
        </w:tcPr>
        <w:p>
          <w:pPr>
            <w:jc w:val="right"/>
            <w:spacing w:before="60" w:after="60"/>
          </w:pPr>
          <w:r>
            <w:rPr>
              <w:b/>
              <w:color w:val="FFFFFF"/>
              <w:sz w:val="16"/>
            </w:rPr>
            <w:fldChar w:fldCharType="begin"/>
            <w:instrText xml:space="preserve"> PAGE </w:instrText>
            <w:fldChar w:fldCharType="separate"/>
            <w:t>0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bottom w:val="single" w:sz="4" w:space="4" w:color="1A3A5C"/>
      </w:pBdr>
    </w:pPr>
    <w:r>
      <w:drawing>
        <wp:inline xmlns:a="http://schemas.openxmlformats.org/drawingml/2006/main" xmlns:pic="http://schemas.openxmlformats.org/drawingml/2006/picture">
          <wp:extent cx="5940000" cy="90847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header_tm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90847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