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time-dependent reproduction number globally, regionally, nationally, and subnationally over a 12 week rolling window. Our modelling framework, based on open source tooling, accounts for uncertain reporting delays, so that the reproduction number is estimated based on underlying latent infections and not reported cases or deaths.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epidemioligcally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we have developed (</w:t>
      </w:r>
      <w:hyperlink r:id="rId22">
        <w:r>
          <w:rPr>
            <w:rStyle w:val="Hyperlink"/>
          </w:rPr>
          <w:t xml:space="preserve">https://epiforecasts.io/covid/</w:t>
        </w:r>
      </w:hyperlink>
      <w:r>
        <w:t xml:space="preserve">)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[9,10]</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[10,11]</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[10,12]</w:t>
      </w:r>
      <w:r>
        <w:t xml:space="preserve">. This linelist combines all known linelist data from over 100 countries and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independently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[9,13]</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course of the epidemic.</w:t>
      </w:r>
    </w:p>
    <w:p>
      <w:pPr>
        <w:pStyle w:val="BodyText"/>
      </w:pPr>
      <w:r>
        <w:t xml:space="preserve">This results in an onset to case report delay distribution with a mean of 2.6 days (standard deviation (SD): 1.2 days) and a standard deviation of 4.4 days (SD: 1.1 days) and an onset to death report delay distribution with a mean of 9.8 days (SD: 1.1 days) and a standard deviation of 2.1 days (SD: 1.1 days). For computational reasons the maximum allowed delay is set to be 30 days with truncation handled appropriately by</w:t>
      </w:r>
      <w:r>
        <w:t xml:space="preserve"> </w:t>
      </w:r>
      <w:r>
        <w:rPr>
          <w:rStyle w:val="VerbatimChar"/>
        </w:rPr>
        <w:t xml:space="preserve">EpiNow2</w:t>
      </w:r>
      <w:r>
        <w:t xml:space="preserve"> </w:t>
      </w:r>
      <w:r>
        <w:t xml:space="preserve">[9]</w:t>
      </w:r>
      <w:r>
        <w:t xml:space="preserv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1.2.0)</w:t>
      </w:r>
      <w:r>
        <w:t xml:space="preserve"> </w:t>
      </w:r>
      <w:r>
        <w:t xml:space="preserve">[9]</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[13]</w:t>
      </w:r>
      <w:r>
        <w:t xml:space="preserve">, which works as follows. The initial number of infections were estimated as a free parameter with a prior based on the initial number of cases, or deaths, respectively. For each subsequent time step, previous imputed infections were summed, weighted by an uncertain generation time probability mass function, and combined with an estimate of</w:t>
      </w:r>
      <w:r>
        <w:t xml:space="preserve"> </w:t>
      </w:r>
      <m:oMath>
        <m:sSub>
          <m:e>
            <m:r>
              <m:t>R</m:t>
            </m:r>
          </m:e>
          <m:sub>
            <m:r>
              <m:t>t</m:t>
            </m:r>
          </m:sub>
        </m:sSub>
      </m:oMath>
      <w:r>
        <w:t xml:space="preserve"> </w:t>
      </w:r>
      <w:r>
        <w:t xml:space="preserve">to give the prevalence at time</w:t>
      </w:r>
      <w:r>
        <w:t xml:space="preserve"> </w:t>
      </w:r>
      <m:oMath>
        <m:r>
          <m:t>t</m:t>
        </m:r>
      </m:oMath>
      <w:r>
        <w:t xml:space="preserve"> </w:t>
      </w:r>
      <w:r>
        <w:t xml:space="preserve">[6,7,9]</w:t>
      </w:r>
      <w:r>
        <w:t xml:space="preserve">. We used a gamma prior for the reproduction number with mean 1 and standard deviation 1 reflecting our current belief that</w:t>
      </w:r>
      <w:r>
        <w:t xml:space="preserve"> </w:t>
      </w:r>
      <m:oMath>
        <m:sSub>
          <m:e>
            <m:r>
              <m:t>R</m:t>
            </m:r>
          </m:e>
          <m:sub>
            <m:r>
              <m:t>t</m:t>
            </m:r>
          </m:sub>
        </m:sSub>
      </m:oMath>
      <w:r>
        <w:t xml:space="preserve"> </w:t>
      </w:r>
      <w:r>
        <w:t xml:space="preserve">is likely to be centered around 1 at this stage in the epidemic. This contrasts with our earlier approach which was to use a prior with a of mean 2.6 and standard deviation 2. This was based on early estimates for the basic reproduction number (</w:t>
      </w:r>
      <m:oMath>
        <m:sSub>
          <m:e>
            <m:r>
              <m:t>R</m:t>
            </m:r>
          </m:e>
          <m:sub>
            <m:r>
              <m:t>0</m:t>
            </m:r>
          </m:sub>
        </m:sSub>
      </m:oMath>
      <w:r>
        <w:t xml:space="preserve">) from the initial stages of the outbreak in Wuhan</w:t>
      </w:r>
      <w:r>
        <w:t xml:space="preserve"> </w:t>
      </w:r>
      <w:r>
        <w:t xml:space="preserve">[14,15]</w:t>
      </w:r>
      <w:r>
        <w:t xml:space="preserve"> </w:t>
      </w:r>
      <w:r>
        <w:t xml:space="preserve">with long tails to allow for differences in the reproduction number between countries. The infection trajectories were then mapped to reported case counts by convolving over an uncertain incubation period and report delay distribution, and a negative binomial observation model combined with a multiplicative day of the week effect (with an independent effect for each day of the week)</w:t>
      </w:r>
      <w:r>
        <w:t xml:space="preserve"> </w:t>
      </w:r>
      <w:r>
        <w:t xml:space="preserve">[16]</w:t>
      </w:r>
      <w:r>
        <w:t xml:space="preserve">. Temporal variation was controlled using an approximate Gaussian process</w:t>
      </w:r>
      <w:r>
        <w:t xml:space="preserve"> </w:t>
      </w:r>
      <w:r>
        <w:t xml:space="preserve">[17]</w:t>
      </w:r>
      <w:r>
        <w:t xml:space="preserve"> </w:t>
      </w:r>
      <w:r>
        <w:t xml:space="preserve">with a squared exponential kernel, with the length scale and magnitude estimated during the model fitting process. Each timeseries was fitted independently using Markov-chain Monte Carlo (MCMC). A minimum of 2 chains were used with a warmup of 500 each and 2000 samples post warmup. Convergence was assessed using the R hat diagnostic</w:t>
      </w:r>
      <w:r>
        <w:t xml:space="preserve"> </w:t>
      </w:r>
      <w:r>
        <w:t xml:space="preserve">[13]</w:t>
      </w:r>
      <w:r>
        <w:t xml:space="preserve">.</w:t>
      </w:r>
    </w:p>
    <w:p>
      <w:pPr>
        <w:pStyle w:val="BodyText"/>
      </w:pPr>
      <w:r>
        <w:t xml:space="preserve">We used a gamma distributed generation time with mean 3.6 days (standard deviation (SD) 0.7), and SD of 3.1 days (SD 0.8) for all estimates.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incubation period was also used to convolve from unobserved infections to unobserved onsets in the model. See</w:t>
      </w:r>
      <w:r>
        <w:t xml:space="preserve"> </w:t>
      </w:r>
      <w:r>
        <w:t xml:space="preserve">[9]</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 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[9]</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highest density credible intervals for all measures with 20%, 50% and 90% high density regions shown in figures. The analysis was conducted independently for all regions and is updated regularly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csvs under an open-source license for use elsewhere (</w:t>
      </w:r>
      <w:hyperlink r:id="rId33">
        <w:r>
          <w:rPr>
            <w:rStyle w:val="Hyperlink"/>
          </w:rPr>
          <w:t xml:space="preserve">https://github.com/epiforecasts/covid-rt-estimates/</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open-source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case counts are the only data required, which allows our approach to be used in a wide variety of contexts. Secondly, we apply the same methodology to all countries. This means that estimates can be compared without having to consider differences in the underlying methodology (even if differences in testing should still be accounted for as discussed below). Finally, we have constructed our approach using open source tools and all of our code, raw data, and results are available online and developed with other users in mind. This means our approach can be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lengthscale of the gaussian process used in the reproduction number estimation process. The impact of testing and other reporting biases vary between measures of transmission (test positive cases, hospital admissions, test positive deaths).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[25]</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avaliable to us. For example,</w:t>
      </w:r>
      <w:r>
        <w:t xml:space="preserve"> </w:t>
      </w:r>
      <w:r>
        <w:t xml:space="preserve">the publically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chainges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https://github.com/epiforecasts/covid-rt-estimates</w:t>
        </w:r>
      </w:hyperlink>
    </w:p>
    <w:p>
      <w:pPr>
        <w:pStyle w:val="BodyText"/>
      </w:pPr>
      <w:r>
        <w:t xml:space="preserve">Archived data at the time of publication:</w:t>
      </w:r>
      <w:r>
        <w:t xml:space="preserve"> </w:t>
      </w:r>
      <w:hyperlink r:id="rId38">
        <w:r>
          <w:rPr>
            <w:rStyle w:val="Hyperlink"/>
          </w:rPr>
          <w:t xml:space="preserve">https://doi.org/10.5281/zenodo.3841818</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Software availability</w:t>
      </w:r>
      <w:bookmarkEnd w:id="40"/>
    </w:p>
    <w:p>
      <w:pPr>
        <w:pStyle w:val="Heading3"/>
      </w:pPr>
      <w:bookmarkStart w:id="41" w:name="development"/>
      <w:r>
        <w:t xml:space="preserve">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38">
        <w:r>
          <w:rPr>
            <w:rStyle w:val="Hyperlink"/>
          </w:rPr>
          <w:t xml:space="preserve">https://doi.org/10.5281/zenodo.3841818</w:t>
        </w:r>
      </w:hyperlink>
    </w:p>
    <w:p>
      <w:pPr>
        <w:pStyle w:val="Compact"/>
        <w:numPr>
          <w:numId w:val="1002"/>
          <w:ilvl w:val="0"/>
        </w:numPr>
      </w:pPr>
      <w:r>
        <w:rPr>
          <w:i/>
        </w:rPr>
        <w:t xml:space="preserve">EpiNow2</w:t>
      </w:r>
      <w:r>
        <w:t xml:space="preserve"> </w:t>
      </w:r>
      <w:r>
        <w:t xml:space="preserve">R package</w:t>
      </w:r>
      <w:r>
        <w:t xml:space="preserve"> </w:t>
      </w:r>
      <w:r>
        <w:t xml:space="preserve">[9]</w:t>
      </w:r>
      <w:r>
        <w:t xml:space="preserve">:</w:t>
      </w:r>
      <w:r>
        <w:t xml:space="preserve"> </w:t>
      </w:r>
      <w:hyperlink r:id="rId47">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49">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0" w:name="acknowledgements"/>
      <w:r>
        <w:t xml:space="preserve">Acknowledgements</w:t>
      </w:r>
      <w:bookmarkEnd w:id="50"/>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1" w:name="funding"/>
      <w:r>
        <w:t xml:space="preserve">Funding</w:t>
      </w:r>
      <w:bookmarkEnd w:id="51"/>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2" w:name="references"/>
      <w:r>
        <w:t xml:space="preserve">References</w:t>
      </w:r>
      <w:bookmarkEnd w:id="52"/>
    </w:p>
    <w:bookmarkStart w:id="89" w:name="refs"/>
    <w:bookmarkStart w:id="53"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3"/>
    <w:bookmarkStart w:id="54"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4"/>
    <w:bookmarkStart w:id="55"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5"/>
    <w:bookmarkStart w:id="56"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6"/>
    <w:bookmarkStart w:id="57"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7"/>
    <w:bookmarkStart w:id="59"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8">
        <w:r>
          <w:rPr>
            <w:rStyle w:val="Hyperlink"/>
          </w:rPr>
          <w:t xml:space="preserve">10.1093/aje/kwt133</w:t>
        </w:r>
      </w:hyperlink>
    </w:p>
    <w:bookmarkEnd w:id="59"/>
    <w:bookmarkStart w:id="61"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0">
        <w:r>
          <w:rPr>
            <w:rStyle w:val="Hyperlink"/>
          </w:rPr>
          <w:t xml:space="preserve">https://doi.org/10.1016/j.epidem.2019.100356</w:t>
        </w:r>
      </w:hyperlink>
    </w:p>
    <w:bookmarkEnd w:id="61"/>
    <w:bookmarkStart w:id="62"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2"/>
    <w:bookmarkStart w:id="63" w:name="ref-epinow2"/>
    <w:p>
      <w:pPr>
        <w:pStyle w:val="Bibliography"/>
      </w:pPr>
      <w:r>
        <w:t xml:space="preserve">9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7">
        <w:r>
          <w:rPr>
            <w:rStyle w:val="Hyperlink"/>
          </w:rPr>
          <w:t xml:space="preserve">10.5281/zenodo.3957489</w:t>
        </w:r>
      </w:hyperlink>
    </w:p>
    <w:bookmarkEnd w:id="63"/>
    <w:bookmarkStart w:id="64" w:name="ref-covidregionaldata"/>
    <w:p>
      <w:pPr>
        <w:pStyle w:val="Bibliography"/>
      </w:pPr>
      <w:r>
        <w:t xml:space="preserve">10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10.5281/zenodo.3957539</w:t>
        </w:r>
      </w:hyperlink>
    </w:p>
    <w:bookmarkEnd w:id="64"/>
    <w:bookmarkStart w:id="66" w:name="ref-ecdc_data"/>
    <w:p>
      <w:pPr>
        <w:pStyle w:val="Bibliography"/>
      </w:pPr>
      <w:r>
        <w:t xml:space="preserve">11 Disease Prevention EC for, Control. Download today’s data on the geographic distribution of covid-19 cases worldwide. 2020.</w:t>
      </w:r>
      <w:r>
        <w:t xml:space="preserve"> </w:t>
      </w:r>
      <w:hyperlink r:id="rId65">
        <w:r>
          <w:rPr>
            <w:rStyle w:val="Hyperlink"/>
          </w:rPr>
          <w:t xml:space="preserve">www.ecdc.europa.eu/en/publications-data/download-todays-data-geographic-distribution-covid-19-cases-worldwide</w:t>
        </w:r>
      </w:hyperlink>
    </w:p>
    <w:bookmarkEnd w:id="66"/>
    <w:bookmarkStart w:id="68" w:name="ref-kraemer2020epidemiological"/>
    <w:p>
      <w:pPr>
        <w:pStyle w:val="Bibliography"/>
      </w:pPr>
      <w:r>
        <w:t xml:space="preserve">12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7">
        <w:r>
          <w:rPr>
            <w:rStyle w:val="Hyperlink"/>
          </w:rPr>
          <w:t xml:space="preserve">http://virological.org/t/epidemiological-data-from-the-ncov-2019-outbreak-early-descriptions-from-publicly-available-data/337</w:t>
        </w:r>
      </w:hyperlink>
    </w:p>
    <w:bookmarkEnd w:id="68"/>
    <w:bookmarkStart w:id="70" w:name="ref-rstan"/>
    <w:p>
      <w:pPr>
        <w:pStyle w:val="Bibliography"/>
      </w:pPr>
      <w:r>
        <w:t xml:space="preserve">13 Stan Development Team. RStan: The r interface to stan. 2020.</w:t>
      </w:r>
      <w:hyperlink r:id="rId69">
        <w:r>
          <w:rPr>
            <w:rStyle w:val="Hyperlink"/>
          </w:rPr>
          <w:t xml:space="preserve">http://mc-stan.org/</w:t>
        </w:r>
      </w:hyperlink>
    </w:p>
    <w:bookmarkEnd w:id="70"/>
    <w:bookmarkStart w:id="72" w:name="ref-Imai:webreport3"/>
    <w:p>
      <w:pPr>
        <w:pStyle w:val="Bibliography"/>
      </w:pPr>
      <w:r>
        <w:t xml:space="preserve">14 Imai N, Cori A, Dorigatti I</w:t>
      </w:r>
      <w:r>
        <w:t xml:space="preserve"> </w:t>
      </w:r>
      <w:r>
        <w:rPr>
          <w:i/>
        </w:rPr>
        <w:t xml:space="preserve">et al.</w:t>
      </w:r>
      <w:r>
        <w:t xml:space="preserve"> </w:t>
      </w:r>
      <w:r>
        <w:t xml:space="preserve">Report 3: Transmissibility of 2019-nCoV.</w:t>
      </w:r>
      <w:r>
        <w:t xml:space="preserve"> </w:t>
      </w:r>
      <w:hyperlink r:id="rId71">
        <w:r>
          <w:rPr>
            <w:rStyle w:val="Hyperlink"/>
          </w:rPr>
          <w:t xml:space="preserve">https://www.imperial.ac.uk/media/imperial-college/medicine/sph/ide/gida-fellowships/Imperial-2019-nCoV-transmissibility.pdf</w:t>
        </w:r>
      </w:hyperlink>
    </w:p>
    <w:bookmarkEnd w:id="72"/>
    <w:bookmarkStart w:id="73" w:name="ref-Abbott:2020hj"/>
    <w:p>
      <w:pPr>
        <w:pStyle w:val="Bibliography"/>
      </w:pPr>
      <w:r>
        <w:t xml:space="preserve">15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3"/>
    <w:bookmarkStart w:id="74" w:name="ref-10.12688/wellcomeopenres.15842.1"/>
    <w:p>
      <w:pPr>
        <w:pStyle w:val="Bibliography"/>
      </w:pPr>
      <w:r>
        <w:t xml:space="preserve">16 Endo A, Abbott S, Kucharski AJ</w:t>
      </w:r>
      <w:r>
        <w:t xml:space="preserve"> </w:t>
      </w:r>
      <w:r>
        <w:rPr>
          <w:i/>
        </w:rPr>
        <w:t xml:space="preserve">et al.</w:t>
      </w:r>
      <w:r>
        <w:t xml:space="preserve"> </w:t>
      </w:r>
      <w:r>
        <w:t xml:space="preserve">Estimating the overdispersion in covid-19 transmission using outbreak size outside china [version 1; peer review: 1 approved].</w:t>
      </w:r>
      <w:r>
        <w:t xml:space="preserve"> </w:t>
      </w:r>
      <w:r>
        <w:rPr>
          <w:i/>
        </w:rPr>
        <w:t xml:space="preserve">Wellcome open research</w:t>
      </w:r>
      <w:r>
        <w:t xml:space="preserve"> </w:t>
      </w:r>
      <w:r>
        <w:t xml:space="preserve">2020;</w:t>
      </w:r>
      <w:r>
        <w:rPr>
          <w:b/>
        </w:rPr>
        <w:t xml:space="preserve">5</w:t>
      </w:r>
      <w:r>
        <w:t xml:space="preserve">.</w:t>
      </w:r>
    </w:p>
    <w:bookmarkEnd w:id="74"/>
    <w:bookmarkStart w:id="76"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5">
        <w:r>
          <w:rPr>
            <w:rStyle w:val="Hyperlink"/>
          </w:rPr>
          <w:t xml:space="preserve">http://arxiv.org/abs/2004.11408</w:t>
        </w:r>
      </w:hyperlink>
    </w:p>
    <w:bookmarkEnd w:id="76"/>
    <w:bookmarkStart w:id="77"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7"/>
    <w:bookmarkStart w:id="78"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8"/>
    <w:bookmarkStart w:id="80"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79">
        <w:r>
          <w:rPr>
            <w:rStyle w:val="Hyperlink"/>
          </w:rPr>
          <w:t xml:space="preserve">https://doi.org/10.1016/j.epidem.2018.12.002</w:t>
        </w:r>
      </w:hyperlink>
    </w:p>
    <w:bookmarkEnd w:id="80"/>
    <w:bookmarkStart w:id="82" w:name="ref-Russell:BFVkJ6lQ"/>
    <w:p>
      <w:pPr>
        <w:pStyle w:val="Bibliography"/>
      </w:pPr>
      <w:r>
        <w:t xml:space="preserve">21 Russell TW. Using a delay-adjusted case fatality ratio to estimate under-reporting.</w:t>
      </w:r>
      <w:r>
        <w:t xml:space="preserve"> </w:t>
      </w:r>
      <w:hyperlink r:id="rId81">
        <w:r>
          <w:rPr>
            <w:rStyle w:val="Hyperlink"/>
          </w:rPr>
          <w:t xml:space="preserve">https://cmmid.github.io/topics/covid19/severity/global_cfr_estimates.html</w:t>
        </w:r>
      </w:hyperlink>
    </w:p>
    <w:bookmarkEnd w:id="82"/>
    <w:bookmarkStart w:id="84"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3">
        <w:r>
          <w:rPr>
            <w:rStyle w:val="Hyperlink"/>
          </w:rPr>
          <w:t xml:space="preserve">https://bookdown.org/yihui/rmarkdown</w:t>
        </w:r>
      </w:hyperlink>
    </w:p>
    <w:bookmarkEnd w:id="84"/>
    <w:bookmarkStart w:id="86"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5">
        <w:r>
          <w:rPr>
            <w:rStyle w:val="Hyperlink"/>
          </w:rPr>
          <w:t xml:space="preserve">https://github.com/rstudio/distill</w:t>
        </w:r>
      </w:hyperlink>
    </w:p>
    <w:bookmarkEnd w:id="86"/>
    <w:bookmarkStart w:id="87"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49">
        <w:r>
          <w:rPr>
            <w:rStyle w:val="Hyperlink"/>
          </w:rPr>
          <w:t xml:space="preserve">10.5281/zenodo.4011841</w:t>
        </w:r>
      </w:hyperlink>
    </w:p>
    <w:bookmarkEnd w:id="87"/>
    <w:bookmarkStart w:id="88" w:name="ref-Britton:2019gf"/>
    <w:p>
      <w:pPr>
        <w:pStyle w:val="Bibliography"/>
      </w:pPr>
      <w:r>
        <w:t xml:space="preserve">25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5" Target="http://arxiv.org/abs/2004.11408" TargetMode="External" /><Relationship Type="http://schemas.openxmlformats.org/officeDocument/2006/relationships/hyperlink" Id="rId69" Target="http://mc-stan.org/" TargetMode="External" /><Relationship Type="http://schemas.openxmlformats.org/officeDocument/2006/relationships/hyperlink" Id="rId67" Target="http://virological.org/t/epidemiological-data-from-the-ncov-2019-outbreak-early-descriptions-from-publicly-available-data/337" TargetMode="External" /><Relationship Type="http://schemas.openxmlformats.org/officeDocument/2006/relationships/hyperlink" Id="rId83" Target="https://bookdown.org/yihui/rmarkdown" TargetMode="External" /><Relationship Type="http://schemas.openxmlformats.org/officeDocument/2006/relationships/hyperlink" Id="rId81" Target="https://cmmid.github.io/topics/covid19/severity/global_cfr_estimates.html" TargetMode="External" /><Relationship Type="http://schemas.openxmlformats.org/officeDocument/2006/relationships/hyperlink" Id="rId58" Target="https://doi.org/10.1093/aje/kwt133" TargetMode="External" /><Relationship Type="http://schemas.openxmlformats.org/officeDocument/2006/relationships/hyperlink" Id="rId38" Target="https://doi.org/10.5281/zenodo.3841818" TargetMode="External" /><Relationship Type="http://schemas.openxmlformats.org/officeDocument/2006/relationships/hyperlink" Id="rId47" Target="https://doi.org/10.5281/zenodo.3957489" TargetMode="External" /><Relationship Type="http://schemas.openxmlformats.org/officeDocument/2006/relationships/hyperlink" Id="rId48" Target="https://doi.org/10.5281/zenodo.3957539" TargetMode="External" /><Relationship Type="http://schemas.openxmlformats.org/officeDocument/2006/relationships/hyperlink" Id="rId49" Target="https://doi.org/10.5281/zenodo.4011841" TargetMode="External" /><Relationship Type="http://schemas.openxmlformats.org/officeDocument/2006/relationships/hyperlink" Id="rId79" Target="https://doi.org/https://doi.org/10.1016/j.epidem.2018.12.002" TargetMode="External" /><Relationship Type="http://schemas.openxmlformats.org/officeDocument/2006/relationships/hyperlink" Id="rId60"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7" Target="https://github.com/epiforecasts/covid-rt-estimates" TargetMode="External" /><Relationship Type="http://schemas.openxmlformats.org/officeDocument/2006/relationships/hyperlink" Id="rId33"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5"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1" Target="https://www.imperial.ac.uk/media/imperial-college/medicine/sph/ide/gida-fellowships/Imperial-2019-nCoV-transmissibility.pdf" TargetMode="External" /><Relationship Type="http://schemas.openxmlformats.org/officeDocument/2006/relationships/hyperlink" Id="rId65"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2020-10-10T12:00:39Z</dcterms:created>
  <dcterms:modified xsi:type="dcterms:W3CDTF">2020-10-10T12:00:39Z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pdf_document</vt:lpwstr>
  </property>
</Properties>
</file>