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2">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Methods</w:t>
      </w:r>
      <w:bookmarkEnd w:id="23"/>
    </w:p>
    <w:p>
      <w:pPr>
        <w:pStyle w:val="Heading2"/>
      </w:pPr>
      <w:bookmarkStart w:id="24" w:name="data"/>
      <w:r>
        <w:t xml:space="preserve">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For each subsequent time step, previous imputed infections (</w:t>
      </w:r>
      <m:oMath>
        <m:sSub>
          <m:e>
            <m:r>
              <m:t>I</m:t>
            </m:r>
          </m:e>
          <m:sub>
            <m:r>
              <m:t>t</m:t>
            </m:r>
            <m: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1 reflecting our current belief that</w:t>
      </w:r>
      <w:r>
        <w:t xml:space="preserve"> </w:t>
      </w:r>
      <m:oMath>
        <m:sSub>
          <m:e>
            <m:r>
              <m:t>R</m:t>
            </m:r>
          </m:e>
          <m:sub>
            <m:r>
              <m:t>t</m:t>
            </m:r>
          </m:sub>
        </m:sSub>
      </m:oMath>
      <w:r>
        <w:t xml:space="preserve"> </w:t>
      </w:r>
      <w:r>
        <w:t xml:space="preserve">is likely to be centered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an exponential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t>(</m:t>
            </m:r>
            <m:r>
              <m:t>t</m:t>
            </m:r>
            <m:r>
              <m:rPr>
                <m:nor/>
                <m:sty m:val="p"/>
              </m:rPr>
              <m:t>mod</m:t>
            </m:r>
            <m:r>
              <m:t>7</m:t>
            </m:r>
            <m: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t>∼</m:t>
                </m:r>
                <m:sSub>
                  <m:e>
                    <m:r>
                      <m:t>R</m:t>
                    </m:r>
                  </m:e>
                  <m:sub>
                    <m:r>
                      <m:t>t</m:t>
                    </m:r>
                    <m:r>
                      <m:t>−</m:t>
                    </m:r>
                    <m:r>
                      <m:t>1</m:t>
                    </m:r>
                  </m:sub>
                </m:sSub>
                <m:r>
                  <m:t>×</m:t>
                </m:r>
                <m:r>
                  <m:rPr>
                    <m:sty m:val="p"/>
                  </m:rPr>
                  <m:t>G</m:t>
                </m:r>
                <m:r>
                  <m:rPr>
                    <m:sty m:val="p"/>
                  </m:rPr>
                  <m:t>P</m:t>
                </m:r>
              </m:e>
            </m:mr>
            <m:mr>
              <m:e>
                <m:sSub>
                  <m:e>
                    <m:r>
                      <m:t>I</m:t>
                    </m:r>
                  </m:e>
                  <m:sub>
                    <m:r>
                      <m:t>t</m:t>
                    </m:r>
                  </m:sub>
                </m:sSub>
              </m:e>
              <m:e>
                <m: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t>−</m:t>
                    </m:r>
                    <m:r>
                      <m:t>τ</m:t>
                    </m:r>
                  </m:sub>
                </m:sSub>
              </m:e>
            </m:mr>
            <m:mr>
              <m:e>
                <m:sSub>
                  <m:e>
                    <m:r>
                      <m:t>D</m:t>
                    </m:r>
                  </m:e>
                  <m:sub>
                    <m:r>
                      <m:t>t</m:t>
                    </m:r>
                  </m:sub>
                </m:sSub>
              </m:e>
              <m:e>
                <m:r>
                  <m:t>=</m:t>
                </m:r>
                <m:nary>
                  <m:naryPr>
                    <m:chr m:val="∑"/>
                    <m:limLoc m:val="undOvr"/>
                    <m:subHide m:val="0"/>
                    <m:supHide m:val="1"/>
                  </m:naryPr>
                  <m:sub>
                    <m:r>
                      <m:t>τ</m:t>
                    </m:r>
                  </m:sub>
                  <m:sup>
                    <m:r>
                      <m:t>​</m:t>
                    </m:r>
                  </m:sup>
                  <m:e>
                    <m:sSub>
                      <m:e>
                        <m:r>
                          <m:t>ξ</m:t>
                        </m:r>
                      </m:e>
                      <m:sub>
                        <m:r>
                          <m:t>τ</m:t>
                        </m:r>
                      </m:sub>
                    </m:sSub>
                  </m:e>
                </m:nary>
                <m:sSub>
                  <m:e>
                    <m:r>
                      <m:t>I</m:t>
                    </m:r>
                  </m:e>
                  <m:sub>
                    <m:r>
                      <m:t>t</m:t>
                    </m:r>
                    <m:r>
                      <m:t>−</m:t>
                    </m:r>
                    <m:r>
                      <m:t>τ</m:t>
                    </m:r>
                  </m:sub>
                </m:sSub>
              </m:e>
            </m:mr>
            <m:mr>
              <m:e>
                <m:sSub>
                  <m:e>
                    <m:r>
                      <m:t>C</m:t>
                    </m:r>
                  </m:e>
                  <m:sub>
                    <m:r>
                      <m:t>t</m:t>
                    </m:r>
                  </m:sub>
                </m:sSub>
              </m:e>
              <m:e>
                <m:r>
                  <m:t>∼</m:t>
                </m:r>
                <m:r>
                  <m:rPr>
                    <m:sty m:val="p"/>
                  </m:rPr>
                  <m:t>N</m:t>
                </m:r>
                <m:r>
                  <m:rPr>
                    <m:sty m:val="p"/>
                  </m:rPr>
                  <m:t>B</m:t>
                </m:r>
                <m:r>
                  <m:t>(</m:t>
                </m:r>
                <m:sSub>
                  <m:e>
                    <m:r>
                      <m:t>D</m:t>
                    </m:r>
                  </m:e>
                  <m:sub>
                    <m:r>
                      <m:t>t</m:t>
                    </m:r>
                  </m:sub>
                </m:sSub>
                <m:sSub>
                  <m:e>
                    <m:r>
                      <m:t>ω</m:t>
                    </m:r>
                  </m:e>
                  <m:sub>
                    <m:r>
                      <m:t>(</m:t>
                    </m:r>
                    <m:r>
                      <m:t>t</m:t>
                    </m:r>
                    <m:r>
                      <m:rPr>
                        <m:nor/>
                        <m:sty m:val="p"/>
                      </m:rPr>
                      <m:t>mod</m:t>
                    </m:r>
                    <m:r>
                      <m:t>7</m:t>
                    </m:r>
                    <m:r>
                      <m:t>)</m:t>
                    </m:r>
                  </m:sub>
                </m:sSub>
                <m:r>
                  <m:t>,</m:t>
                </m:r>
                <m:r>
                  <m:t>ϕ</m:t>
                </m:r>
                <m:r>
                  <m:t>)</m:t>
                </m:r>
              </m:e>
            </m:mr>
          </m:m>
        </m:oMath>
      </m:oMathPara>
    </w:p>
    <w:p>
      <w:pPr>
        <w:pStyle w:val="FirstParagraph"/>
      </w:pPr>
      <w:r>
        <w:t xml:space="preserve">The parameters of the Gaussian process kernnl were estimated during model fitting with the following priors. The length scale was given an inverse gamma prior with shape and scale values optimised to give a distribution with 98% of the density between 2 days and 21 days. The prior on the magnitude was standard normal. Each timeseries was fit independently using Markov-chain Monte Carlo (MCMC). A minimum of 4 chains were used with a warmup of 500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p>
      <w:pPr>
        <w:pStyle w:val="Heading2"/>
      </w:pPr>
      <w:bookmarkStart w:id="28" w:name="Xf0d1b2f4cd5608e139b1b116e107929d8749713"/>
      <w:r>
        <w:t xml:space="preserve">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20% of samples were subcritical then an increase in cases was likely, if more than 80% of samples were subcritical then a decrease in cases was likely and if more than 95% of samples were subcritical then a decrease in cases was definite. For countries/regions with between 20% and 80% of samples being subcritical we could not make a statement about the likely change in cases (defined as unsure).</w:t>
      </w:r>
    </w:p>
    <w:p>
      <w:pPr>
        <w:pStyle w:val="Heading2"/>
      </w:pPr>
      <w:bookmarkStart w:id="30" w:name="Xcc85e8540fac07c730a5caf6f7438f0556b2629"/>
      <w:r>
        <w:t xml:space="preserve">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Forecasting the reproduction number and case counts by date of infection</w:t>
      </w:r>
      <w:bookmarkEnd w:id="31"/>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Reporting</w:t>
      </w:r>
      <w:bookmarkEnd w:id="32"/>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3">
        <w:r>
          <w:rPr>
            <w:rStyle w:val="Hyperlink"/>
          </w:rPr>
          <w:t xml:space="preserve">https://github.com/epiforecasts/covid-rt-estimate</w:t>
        </w:r>
      </w:hyperlink>
      <w:r>
        <w:t xml:space="preserve">).</w:t>
      </w:r>
    </w:p>
    <w:p>
      <w:pPr>
        <w:pStyle w:val="Heading2"/>
      </w:pPr>
      <w:bookmarkStart w:id="34" w:name="X6f18032d4415b4131eb2cd55ad09cf974f76266"/>
      <w:r>
        <w:t xml:space="preserve">Website, summarised estimates, and interactivity</w:t>
      </w:r>
      <w:bookmarkEnd w:id="34"/>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discussion"/>
      <w:r>
        <w:t xml:space="preserve">Discussion</w:t>
      </w:r>
      <w:bookmarkEnd w:id="35"/>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6" w:name="data-availability"/>
      <w:r>
        <w:t xml:space="preserve">Data availability</w:t>
      </w:r>
      <w:bookmarkEnd w:id="36"/>
    </w:p>
    <w:p>
      <w:pPr>
        <w:pStyle w:val="FirstParagraph"/>
      </w:pPr>
      <w:r>
        <w:t xml:space="preserve">Latest data:</w:t>
      </w:r>
      <w:r>
        <w:t xml:space="preserve"> </w:t>
      </w:r>
      <w:hyperlink r:id="rId37">
        <w:r>
          <w:rPr>
            <w:rStyle w:val="Hyperlink"/>
          </w:rPr>
          <w:t xml:space="preserve">https://dataverse.harvard.edu/dataverse/covid-rt</w:t>
        </w:r>
      </w:hyperlink>
    </w:p>
    <w:p>
      <w:pPr>
        <w:pStyle w:val="BodyText"/>
      </w:pPr>
      <w:r>
        <w:t xml:space="preserve">Archived data at the time of publication:</w:t>
      </w:r>
      <w:r>
        <w:t xml:space="preserve"> </w:t>
      </w:r>
      <w:hyperlink r:id="rId37">
        <w:r>
          <w:rPr>
            <w:rStyle w:val="Hyperlink"/>
          </w:rPr>
          <w:t xml:space="preserve">https://dataverse.harvard.edu/dataverse/covid-rt</w:t>
        </w:r>
      </w:hyperlink>
    </w:p>
    <w:p>
      <w:pPr>
        <w:pStyle w:val="BodyText"/>
      </w:pPr>
      <w:r>
        <w:t xml:space="preserve">License:</w:t>
      </w:r>
      <w:r>
        <w:t xml:space="preserve"> </w:t>
      </w:r>
      <w:hyperlink r:id="rId38">
        <w:r>
          <w:rPr>
            <w:rStyle w:val="Hyperlink"/>
          </w:rPr>
          <w:t xml:space="preserve">MIT</w:t>
        </w:r>
      </w:hyperlink>
    </w:p>
    <w:p>
      <w:pPr>
        <w:pStyle w:val="Heading2"/>
      </w:pPr>
      <w:bookmarkStart w:id="39" w:name="software-availability"/>
      <w:r>
        <w:t xml:space="preserve">Software availability</w:t>
      </w:r>
      <w:bookmarkEnd w:id="39"/>
    </w:p>
    <w:p>
      <w:pPr>
        <w:pStyle w:val="Heading3"/>
      </w:pPr>
      <w:bookmarkStart w:id="40" w:name="development"/>
      <w:r>
        <w:t xml:space="preserve">Development</w:t>
      </w:r>
      <w:bookmarkEnd w:id="40"/>
    </w:p>
    <w:p>
      <w:pPr>
        <w:pStyle w:val="Compact"/>
        <w:numPr>
          <w:numId w:val="1001"/>
          <w:ilvl w:val="0"/>
        </w:numPr>
      </w:pPr>
      <w:r>
        <w:t xml:space="preserve">Website (Front-end):</w:t>
      </w:r>
      <w:r>
        <w:t xml:space="preserve"> </w:t>
      </w:r>
      <w:hyperlink r:id="rId41">
        <w:r>
          <w:rPr>
            <w:rStyle w:val="Hyperlink"/>
          </w:rPr>
          <w:t xml:space="preserve">https://github.com/epiforecasts/covid</w:t>
        </w:r>
      </w:hyperlink>
    </w:p>
    <w:p>
      <w:pPr>
        <w:pStyle w:val="Compact"/>
        <w:numPr>
          <w:numId w:val="1001"/>
          <w:ilvl w:val="0"/>
        </w:numPr>
      </w:pPr>
      <w:r>
        <w:t xml:space="preserve">Scheduling framework:</w:t>
      </w:r>
      <w:r>
        <w:t xml:space="preserve"> </w:t>
      </w:r>
      <w:hyperlink r:id="rId42">
        <w:r>
          <w:rPr>
            <w:rStyle w:val="Hyperlink"/>
          </w:rPr>
          <w:t xml:space="preserve">https://github.com/epiforecasts/covid-rt-estimates</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3">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4">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5">
        <w:r>
          <w:rPr>
            <w:rStyle w:val="Hyperlink"/>
          </w:rPr>
          <w:t xml:space="preserve">https://github.com/epiforecasts/RtD3</w:t>
        </w:r>
      </w:hyperlink>
    </w:p>
    <w:p>
      <w:pPr>
        <w:pStyle w:val="Heading3"/>
      </w:pPr>
      <w:bookmarkStart w:id="46" w:name="archived-at-the-time-of-publication"/>
      <w:r>
        <w:t xml:space="preserve">Archived at the time of publication</w:t>
      </w:r>
      <w:bookmarkEnd w:id="46"/>
    </w:p>
    <w:p>
      <w:pPr>
        <w:pStyle w:val="Compact"/>
        <w:numPr>
          <w:numId w:val="1002"/>
          <w:ilvl w:val="0"/>
        </w:numPr>
      </w:pPr>
      <w:r>
        <w:t xml:space="preserve">Website:</w:t>
      </w:r>
      <w:r>
        <w:t xml:space="preserve"> </w:t>
      </w:r>
      <w:hyperlink r:id="rId47">
        <w:r>
          <w:rPr>
            <w:rStyle w:val="Hyperlink"/>
          </w:rPr>
          <w:t xml:space="preserve">https://doi.org/10.5281/zenodo.3841818</w:t>
        </w:r>
      </w:hyperlink>
    </w:p>
    <w:p>
      <w:pPr>
        <w:pStyle w:val="Compact"/>
        <w:numPr>
          <w:numId w:val="1002"/>
          <w:ilvl w:val="0"/>
        </w:numPr>
      </w:pPr>
      <w:r>
        <w:t xml:space="preserve">Scheduling framework:</w:t>
      </w:r>
      <w:r>
        <w:t xml:space="preserve"> </w:t>
      </w:r>
      <w:hyperlink r:id="rId42">
        <w:r>
          <w:rPr>
            <w:rStyle w:val="Hyperlink"/>
          </w:rPr>
          <w:t xml:space="preserve">https://github.com/epiforecasts/covid-rt-estimates</w:t>
        </w:r>
      </w:hyperlink>
    </w:p>
    <w:p>
      <w:pPr>
        <w:pStyle w:val="Compact"/>
        <w:numPr>
          <w:numId w:val="1002"/>
          <w:ilvl w:val="0"/>
        </w:numPr>
      </w:pPr>
      <w:r>
        <w:rPr>
          <w:i/>
        </w:rPr>
        <w:t xml:space="preserve">EpiNow2</w:t>
      </w:r>
      <w:r>
        <w:t xml:space="preserve"> </w:t>
      </w:r>
      <w:r>
        <w:t xml:space="preserve">R package</w:t>
      </w:r>
      <w:r>
        <w:t xml:space="preserve"> </w:t>
      </w:r>
      <w:r>
        <w:t xml:space="preserve">[10]</w:t>
      </w:r>
      <w:r>
        <w:t xml:space="preserve">:</w:t>
      </w:r>
      <w:r>
        <w:t xml:space="preserve"> </w:t>
      </w:r>
      <w:hyperlink r:id="rId48">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[11]</w:t>
      </w:r>
      <w:r>
        <w:t xml:space="preserve">:</w:t>
      </w:r>
      <w:r>
        <w:t xml:space="preserve"> </w:t>
      </w:r>
      <w:hyperlink r:id="rId49">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50">
        <w:r>
          <w:rPr>
            <w:rStyle w:val="Hyperlink"/>
          </w:rPr>
          <w:t xml:space="preserve">https://doi.org/10.5281/zenodo.4011841</w:t>
        </w:r>
      </w:hyperlink>
    </w:p>
    <w:p>
      <w:pPr>
        <w:pStyle w:val="FirstParagraph"/>
      </w:pPr>
      <w:r>
        <w:t xml:space="preserve">License:</w:t>
      </w:r>
      <w:r>
        <w:t xml:space="preserve"> </w:t>
      </w:r>
      <w:hyperlink r:id="rId38">
        <w:r>
          <w:rPr>
            <w:rStyle w:val="Hyperlink"/>
          </w:rPr>
          <w:t xml:space="preserve">MIT</w:t>
        </w:r>
      </w:hyperlink>
    </w:p>
    <w:p>
      <w:pPr>
        <w:pStyle w:val="Heading2"/>
      </w:pPr>
      <w:bookmarkStart w:id="51" w:name="acknowledgements"/>
      <w:r>
        <w:t xml:space="preserve">Acknowledgements</w:t>
      </w:r>
      <w:bookmarkEnd w:id="51"/>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2" w:name="funding"/>
      <w:r>
        <w:t xml:space="preserve">Funding</w:t>
      </w:r>
      <w:bookmarkEnd w:id="52"/>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3" w:name="references"/>
      <w:r>
        <w:t xml:space="preserve">References</w:t>
      </w:r>
      <w:bookmarkEnd w:id="53"/>
    </w:p>
    <w:bookmarkStart w:id="92" w:name="refs"/>
    <w:bookmarkStart w:id="54"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4"/>
    <w:bookmarkStart w:id="55"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5"/>
    <w:bookmarkStart w:id="56"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6"/>
    <w:bookmarkStart w:id="57"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7"/>
    <w:bookmarkStart w:id="58"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8"/>
    <w:bookmarkStart w:id="60"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59">
        <w:r>
          <w:rPr>
            <w:rStyle w:val="Hyperlink"/>
          </w:rPr>
          <w:t xml:space="preserve">10.1093/aje/kwt133</w:t>
        </w:r>
      </w:hyperlink>
    </w:p>
    <w:bookmarkEnd w:id="60"/>
    <w:bookmarkStart w:id="62"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1">
        <w:r>
          <w:rPr>
            <w:rStyle w:val="Hyperlink"/>
          </w:rPr>
          <w:t xml:space="preserve">https://doi.org/10.1016/j.epidem.2019.100356</w:t>
        </w:r>
      </w:hyperlink>
    </w:p>
    <w:bookmarkEnd w:id="62"/>
    <w:bookmarkStart w:id="63"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3"/>
    <w:bookmarkStart w:id="64" w:name="ref-dataverse"/>
    <w:p>
      <w:pPr>
        <w:pStyle w:val="Bibliography"/>
      </w:pPr>
      <w:r>
        <w:t xml:space="preserve">9 Abbott S, Hickson J, Allen J</w:t>
      </w:r>
      <w:r>
        <w:t xml:space="preserve"> </w:t>
      </w:r>
      <w:r>
        <w:rPr>
          <w:i/>
        </w:rPr>
        <w:t xml:space="preserve">et al.</w:t>
      </w:r>
      <w:r>
        <w:t xml:space="preserve"> </w:t>
      </w:r>
      <w:r>
        <w:t xml:space="preserve">National and subnational estimates of the time-varying reproduction number of sars-cov-2. 2020.</w:t>
      </w:r>
      <w:hyperlink r:id="rId37">
        <w:r>
          <w:rPr>
            <w:rStyle w:val="Hyperlink"/>
          </w:rPr>
          <w:t xml:space="preserve">https://dataverse.harvard.edu/dataverse/covid-rt</w:t>
        </w:r>
      </w:hyperlink>
    </w:p>
    <w:bookmarkEnd w:id="64"/>
    <w:bookmarkStart w:id="65" w:name="ref-epinow2"/>
    <w:p>
      <w:pPr>
        <w:pStyle w:val="Bibliography"/>
      </w:pPr>
      <w:r>
        <w:t xml:space="preserve">10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8">
        <w:r>
          <w:rPr>
            <w:rStyle w:val="Hyperlink"/>
          </w:rPr>
          <w:t xml:space="preserve">10.5281/zenodo.3957489</w:t>
        </w:r>
      </w:hyperlink>
    </w:p>
    <w:bookmarkEnd w:id="65"/>
    <w:bookmarkStart w:id="66" w:name="ref-covidregionaldata"/>
    <w:p>
      <w:pPr>
        <w:pStyle w:val="Bibliography"/>
      </w:pPr>
      <w:r>
        <w:t xml:space="preserve">11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49">
        <w:r>
          <w:rPr>
            <w:rStyle w:val="Hyperlink"/>
          </w:rPr>
          <w:t xml:space="preserve">10.5281/zenodo.3957539</w:t>
        </w:r>
      </w:hyperlink>
    </w:p>
    <w:bookmarkEnd w:id="66"/>
    <w:bookmarkStart w:id="68" w:name="ref-ecdc_data"/>
    <w:p>
      <w:pPr>
        <w:pStyle w:val="Bibliography"/>
      </w:pPr>
      <w:r>
        <w:t xml:space="preserve">12 Disease Prevention EC for, Control. Download today’s data on the geographic distribution of covid-19 cases worldwide. 2020.</w:t>
      </w:r>
      <w:r>
        <w:t xml:space="preserve"> </w:t>
      </w:r>
      <w:hyperlink r:id="rId67">
        <w:r>
          <w:rPr>
            <w:rStyle w:val="Hyperlink"/>
          </w:rPr>
          <w:t xml:space="preserve">www.ecdc.europa.eu/en/publications-data/download-todays-data-geographic-distribution-covid-19-cases-worldwide</w:t>
        </w:r>
      </w:hyperlink>
    </w:p>
    <w:bookmarkEnd w:id="68"/>
    <w:bookmarkStart w:id="70" w:name="ref-kraemer2020epidemiological"/>
    <w:p>
      <w:pPr>
        <w:pStyle w:val="Bibliography"/>
      </w:pPr>
      <w:r>
        <w:t xml:space="preserve">13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69">
        <w:r>
          <w:rPr>
            <w:rStyle w:val="Hyperlink"/>
          </w:rPr>
          <w:t xml:space="preserve">http://virological.org/t/epidemiological-data-from-the-ncov-2019-outbreak-early-descriptions-from-publicly-available-data/337</w:t>
        </w:r>
      </w:hyperlink>
    </w:p>
    <w:bookmarkEnd w:id="70"/>
    <w:bookmarkStart w:id="72" w:name="ref-rstan"/>
    <w:p>
      <w:pPr>
        <w:pStyle w:val="Bibliography"/>
      </w:pPr>
      <w:r>
        <w:t xml:space="preserve">14 Stan Development Team. RStan: The r interface to stan. 2020.</w:t>
      </w:r>
      <w:hyperlink r:id="rId71">
        <w:r>
          <w:rPr>
            <w:rStyle w:val="Hyperlink"/>
          </w:rPr>
          <w:t xml:space="preserve">http://mc-stan.org/</w:t>
        </w:r>
      </w:hyperlink>
    </w:p>
    <w:bookmarkEnd w:id="72"/>
    <w:bookmarkStart w:id="74" w:name="ref-Imai:webreport3"/>
    <w:p>
      <w:pPr>
        <w:pStyle w:val="Bibliography"/>
      </w:pPr>
      <w:r>
        <w:t xml:space="preserve">15 Imai N, Cori A, Dorigatti I</w:t>
      </w:r>
      <w:r>
        <w:t xml:space="preserve"> </w:t>
      </w:r>
      <w:r>
        <w:rPr>
          <w:i/>
        </w:rPr>
        <w:t xml:space="preserve">et al.</w:t>
      </w:r>
      <w:r>
        <w:t xml:space="preserve"> </w:t>
      </w:r>
      <w:r>
        <w:t xml:space="preserve">Report 3: Transmissibility of 2019-nCoV.</w:t>
      </w:r>
      <w:r>
        <w:t xml:space="preserve"> </w:t>
      </w:r>
      <w:hyperlink r:id="rId73">
        <w:r>
          <w:rPr>
            <w:rStyle w:val="Hyperlink"/>
          </w:rPr>
          <w:t xml:space="preserve">https://www.imperial.ac.uk/media/imperial-college/medicine/sph/ide/gida-fellowships/Imperial-2019-nCoV-transmissibility.pdf</w:t>
        </w:r>
      </w:hyperlink>
    </w:p>
    <w:bookmarkEnd w:id="74"/>
    <w:bookmarkStart w:id="75" w:name="ref-Abbott:2020hj"/>
    <w:p>
      <w:pPr>
        <w:pStyle w:val="Bibliography"/>
      </w:pPr>
      <w:r>
        <w:t xml:space="preserve">16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5"/>
    <w:bookmarkStart w:id="77"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6">
        <w:r>
          <w:rPr>
            <w:rStyle w:val="Hyperlink"/>
          </w:rPr>
          <w:t xml:space="preserve">http://arxiv.org/abs/2004.11408</w:t>
        </w:r>
      </w:hyperlink>
    </w:p>
    <w:bookmarkEnd w:id="77"/>
    <w:bookmarkStart w:id="78"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8"/>
    <w:bookmarkStart w:id="79"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79"/>
    <w:bookmarkStart w:id="81"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80">
        <w:r>
          <w:rPr>
            <w:rStyle w:val="Hyperlink"/>
          </w:rPr>
          <w:t xml:space="preserve">https://doi.org/10.1016/j.epidem.2018.12.002</w:t>
        </w:r>
      </w:hyperlink>
    </w:p>
    <w:bookmarkEnd w:id="81"/>
    <w:bookmarkStart w:id="83" w:name="ref-Russell:BFVkJ6lQ"/>
    <w:p>
      <w:pPr>
        <w:pStyle w:val="Bibliography"/>
      </w:pPr>
      <w:r>
        <w:t xml:space="preserve">21 Russell TW. Using a delay-adjusted case fatality ratio to estimate under-reporting.</w:t>
      </w:r>
      <w:r>
        <w:t xml:space="preserve"> </w:t>
      </w:r>
      <w:hyperlink r:id="rId82">
        <w:r>
          <w:rPr>
            <w:rStyle w:val="Hyperlink"/>
          </w:rPr>
          <w:t xml:space="preserve">https://cmmid.github.io/topics/covid19/severity/global_cfr_estimates.html</w:t>
        </w:r>
      </w:hyperlink>
    </w:p>
    <w:bookmarkEnd w:id="83"/>
    <w:bookmarkStart w:id="85"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4">
        <w:r>
          <w:rPr>
            <w:rStyle w:val="Hyperlink"/>
          </w:rPr>
          <w:t xml:space="preserve">https://bookdown.org/yihui/rmarkdown</w:t>
        </w:r>
      </w:hyperlink>
    </w:p>
    <w:bookmarkEnd w:id="85"/>
    <w:bookmarkStart w:id="87"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6">
        <w:r>
          <w:rPr>
            <w:rStyle w:val="Hyperlink"/>
          </w:rPr>
          <w:t xml:space="preserve">https://github.com/rstudio/distill</w:t>
        </w:r>
      </w:hyperlink>
    </w:p>
    <w:bookmarkEnd w:id="87"/>
    <w:bookmarkStart w:id="88"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50">
        <w:r>
          <w:rPr>
            <w:rStyle w:val="Hyperlink"/>
          </w:rPr>
          <w:t xml:space="preserve">10.5281/zenodo.4011841</w:t>
        </w:r>
      </w:hyperlink>
    </w:p>
    <w:bookmarkEnd w:id="88"/>
    <w:bookmarkStart w:id="90" w:name="ref-rt-comparison"/>
    <w:p>
      <w:pPr>
        <w:pStyle w:val="Bibliography"/>
      </w:pPr>
      <w:r>
        <w:t xml:space="preserve">25 Sherratt K, Abbott S, Meakin SR</w:t>
      </w:r>
      <w:r>
        <w:t xml:space="preserve"> </w:t>
      </w:r>
      <w:r>
        <w:rPr>
          <w:i/>
        </w:rPr>
        <w:t xml:space="preserve">et al.</w:t>
      </w:r>
      <w:r>
        <w:t xml:space="preserve"> </w:t>
      </w:r>
      <w:r>
        <w:t xml:space="preserve">Evaluating the use of the reproduction number as an epidemiological tool, using spatio-temporal trends of the covid-19 outbreak in england.</w:t>
      </w:r>
      <w:r>
        <w:t xml:space="preserve"> </w:t>
      </w:r>
      <w:r>
        <w:rPr>
          <w:i/>
        </w:rPr>
        <w:t xml:space="preserve">medRxiv</w:t>
      </w:r>
      <w:r>
        <w:t xml:space="preserve"> </w:t>
      </w:r>
      <w:r>
        <w:t xml:space="preserve">Published Online First: 2020. doi:</w:t>
      </w:r>
      <w:hyperlink r:id="rId89">
        <w:r>
          <w:rPr>
            <w:rStyle w:val="Hyperlink"/>
          </w:rPr>
          <w:t xml:space="preserve">10.1101/2020.10.18.20214585</w:t>
        </w:r>
      </w:hyperlink>
    </w:p>
    <w:bookmarkEnd w:id="90"/>
    <w:bookmarkStart w:id="91" w:name="ref-Britton:2019gf"/>
    <w:p>
      <w:pPr>
        <w:pStyle w:val="Bibliography"/>
      </w:pPr>
      <w:r>
        <w:t xml:space="preserve">26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91"/>
    <w:bookmarkEnd w:id="9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7" Target="https://dataverse.harvard.edu/dataverse/covid-rt"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7" Target="https://doi.org/10.5281/zenodo.3841818" TargetMode="External" /><Relationship Type="http://schemas.openxmlformats.org/officeDocument/2006/relationships/hyperlink" Id="rId48" Target="https://doi.org/10.5281/zenodo.3957489" TargetMode="External" /><Relationship Type="http://schemas.openxmlformats.org/officeDocument/2006/relationships/hyperlink" Id="rId49" Target="https://doi.org/10.5281/zenodo.3957539" TargetMode="External" /><Relationship Type="http://schemas.openxmlformats.org/officeDocument/2006/relationships/hyperlink" Id="rId50" Target="https://doi.org/10.5281/zenodo.4011841" TargetMode="External" /><Relationship Type="http://schemas.openxmlformats.org/officeDocument/2006/relationships/hyperlink" Id="rId80" Target="https://doi.org/https://doi.org/10.1016/j.epidem.2018.12.002" TargetMode="External" /><Relationship Type="http://schemas.openxmlformats.org/officeDocument/2006/relationships/hyperlink" Id="rId61"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1"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2"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8" Target="https://opensource.org/licenses/MIT" TargetMode="External" /><Relationship Type="http://schemas.openxmlformats.org/officeDocument/2006/relationships/hyperlink" Id="rId73" Target="https://www.imperial.ac.uk/media/imperial-college/medicine/sph/ide/gida-fellowships/Imperial-2019-nCoV-transmissibility.pdf" TargetMode="External" /><Relationship Type="http://schemas.openxmlformats.org/officeDocument/2006/relationships/hyperlink" Id="rId67"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7" Target="https://dataverse.harvard.edu/dataverse/covid-rt"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7" Target="https://doi.org/10.5281/zenodo.3841818" TargetMode="External" /><Relationship Type="http://schemas.openxmlformats.org/officeDocument/2006/relationships/hyperlink" Id="rId48" Target="https://doi.org/10.5281/zenodo.3957489" TargetMode="External" /><Relationship Type="http://schemas.openxmlformats.org/officeDocument/2006/relationships/hyperlink" Id="rId49" Target="https://doi.org/10.5281/zenodo.3957539" TargetMode="External" /><Relationship Type="http://schemas.openxmlformats.org/officeDocument/2006/relationships/hyperlink" Id="rId50" Target="https://doi.org/10.5281/zenodo.4011841" TargetMode="External" /><Relationship Type="http://schemas.openxmlformats.org/officeDocument/2006/relationships/hyperlink" Id="rId80" Target="https://doi.org/https://doi.org/10.1016/j.epidem.2018.12.002" TargetMode="External" /><Relationship Type="http://schemas.openxmlformats.org/officeDocument/2006/relationships/hyperlink" Id="rId61"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1"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2"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8" Target="https://opensource.org/licenses/MIT" TargetMode="External" /><Relationship Type="http://schemas.openxmlformats.org/officeDocument/2006/relationships/hyperlink" Id="rId73" Target="https://www.imperial.ac.uk/media/imperial-college/medicine/sph/ide/gida-fellowships/Imperial-2019-nCoV-transmissibility.pdf" TargetMode="External" /><Relationship Type="http://schemas.openxmlformats.org/officeDocument/2006/relationships/hyperlink" Id="rId67"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2020-11-07T04:00:47Z</dcterms:created>
  <dcterms:modified xsi:type="dcterms:W3CDTF">2020-11-07T04:00:47Z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