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[6,7,10]</w:t>
      </w:r>
      <w:r>
        <w:t xml:space="preserve">. We used a log normal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[17]</w:t>
      </w:r>
      <w:r>
        <w:t xml:space="preserve">. Temporal variation was controlled using an approximate Gaussian process</w:t>
      </w:r>
      <w:r>
        <w:t xml:space="preserve"> </w:t>
      </w:r>
      <w:r>
        <w:t xml:space="preserve">[18]</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[14]</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[19]</w:t>
      </w:r>
      <w:r>
        <w:t xml:space="preserve"> </w:t>
      </w:r>
      <w:r>
        <w:t xml:space="preserve">but refit using a log-normal incubation period with a mean of 5.2 days (SD 1.1) and SD of 1.52 days (SD 1.1)</w:t>
      </w:r>
      <w:r>
        <w:t xml:space="preserve"> </w:t>
      </w:r>
      <w:r>
        <w:t xml:space="preserve">[20]</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[21]</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[22]</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[23,24]</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[25]</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[26]</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[22]</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[26]</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[27]</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[25]</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3"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6" w:name="ref-10.12688/wellcomeopenres.15842.1"/>
    <w:p>
      <w:pPr>
        <w:pStyle w:val="Bibliography"/>
      </w:pPr>
      <w:r>
        <w:t xml:space="preserve">17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6"/>
    <w:bookmarkStart w:id="78" w:name="ref-approxGP"/>
    <w:p>
      <w:pPr>
        <w:pStyle w:val="Bibliography"/>
      </w:pPr>
      <w:r>
        <w:t xml:space="preserve">18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19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20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21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22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23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24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25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9"/>
    <w:bookmarkStart w:id="91" w:name="ref-rt-comparison"/>
    <w:p>
      <w:pPr>
        <w:pStyle w:val="Bibliography"/>
      </w:pPr>
      <w:r>
        <w:t xml:space="preserve">26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27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2020-10-22T20:00:41Z</dcterms:created>
  <dcterms:modified xsi:type="dcterms:W3CDTF">2020-10-22T20:00:41Z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