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Dataset specific estimates are detailed on the respective country pages.</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Reported cases counts (</w:t>
      </w:r>
      <m:oMath>
        <m:sSub>
          <m:e>
            <m:r>
              <m:t>C</m:t>
            </m:r>
          </m:e>
          <m:sub>
            <m:r>
              <m:t>t</m:t>
            </m:r>
          </m:sub>
        </m:sSub>
      </m:oMath>
      <w:r>
        <w:t xml:space="preserve">) were then sampled uby multiplying by a day of the week effect, using an independent effect for each day of the week (</w:t>
      </w:r>
      <m:oMath>
        <m:sSub>
          <m:e>
            <m:r>
              <m:t>ω</m:t>
            </m:r>
          </m:e>
          <m:sub>
            <m:r>
              <m:t>(</m:t>
            </m:r>
            <m:r>
              <m:t>t</m:t>
            </m:r>
            <m:r>
              <m:rPr>
                <m:nor/>
                <m:sty m:val="p"/>
              </m:rPr>
              <m:t>mod</m:t>
            </m:r>
            <m:r>
              <m:t>7</m:t>
            </m:r>
            <m:r>
              <m:t>)</m:t>
            </m:r>
          </m:sub>
        </m:sSub>
      </m:oMath>
      <w:r>
        <w:t xml:space="preserve">), and a negative binomial observation model with overdispersion</w:t>
      </w:r>
      <w:r>
        <w:t xml:space="preserve"> </w:t>
      </w:r>
      <m:oMath>
        <m:r>
          <m:t>ϕ</m:t>
        </m:r>
      </m:oMath>
      <w:r>
        <w:t xml:space="preserve"> </w:t>
      </w:r>
      <w:r>
        <w:t xml:space="preserve">(using an exponential prior with mean 1)</w:t>
      </w:r>
      <w:r>
        <w:t xml:space="preserve"> </w:t>
      </w:r>
      <w:r>
        <w:t xml:space="preserve">[17]</w:t>
      </w:r>
      <w:r>
        <w:t xml:space="preserve">. Temporal variation was controlled using an approximate Gaussian process</w:t>
      </w:r>
      <w:r>
        <w:t xml:space="preserve"> </w:t>
      </w:r>
      <w:r>
        <w:t xml:space="preserve">[18]</w:t>
      </w:r>
      <w:r>
        <w:t xml:space="preserve"> </w:t>
      </w:r>
      <w:r>
        <w:t xml:space="preserve">with a squared exponential kernel (</w:t>
      </w:r>
      <m:oMath>
        <m:r>
          <m:t>G</m:t>
        </m:r>
        <m:r>
          <m:t>P</m:t>
        </m:r>
      </m:oMath>
      <w:r>
        <w:t xml:space="preserve">).The model can be defined mathematically as follows,</w:t>
      </w:r>
    </w:p>
    <w:p>
      <w:pPr>
        <w:pStyle w:val="BodyText"/>
      </w:pPr>
    </w:p>
    <w:p>
      <w:pPr>
        <w:pStyle w:val="BodyText"/>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[19]</w:t>
      </w:r>
      <w:r>
        <w:t xml:space="preserve"> </w:t>
      </w:r>
      <w:r>
        <w:t xml:space="preserve">but refit using a log-normal incubation period with a mean of 5.2 days (SD 1.1) and SD of 1.52 days (SD 1.1)</w:t>
      </w:r>
      <w:r>
        <w:t xml:space="preserve"> </w:t>
      </w:r>
      <w:r>
        <w:t xml:space="preserve">[20]</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[21]</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[22]</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[23,24]</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[25]</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[26]</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[22]</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[26]</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[27]</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[25]</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3"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6" w:name="ref-10.12688/wellcomeopenres.15842.1"/>
    <w:p>
      <w:pPr>
        <w:pStyle w:val="Bibliography"/>
      </w:pPr>
      <w:r>
        <w:t xml:space="preserve">17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6"/>
    <w:bookmarkStart w:id="78" w:name="ref-approxGP"/>
    <w:p>
      <w:pPr>
        <w:pStyle w:val="Bibliography"/>
      </w:pPr>
      <w:r>
        <w:t xml:space="preserve">18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19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20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21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22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23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24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25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9"/>
    <w:bookmarkStart w:id="91" w:name="ref-rt-comparison"/>
    <w:p>
      <w:pPr>
        <w:pStyle w:val="Bibliography"/>
      </w:pPr>
      <w:r>
        <w:t xml:space="preserve">26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27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2020-10-23T12:00:53Z</dcterms:created>
  <dcterms:modified xsi:type="dcterms:W3CDTF">2020-10-23T12:00:53Z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