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gridSpan w:val="8"/>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Evaluation scores for incidence-only, contacts, mobility and combined models, England</w:t>
            </w:r>
          </w:p>
        </w:tc>
      </w:tr>
      <w:tr>
        <w:trPr>
          <w:trHeight w:val="360" w:hRule="auto"/>
          <w:tblHeader/>
        </w:trPr>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Model</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log-CRPS</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rCRPS</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Over-prediction</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Under-prediction</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Dispersion</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50% coverage</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90% coverage</w:t>
            </w:r>
          </w:p>
        </w:tc>
      </w:tr>
      <w:tr>
        <w:trPr>
          <w:trHeight w:val="360" w:hRule="auto"/>
        </w:trPr>
        <w:tc>
          <w:tcPr>
            <w:gridSpan w:val="8"/>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Overall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baseline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0.418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contacts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0.288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0.689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mobility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combined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0.783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0.10</w:t>
            </w:r>
          </w:p>
        </w:tc>
      </w:tr>
      <w:tr>
        <w:trPr>
          <w:trHeight w:val="360" w:hRule="auto"/>
        </w:trPr>
        <w:tc>
          <w:tcPr>
            <w:gridSpan w:val="8"/>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1 week ahead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baseline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contacts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0.595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mobility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0.715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combined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0.096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0.587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0.15</w:t>
            </w:r>
          </w:p>
        </w:tc>
      </w:tr>
      <w:tr>
        <w:trPr>
          <w:trHeight w:val="360" w:hRule="auto"/>
        </w:trPr>
        <w:tc>
          <w:tcPr>
            <w:gridSpan w:val="8"/>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2 weeks ahead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baseline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contacts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0.207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0.642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mobility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0.849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combined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0.730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0.15</w:t>
            </w:r>
          </w:p>
        </w:tc>
      </w:tr>
      <w:tr>
        <w:trPr>
          <w:trHeight w:val="360" w:hRule="auto"/>
        </w:trPr>
        <w:tc>
          <w:tcPr>
            <w:gridSpan w:val="8"/>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3 weeks ahead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baseline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0.501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contacts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0.349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0.697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mobility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combined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0.405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0.809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0.07</w:t>
            </w:r>
          </w:p>
        </w:tc>
      </w:tr>
      <w:tr>
        <w:trPr>
          <w:trHeight w:val="360" w:hRule="auto"/>
        </w:trPr>
        <w:tc>
          <w:tcPr>
            <w:gridSpan w:val="8"/>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4 weeks ahead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baseline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0.686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contacts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0.499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true"/>
                <w:u w:val="none"/>
                <w:strike w:val="false"/>
                <w:sz w:val="16"/>
                <w:szCs w:val="16"/>
                <w:color w:val="000000"/>
              </w:rPr>
            </w:pPr>
            <w:r>
              <w:rPr>
                <w:rFonts w:ascii="Calibri" w:hAnsi="Calibri" w:eastAsia="Calibri" w:cs="Calibri"/>
                <w:i w:val="false"/>
                <w:b w:val="true"/>
                <w:u w:val="none"/>
                <w:strike w:val="false"/>
                <w:sz w:val="16"/>
                <w:szCs w:val="16"/>
                <w:color w:val="000000"/>
              </w:rPr>
              <w:t xml:space="preserve">0.727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mobility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0.641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0.07</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combined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0.573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0.836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0.230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0.326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6"/>
                <w:szCs w:val="16"/>
                <w:color w:val="000000"/>
              </w:rPr>
            </w:pPr>
            <w:r>
              <w:rPr>
                <w:rFonts w:ascii="Calibri" w:hAnsi="Calibri" w:eastAsia="Calibri" w:cs="Calibri"/>
                <w:i w:val="false"/>
                <w:b w:val="false"/>
                <w:u w:val="none"/>
                <w:strike w:val="false"/>
                <w:sz w:val="16"/>
                <w:szCs w:val="16"/>
                <w:color w:val="000000"/>
              </w:rPr>
              <w:t xml:space="preserve">0.04</w:t>
            </w:r>
          </w:p>
        </w:tc>
      </w:tr>
      <w:tr>
        <w:trPr>
          <w:trHeight w:val="360" w:hRule="auto"/>
        </w:trPr>
        <w:tc>
          <w:tcPr>
            <w:gridSpan w:val="8"/>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60" w:right="60" w:firstLine="0" w:firstLineChars="0"/>
              <w:rPr>
                <w:rFonts w:ascii="Calibri" w:hAnsi="Calibri" w:eastAsia="Calibri" w:cs="Calibri"/>
                <w:i w:val="false"/>
                <w:b w:val="false"/>
                <w:u w:val="none"/>
                <w:strike w:val="false"/>
                <w:sz w:val="14"/>
                <w:szCs w:val="14"/>
                <w:color w:val="000000"/>
              </w:rPr>
            </w:pPr>
            <w:r>
              <w:rPr>
                <w:rFonts w:ascii="Calibri" w:hAnsi="Calibri" w:eastAsia="Calibri" w:cs="Calibri"/>
                <w:i w:val="false"/>
                <w:b w:val="false"/>
                <w:u w:val="none"/>
                <w:strike w:val="false"/>
                <w:sz w:val="14"/>
                <w:szCs w:val="14"/>
                <w:color w:val="000000"/>
              </w:rPr>
              <w:t xml:space="preserve">Forecast performance by model and horizon, on the log scale, averaged over 27 weekly forecast origins from 01 Jul 2020 to 30 Dec 2020. rCRPS is the ratio to the incidence-only baseline, so values below one indicate improvement. Bold indicates the best performing model at each horizon.</w:t>
            </w:r>
          </w:p>
        </w:tc>
      </w:tr>
    </w:tbl>
    <w:sectPr>
      <w:pgMar w:header="708" w:bottom="1417" w:top="1417" w:right="1417" w:left="1417" w:footer="708"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lukeburton</cp:lastModifiedBy>
  <cp:revision>9</cp:revision>
  <dcterms:created xsi:type="dcterms:W3CDTF">2017-02-28T11:18:00Z</dcterms:created>
  <dcterms:modified xsi:type="dcterms:W3CDTF">2026-08-14T04:05:17Z</dcterms:modified>
  <cp:category/>
</cp:coreProperties>
</file>