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DA01" w14:textId="7C6976F9" w:rsidR="00EF025D" w:rsidRDefault="00B613E2">
      <w:r>
        <w:t>Results</w:t>
      </w:r>
    </w:p>
    <w:p w14:paraId="043D9946" w14:textId="5989C164" w:rsidR="00891F02" w:rsidRDefault="00FF783E">
      <w:pPr>
        <w:rPr>
          <w:i/>
          <w:iCs/>
        </w:rPr>
      </w:pPr>
      <w:r w:rsidRPr="00891F02">
        <w:rPr>
          <w:u w:val="single"/>
        </w:rPr>
        <w:t>England</w:t>
      </w:r>
    </w:p>
    <w:p w14:paraId="7506191D" w14:textId="0B7E382C" w:rsidR="00B613E2" w:rsidRDefault="00FF783E" w:rsidP="005A361D">
      <w:pPr>
        <w:jc w:val="both"/>
        <w:rPr>
          <w:i/>
          <w:iCs/>
        </w:rPr>
      </w:pPr>
      <w:r>
        <w:rPr>
          <w:i/>
          <w:iCs/>
        </w:rPr>
        <w:t>Case counts and Rt estimates</w:t>
      </w:r>
    </w:p>
    <w:p w14:paraId="2E9BE332" w14:textId="154F9C20" w:rsidR="00DC362A" w:rsidRPr="003139F9" w:rsidRDefault="003139F9" w:rsidP="005A361D">
      <w:pPr>
        <w:jc w:val="both"/>
      </w:pPr>
      <w:r>
        <w:t>Across England, positive Covid-19 tests peaked at # cases, # admissions, and # deaths per day in March. From this level, counts among admissions and deaths declined more gradually than from all positive tests through April and May</w:t>
      </w:r>
      <w:r w:rsidR="00DC362A">
        <w:t xml:space="preserve"> (</w:t>
      </w:r>
      <w:r w:rsidR="00891F02">
        <w:t>time to a -50% decline from peak</w:t>
      </w:r>
      <w:r w:rsidR="00DC362A">
        <w:t xml:space="preserve"> </w:t>
      </w:r>
      <w:r w:rsidR="00891F02">
        <w:t>of</w:t>
      </w:r>
      <w:r w:rsidR="00DC362A">
        <w:t xml:space="preserve"> </w:t>
      </w:r>
      <w:r w:rsidR="00891F02">
        <w:t xml:space="preserve">40, 45, and </w:t>
      </w:r>
      <w:r w:rsidR="00DC362A">
        <w:t>30 days</w:t>
      </w:r>
      <w:r w:rsidR="00891F02">
        <w:t xml:space="preserve"> respectively; figure 1A</w:t>
      </w:r>
      <w:r w:rsidR="00DC362A">
        <w:t>). This mean</w:t>
      </w:r>
      <w:r>
        <w:t xml:space="preserve"> that counts among all positive tests matched counts of admissions</w:t>
      </w:r>
      <w:r w:rsidR="00DC362A">
        <w:t xml:space="preserve"> on 20</w:t>
      </w:r>
      <w:r w:rsidR="00DC362A" w:rsidRPr="00DC362A">
        <w:rPr>
          <w:vertAlign w:val="superscript"/>
        </w:rPr>
        <w:t>th</w:t>
      </w:r>
      <w:r w:rsidR="00DC362A">
        <w:t xml:space="preserve"> May, at 900 cases. Admissions and test-positive cases</w:t>
      </w:r>
      <w:r w:rsidR="00891F02">
        <w:t xml:space="preserve"> then</w:t>
      </w:r>
      <w:r w:rsidR="00DC362A">
        <w:t xml:space="preserve"> gave</w:t>
      </w:r>
      <w:r w:rsidR="00891F02">
        <w:t xml:space="preserve"> approximately</w:t>
      </w:r>
      <w:r w:rsidR="00DC362A">
        <w:t xml:space="preserve"> the same counts</w:t>
      </w:r>
      <w:r>
        <w:t xml:space="preserve"> through June</w:t>
      </w:r>
      <w:r w:rsidR="00891F02">
        <w:t xml:space="preserve"> (+- 10%)</w:t>
      </w:r>
      <w:r>
        <w:t xml:space="preserve">, </w:t>
      </w:r>
      <w:r w:rsidR="00DC362A">
        <w:t>with all three counts</w:t>
      </w:r>
      <w:r>
        <w:t xml:space="preserve"> </w:t>
      </w:r>
      <w:r w:rsidR="00DC362A">
        <w:t xml:space="preserve">declining by 10% </w:t>
      </w:r>
      <w:r w:rsidR="00891F02">
        <w:t>from 20</w:t>
      </w:r>
      <w:r w:rsidR="00891F02" w:rsidRPr="00891F02">
        <w:rPr>
          <w:vertAlign w:val="superscript"/>
        </w:rPr>
        <w:t>th</w:t>
      </w:r>
      <w:r w:rsidR="00891F02">
        <w:t xml:space="preserve"> May to</w:t>
      </w:r>
      <w:r w:rsidR="00DC362A">
        <w:t xml:space="preserve"> Jun 27</w:t>
      </w:r>
      <w:r w:rsidR="00DC362A" w:rsidRPr="00DC362A">
        <w:rPr>
          <w:vertAlign w:val="superscript"/>
        </w:rPr>
        <w:t>th</w:t>
      </w:r>
      <w:r w:rsidR="00DC362A">
        <w:t>. This trend continued for counts of admissions and deaths from Covid-19 until August 20</w:t>
      </w:r>
      <w:r w:rsidR="00DC362A" w:rsidRPr="00DC362A">
        <w:rPr>
          <w:vertAlign w:val="superscript"/>
        </w:rPr>
        <w:t>th</w:t>
      </w:r>
      <w:r w:rsidR="00DC362A">
        <w:t>. However, from late June, case counts from all reported test-positive cases increased rapidly (+10% over 7 days) and then gradually (+10% until 30 days until August 20</w:t>
      </w:r>
      <w:r w:rsidR="00DC362A" w:rsidRPr="00DC362A">
        <w:rPr>
          <w:vertAlign w:val="superscript"/>
        </w:rPr>
        <w:t>th</w:t>
      </w:r>
      <w:r w:rsidR="00DC362A">
        <w:t>).</w:t>
      </w:r>
    </w:p>
    <w:p w14:paraId="51E091A8" w14:textId="285765F9" w:rsidR="00FF783E" w:rsidRDefault="00FF783E" w:rsidP="005A361D">
      <w:pPr>
        <w:jc w:val="both"/>
        <w:rPr>
          <w:i/>
          <w:iCs/>
        </w:rPr>
      </w:pPr>
      <w:r>
        <w:rPr>
          <w:i/>
          <w:iCs/>
        </w:rPr>
        <w:t>Relationship between Rt estimates</w:t>
      </w:r>
    </w:p>
    <w:p w14:paraId="051C4AC0" w14:textId="28D1B506" w:rsidR="00435B3B" w:rsidRDefault="00DC362A" w:rsidP="005A361D">
      <w:pPr>
        <w:jc w:val="both"/>
      </w:pPr>
      <w:r>
        <w:t>Rt estimates from all sources of cases moved in sine waves throughout the time series</w:t>
      </w:r>
      <w:r w:rsidR="00891F02">
        <w:t xml:space="preserve"> (figure 1B), but </w:t>
      </w:r>
      <w:r>
        <w:t>the frequency</w:t>
      </w:r>
      <w:r w:rsidR="007C5200">
        <w:t xml:space="preserve">, </w:t>
      </w:r>
      <w:r>
        <w:t>amplitude</w:t>
      </w:r>
      <w:r w:rsidR="007C5200">
        <w:t>, and trend</w:t>
      </w:r>
      <w:r>
        <w:t xml:space="preserve"> of waves varied both by data source and within each Rt estimate over time.</w:t>
      </w:r>
      <w:r w:rsidR="007C5200">
        <w:t xml:space="preserve"> The net effect of the differences in wave frequency and amplitude is seen in the ratios between each Rt estimate (Figure 1C-E).</w:t>
      </w:r>
      <w:r w:rsidR="00891F02">
        <w:t xml:space="preserve"> </w:t>
      </w:r>
      <w:r w:rsidR="005A361D">
        <w:t>O</w:t>
      </w:r>
      <w:r w:rsidR="005A361D">
        <w:t>ver April through to mid-June</w:t>
      </w:r>
      <w:r w:rsidR="005A361D">
        <w:t>, a</w:t>
      </w:r>
      <w:r w:rsidR="00891F02">
        <w:t xml:space="preserve">ll Rt estimates were below 1, associated with a declining epidemic. </w:t>
      </w:r>
      <w:r w:rsidR="007C5200">
        <w:t xml:space="preserve">Rt estimates from both admissions and deaths had no </w:t>
      </w:r>
      <w:r w:rsidR="005A361D">
        <w:t>clear</w:t>
      </w:r>
      <w:r w:rsidR="007C5200">
        <w:t xml:space="preserve"> linear trend, with Rt centred around 0.85 and 0.8 respectively in each wave. Estimates from admissions had low amplitude waves (+- 0.01) with approximately monthly periodicity</w:t>
      </w:r>
      <w:r w:rsidR="0033495B">
        <w:t xml:space="preserve"> until</w:t>
      </w:r>
      <w:r w:rsidR="007C5200">
        <w:t xml:space="preserve"> the mid-June peak</w:t>
      </w:r>
      <w:r w:rsidR="0033495B">
        <w:t>, after which</w:t>
      </w:r>
      <w:r w:rsidR="007C5200">
        <w:t xml:space="preserve"> Rt from admissions fell to</w:t>
      </w:r>
      <w:r w:rsidR="0033495B">
        <w:t xml:space="preserve"> a </w:t>
      </w:r>
      <w:r w:rsidR="005A3E7F">
        <w:t>time-</w:t>
      </w:r>
      <w:r w:rsidR="0033495B">
        <w:t>series minimum of</w:t>
      </w:r>
      <w:r w:rsidR="007C5200">
        <w:t xml:space="preserve"> 0.78 before increasing linearly through July and August</w:t>
      </w:r>
      <w:r w:rsidR="00BE424A">
        <w:t>.</w:t>
      </w:r>
    </w:p>
    <w:p w14:paraId="1E6BE1D4" w14:textId="5036FB1C" w:rsidR="003139F9" w:rsidRPr="005A361D" w:rsidRDefault="00723422" w:rsidP="005A3E7F">
      <w:pPr>
        <w:ind w:left="720"/>
        <w:jc w:val="both"/>
        <w:rPr>
          <w:caps/>
        </w:rPr>
      </w:pPr>
      <w:r>
        <w:t>Over April through June, Rt estimates from deaths saw higher amplitude and lower frequency waves than that from admissions (respective average wave amplitude +- 0.01 and +- 0.2 from centre, periodicity 3 weeks, 4 weeks). Unlike other estimates, Rt from deaths saw a trough at 0.75 in late May, before rising to meet the Rt from admissions at 0.9 in mid</w:t>
      </w:r>
      <w:r w:rsidR="005A361D">
        <w:t>-</w:t>
      </w:r>
      <w:r>
        <w:t>June</w:t>
      </w:r>
      <w:r w:rsidR="005A361D">
        <w:t>.</w:t>
      </w:r>
      <w:r w:rsidR="005A361D" w:rsidRPr="005A361D">
        <w:t xml:space="preserve"> </w:t>
      </w:r>
      <w:r w:rsidR="005A361D">
        <w:t xml:space="preserve">Rt from deaths and admissions </w:t>
      </w:r>
      <w:r w:rsidR="005A361D">
        <w:t>then</w:t>
      </w:r>
      <w:r w:rsidR="005A361D">
        <w:t xml:space="preserve"> remained in synchrony from mid-June through to August (mean ratio of median estimates 1.05, 95%CI 1.0-1.1).</w:t>
      </w:r>
      <w:r w:rsidR="005A361D">
        <w:t xml:space="preserve"> By the 28</w:t>
      </w:r>
      <w:r w:rsidR="005A361D" w:rsidRPr="005A361D">
        <w:rPr>
          <w:vertAlign w:val="superscript"/>
        </w:rPr>
        <w:t>th</w:t>
      </w:r>
      <w:r w:rsidR="005A361D">
        <w:t xml:space="preserve"> </w:t>
      </w:r>
      <w:r w:rsidR="005A361D">
        <w:t>June</w:t>
      </w:r>
      <w:r w:rsidR="005A361D">
        <w:t xml:space="preserve">, when </w:t>
      </w:r>
      <w:r>
        <w:t xml:space="preserve">Rt from deaths and admissions </w:t>
      </w:r>
      <w:r w:rsidR="005A361D">
        <w:t>saw</w:t>
      </w:r>
      <w:r w:rsidR="002719F6">
        <w:t xml:space="preserve"> </w:t>
      </w:r>
      <w:r>
        <w:t xml:space="preserve">a trough </w:t>
      </w:r>
      <w:r w:rsidR="002719F6">
        <w:t>at</w:t>
      </w:r>
      <w:r>
        <w:t xml:space="preserve"> 0.8, Rt from cases </w:t>
      </w:r>
      <w:r w:rsidR="005A361D">
        <w:t>peak</w:t>
      </w:r>
      <w:r w:rsidR="005A361D">
        <w:t>ed</w:t>
      </w:r>
      <w:r w:rsidR="005A361D">
        <w:t xml:space="preserve"> at 1.3 </w:t>
      </w:r>
      <w:r w:rsidR="005A361D">
        <w:t>in</w:t>
      </w:r>
      <w:r>
        <w:t xml:space="preserve"> a</w:t>
      </w:r>
      <w:r w:rsidR="00435B3B">
        <w:t xml:space="preserve"> rapid </w:t>
      </w:r>
      <w:r>
        <w:t>high amplitude wave</w:t>
      </w:r>
      <w:r w:rsidR="00435B3B">
        <w:t xml:space="preserve">, having risen 70% in 7 days. Through July and August, Rt from both deaths and admissions </w:t>
      </w:r>
      <w:r w:rsidR="005A361D">
        <w:t>increased linearly</w:t>
      </w:r>
      <w:r w:rsidR="00435B3B">
        <w:t>, to reach 0.9 (August 1</w:t>
      </w:r>
      <w:r w:rsidR="00435B3B" w:rsidRPr="00435B3B">
        <w:rPr>
          <w:vertAlign w:val="superscript"/>
        </w:rPr>
        <w:t>st</w:t>
      </w:r>
      <w:r w:rsidR="00435B3B">
        <w:t>) and 0.95 (August 15</w:t>
      </w:r>
      <w:r w:rsidR="00435B3B" w:rsidRPr="00435B3B">
        <w:rPr>
          <w:vertAlign w:val="superscript"/>
        </w:rPr>
        <w:t>th</w:t>
      </w:r>
      <w:r w:rsidR="00435B3B">
        <w:t>) respectively, while Rt from cases experienced a second wave with lower amplitude (0.5</w:t>
      </w:r>
      <w:r w:rsidR="00BE424A">
        <w:t>, peak</w:t>
      </w:r>
      <w:r w:rsidR="005A361D">
        <w:t xml:space="preserve"> 1.2</w:t>
      </w:r>
      <w:r w:rsidR="00BE424A">
        <w:t xml:space="preserve"> </w:t>
      </w:r>
      <w:r w:rsidR="005A361D">
        <w:t>on</w:t>
      </w:r>
      <w:r w:rsidR="00BE424A">
        <w:t xml:space="preserve"> July 31</w:t>
      </w:r>
      <w:r w:rsidR="00BE424A" w:rsidRPr="00BE424A">
        <w:rPr>
          <w:vertAlign w:val="superscript"/>
        </w:rPr>
        <w:t>st</w:t>
      </w:r>
      <w:r w:rsidR="00435B3B">
        <w:t>)</w:t>
      </w:r>
      <w:r>
        <w:t>.</w:t>
      </w:r>
      <w:r w:rsidR="00435B3B" w:rsidRPr="00435B3B">
        <w:t xml:space="preserve"> </w:t>
      </w:r>
      <w:r w:rsidR="005A361D">
        <w:t>Therefore,</w:t>
      </w:r>
      <w:r w:rsidR="005A361D">
        <w:t xml:space="preserve"> </w:t>
      </w:r>
      <w:r w:rsidR="00435B3B">
        <w:t>Rt from admissions was near parity</w:t>
      </w:r>
      <w:r w:rsidR="005A361D">
        <w:t xml:space="preserve"> with</w:t>
      </w:r>
      <w:r w:rsidR="00BE424A">
        <w:t xml:space="preserve"> (</w:t>
      </w:r>
      <w:r w:rsidR="002719F6">
        <w:t>10%</w:t>
      </w:r>
      <w:r w:rsidR="00BE424A">
        <w:t xml:space="preserve"> lower</w:t>
      </w:r>
      <w:r w:rsidR="005A361D">
        <w:t xml:space="preserve"> than</w:t>
      </w:r>
      <w:r w:rsidR="00BE424A">
        <w:t>)</w:t>
      </w:r>
      <w:r w:rsidR="00435B3B">
        <w:t xml:space="preserve"> the Rt from test-positive cases by late August</w:t>
      </w:r>
      <w:r w:rsidR="00BE424A">
        <w:t>.</w:t>
      </w:r>
      <w:r w:rsidR="005A361D">
        <w:t xml:space="preserve"> </w:t>
      </w:r>
    </w:p>
    <w:p w14:paraId="3335CD4D" w14:textId="6955612F" w:rsidR="00FF783E" w:rsidRPr="00891F02" w:rsidRDefault="00891F02">
      <w:r w:rsidRPr="00891F02">
        <w:rPr>
          <w:u w:val="single"/>
        </w:rPr>
        <w:t>Regions</w:t>
      </w:r>
    </w:p>
    <w:p w14:paraId="2D10ED9C" w14:textId="01411402" w:rsidR="00B613E2" w:rsidRDefault="00B613E2">
      <w:pPr>
        <w:rPr>
          <w:i/>
          <w:iCs/>
        </w:rPr>
      </w:pPr>
      <w:r w:rsidRPr="00B613E2">
        <w:rPr>
          <w:i/>
          <w:iCs/>
        </w:rPr>
        <w:t>Case counts and Rt estimates over time</w:t>
      </w:r>
    </w:p>
    <w:p w14:paraId="38A93598" w14:textId="46569152" w:rsidR="005A3E7F" w:rsidRDefault="002138C0">
      <w:r>
        <w:t>Earliest date after the peak that Rt crossed below 1:</w:t>
      </w:r>
    </w:p>
    <w:p w14:paraId="71F617DD" w14:textId="1FDA8BF5" w:rsidR="006A34C9" w:rsidRDefault="00834D78" w:rsidP="006A34C9">
      <w:r>
        <w:t xml:space="preserve">Regions varied in the timing of the first epidemic wave. </w:t>
      </w:r>
      <w:r w:rsidR="006A34C9">
        <w:t xml:space="preserve">The key point when </w:t>
      </w:r>
      <w:r>
        <w:t xml:space="preserve">Rt crossed below 1, indicating a declining epidemic, </w:t>
      </w:r>
      <w:r w:rsidR="006A34C9">
        <w:t xml:space="preserve">was spatially variable when estimated from cases (earliest median estimate below 1 on 28 March in London, latest 23 April in South West, both estimates from cases: a range of 28 days around a mean of 9 April). However, the timing at which Rt crossed below 1 was </w:t>
      </w:r>
      <w:r w:rsidR="006A34C9">
        <w:lastRenderedPageBreak/>
        <w:t>more consistent when estimated from admissions or deaths (range among regions 4 days and 8 days respectively, with an identical mean of 1 April).</w:t>
      </w:r>
    </w:p>
    <w:p w14:paraId="59072578" w14:textId="513178DA" w:rsidR="005A3E7F" w:rsidRDefault="003444A8" w:rsidP="006A34C9">
      <w:r>
        <w:t>Consistent features: cases higher average Rt estimate and higher frequency + amplitude of variation than admissions or deaths</w:t>
      </w:r>
    </w:p>
    <w:p w14:paraId="70C7CAE3" w14:textId="03B82CC4" w:rsidR="005A3E7F" w:rsidRDefault="005A3E7F" w:rsidP="003444A8">
      <w:pPr>
        <w:pStyle w:val="ListParagraph"/>
        <w:numPr>
          <w:ilvl w:val="0"/>
          <w:numId w:val="1"/>
        </w:numPr>
      </w:pPr>
      <w:r>
        <w:t>North East and Yorkshire, and South West, saw the highest amplitude waves in cases</w:t>
      </w:r>
    </w:p>
    <w:p w14:paraId="18DE1E02" w14:textId="1F9D4D3A" w:rsidR="00B613E2" w:rsidRPr="00B613E2" w:rsidRDefault="00B613E2">
      <w:pPr>
        <w:rPr>
          <w:i/>
          <w:iCs/>
        </w:rPr>
      </w:pPr>
      <w:r w:rsidRPr="00B613E2">
        <w:rPr>
          <w:i/>
          <w:iCs/>
        </w:rPr>
        <w:t>Relationship between Rt estimates</w:t>
      </w:r>
    </w:p>
    <w:p w14:paraId="5F9B0A5D" w14:textId="63C8EF01" w:rsidR="003444A8" w:rsidRDefault="003444A8" w:rsidP="003444A8">
      <w:pPr>
        <w:pStyle w:val="ListParagraph"/>
        <w:numPr>
          <w:ilvl w:val="0"/>
          <w:numId w:val="1"/>
        </w:numPr>
      </w:pPr>
      <w:r>
        <w:t>All regions had Rt estimates (therefore the relationships between Rt estimates) as waves – not smooth linear relationship; but synchrony, frequency/amplitude, presence / direction of trend varied by region and over time</w:t>
      </w:r>
    </w:p>
    <w:p w14:paraId="535999C7" w14:textId="6C573475" w:rsidR="005A3E7F" w:rsidRDefault="005A3E7F" w:rsidP="005A3E7F">
      <w:pPr>
        <w:pStyle w:val="ListParagraph"/>
        <w:numPr>
          <w:ilvl w:val="0"/>
          <w:numId w:val="1"/>
        </w:numPr>
      </w:pPr>
      <w:r>
        <w:t xml:space="preserve">Admissions and deaths: </w:t>
      </w:r>
    </w:p>
    <w:p w14:paraId="6A6F2E9C" w14:textId="42460C4F" w:rsidR="005A3E7F" w:rsidRDefault="005A3E7F" w:rsidP="005A3E7F">
      <w:pPr>
        <w:pStyle w:val="ListParagraph"/>
        <w:numPr>
          <w:ilvl w:val="1"/>
          <w:numId w:val="1"/>
        </w:numPr>
      </w:pPr>
      <w:r>
        <w:t>A</w:t>
      </w:r>
      <w:r>
        <w:t>dmissions or deaths similar through the time-series</w:t>
      </w:r>
      <w:r w:rsidRPr="005A3E7F">
        <w:t xml:space="preserve"> </w:t>
      </w:r>
      <w:r>
        <w:t xml:space="preserve">in </w:t>
      </w:r>
      <w:r>
        <w:t>London, North West, South West</w:t>
      </w:r>
    </w:p>
    <w:p w14:paraId="616B67E3" w14:textId="65A47EC1" w:rsidR="005A3E7F" w:rsidRDefault="005A3E7F" w:rsidP="005A3E7F">
      <w:pPr>
        <w:pStyle w:val="ListParagraph"/>
        <w:numPr>
          <w:ilvl w:val="1"/>
          <w:numId w:val="1"/>
        </w:numPr>
      </w:pPr>
      <w:r>
        <w:t>in Midlands and South East, similar until July</w:t>
      </w:r>
      <w:r>
        <w:t>, then diverge</w:t>
      </w:r>
    </w:p>
    <w:p w14:paraId="729FA294" w14:textId="268E7E3F" w:rsidR="005A3E7F" w:rsidRDefault="005A3E7F" w:rsidP="005A3E7F">
      <w:pPr>
        <w:pStyle w:val="ListParagraph"/>
        <w:numPr>
          <w:ilvl w:val="1"/>
          <w:numId w:val="1"/>
        </w:numPr>
      </w:pPr>
      <w:r>
        <w:t xml:space="preserve">In North East &amp; Yorkshire, diverge over </w:t>
      </w:r>
      <w:proofErr w:type="spellStart"/>
      <w:r>
        <w:t>mid May</w:t>
      </w:r>
      <w:proofErr w:type="spellEnd"/>
      <w:r>
        <w:t xml:space="preserve"> to early July</w:t>
      </w:r>
    </w:p>
    <w:p w14:paraId="438E0363" w14:textId="2B60C9BD" w:rsidR="005A3E7F" w:rsidRDefault="005A3E7F" w:rsidP="005A3E7F">
      <w:pPr>
        <w:pStyle w:val="ListParagraph"/>
        <w:numPr>
          <w:ilvl w:val="1"/>
          <w:numId w:val="1"/>
        </w:numPr>
      </w:pPr>
      <w:r>
        <w:t>In East of England, similar centre, but dissimilar characteristics over time (out of phase, different frequency + amplitude, no trend in deaths some decline in admissions)</w:t>
      </w:r>
    </w:p>
    <w:p w14:paraId="2E85E33D" w14:textId="0ECA64B7" w:rsidR="005A3E7F" w:rsidRDefault="005A3E7F" w:rsidP="003444A8">
      <w:pPr>
        <w:pStyle w:val="ListParagraph"/>
        <w:numPr>
          <w:ilvl w:val="0"/>
          <w:numId w:val="1"/>
        </w:numPr>
      </w:pPr>
      <w:r>
        <w:t>Cases to admissions and deaths</w:t>
      </w:r>
    </w:p>
    <w:p w14:paraId="34676A50" w14:textId="76484BC3" w:rsidR="005A3E7F" w:rsidRDefault="005A3E7F" w:rsidP="005A3E7F">
      <w:pPr>
        <w:pStyle w:val="ListParagraph"/>
        <w:numPr>
          <w:ilvl w:val="1"/>
          <w:numId w:val="1"/>
        </w:numPr>
      </w:pPr>
      <w:r>
        <w:t>London:  similar increasing trend over series, stronger trend and less variation</w:t>
      </w:r>
    </w:p>
    <w:p w14:paraId="4E8F7D23" w14:textId="26D2A67B" w:rsidR="005A3E7F" w:rsidRDefault="005A3E7F" w:rsidP="005A3E7F">
      <w:pPr>
        <w:pStyle w:val="ListParagraph"/>
        <w:numPr>
          <w:ilvl w:val="1"/>
          <w:numId w:val="1"/>
        </w:numPr>
      </w:pPr>
      <w:r>
        <w:t>London, South East, Midlands, North West – similar over April through June/July</w:t>
      </w:r>
    </w:p>
    <w:p w14:paraId="7D46C916" w14:textId="77777777" w:rsidR="00B613E2" w:rsidRDefault="00B613E2"/>
    <w:sectPr w:rsidR="00B6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08D"/>
    <w:multiLevelType w:val="hybridMultilevel"/>
    <w:tmpl w:val="BBD8DF84"/>
    <w:lvl w:ilvl="0" w:tplc="E848D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6B1"/>
    <w:multiLevelType w:val="hybridMultilevel"/>
    <w:tmpl w:val="A15E3334"/>
    <w:lvl w:ilvl="0" w:tplc="51FEEA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64A1"/>
    <w:multiLevelType w:val="hybridMultilevel"/>
    <w:tmpl w:val="399C857A"/>
    <w:lvl w:ilvl="0" w:tplc="3B9096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E2"/>
    <w:rsid w:val="002138C0"/>
    <w:rsid w:val="002719F6"/>
    <w:rsid w:val="003139F9"/>
    <w:rsid w:val="0033495B"/>
    <w:rsid w:val="003444A8"/>
    <w:rsid w:val="00435B3B"/>
    <w:rsid w:val="005A361D"/>
    <w:rsid w:val="005A3E7F"/>
    <w:rsid w:val="006A34C9"/>
    <w:rsid w:val="00723422"/>
    <w:rsid w:val="007C5200"/>
    <w:rsid w:val="00834D78"/>
    <w:rsid w:val="00891F02"/>
    <w:rsid w:val="00B613E2"/>
    <w:rsid w:val="00BE424A"/>
    <w:rsid w:val="00DC362A"/>
    <w:rsid w:val="00EF025D"/>
    <w:rsid w:val="00F13FD9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4F5B"/>
  <w15:chartTrackingRefBased/>
  <w15:docId w15:val="{6EF1B592-F94D-49B7-BFCC-58FAF9E8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2</cp:revision>
  <dcterms:created xsi:type="dcterms:W3CDTF">2020-09-11T11:42:00Z</dcterms:created>
  <dcterms:modified xsi:type="dcterms:W3CDTF">2020-09-12T15:59:00Z</dcterms:modified>
</cp:coreProperties>
</file>