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3CDD" w14:textId="0BC006FC" w:rsidR="001F59BD" w:rsidRDefault="001F59BD" w:rsidP="007D5246">
      <w:pPr>
        <w:spacing w:line="240" w:lineRule="auto"/>
        <w:jc w:val="right"/>
        <w:rPr>
          <w:rFonts w:ascii="Arial" w:eastAsia="Times New Roman" w:hAnsi="Arial" w:cs="Arial"/>
          <w:color w:val="000000"/>
          <w:lang w:eastAsia="en-GB"/>
        </w:rPr>
      </w:pPr>
      <w:r w:rsidRPr="00ED058D">
        <w:rPr>
          <w:rFonts w:ascii="Arial" w:eastAsia="Times New Roman" w:hAnsi="Arial" w:cs="Arial"/>
          <w:color w:val="000000"/>
          <w:lang w:eastAsia="en-GB"/>
        </w:rPr>
        <w:t>26 February 2021</w:t>
      </w:r>
    </w:p>
    <w:p w14:paraId="60D89702" w14:textId="77777777" w:rsidR="00292B4E" w:rsidRPr="001F59BD" w:rsidRDefault="00292B4E" w:rsidP="007D5246">
      <w:pPr>
        <w:spacing w:line="240" w:lineRule="auto"/>
        <w:jc w:val="right"/>
        <w:rPr>
          <w:rFonts w:ascii="Arial" w:eastAsia="Times New Roman" w:hAnsi="Arial" w:cs="Arial"/>
          <w:color w:val="000000"/>
          <w:lang w:eastAsia="en-GB"/>
        </w:rPr>
      </w:pPr>
    </w:p>
    <w:p w14:paraId="4D10C1A6" w14:textId="77777777" w:rsidR="00292B4E" w:rsidRDefault="00292B4E" w:rsidP="00ED058D">
      <w:pPr>
        <w:spacing w:line="240" w:lineRule="auto"/>
        <w:jc w:val="both"/>
        <w:rPr>
          <w:rFonts w:ascii="Arial" w:eastAsia="Times New Roman" w:hAnsi="Arial" w:cs="Arial"/>
          <w:color w:val="000000"/>
          <w:lang w:eastAsia="en-GB"/>
        </w:rPr>
      </w:pPr>
    </w:p>
    <w:p w14:paraId="74127510" w14:textId="77777777" w:rsidR="00292B4E" w:rsidRDefault="00292B4E" w:rsidP="00ED058D">
      <w:pPr>
        <w:spacing w:line="240" w:lineRule="auto"/>
        <w:jc w:val="both"/>
        <w:rPr>
          <w:rFonts w:ascii="Arial" w:eastAsia="Times New Roman" w:hAnsi="Arial" w:cs="Arial"/>
          <w:color w:val="000000"/>
          <w:lang w:eastAsia="en-GB"/>
        </w:rPr>
      </w:pPr>
    </w:p>
    <w:p w14:paraId="0A0CEAEF" w14:textId="16E1EB74" w:rsidR="001F59BD" w:rsidRPr="00ED058D" w:rsidRDefault="001F59BD" w:rsidP="00ED058D">
      <w:pPr>
        <w:spacing w:line="240" w:lineRule="auto"/>
        <w:jc w:val="both"/>
        <w:rPr>
          <w:rFonts w:ascii="Arial" w:eastAsia="Times New Roman" w:hAnsi="Arial" w:cs="Arial"/>
          <w:lang w:eastAsia="en-GB"/>
        </w:rPr>
      </w:pPr>
      <w:r w:rsidRPr="00ED058D">
        <w:rPr>
          <w:rFonts w:ascii="Arial" w:eastAsia="Times New Roman" w:hAnsi="Arial" w:cs="Arial"/>
          <w:color w:val="000000"/>
          <w:lang w:eastAsia="en-GB"/>
        </w:rPr>
        <w:t>Dear editors,</w:t>
      </w:r>
    </w:p>
    <w:p w14:paraId="45F33E46" w14:textId="77777777" w:rsidR="00292B4E" w:rsidRDefault="00292B4E" w:rsidP="00ED058D">
      <w:pPr>
        <w:spacing w:line="240" w:lineRule="auto"/>
        <w:jc w:val="both"/>
        <w:rPr>
          <w:rFonts w:ascii="Arial" w:eastAsia="Times New Roman" w:hAnsi="Arial" w:cs="Arial"/>
          <w:color w:val="000000"/>
          <w:lang w:eastAsia="en-GB"/>
        </w:rPr>
      </w:pPr>
    </w:p>
    <w:p w14:paraId="32138B33" w14:textId="0321E24C" w:rsidR="001F59BD" w:rsidRPr="00ED058D" w:rsidRDefault="001F59BD" w:rsidP="00ED058D">
      <w:pPr>
        <w:spacing w:line="240" w:lineRule="auto"/>
        <w:jc w:val="both"/>
        <w:rPr>
          <w:rFonts w:ascii="Arial" w:eastAsia="Times New Roman" w:hAnsi="Arial" w:cs="Arial"/>
          <w:lang w:eastAsia="en-GB"/>
        </w:rPr>
      </w:pPr>
      <w:r w:rsidRPr="00ED058D">
        <w:rPr>
          <w:rFonts w:ascii="Arial" w:eastAsia="Times New Roman" w:hAnsi="Arial" w:cs="Arial"/>
          <w:color w:val="000000"/>
          <w:lang w:eastAsia="en-GB"/>
        </w:rPr>
        <w:t>Thank you for sending reviewer comments on our manuscript. These have provided important feedback and been immensely useful in improving the paper.</w:t>
      </w:r>
    </w:p>
    <w:p w14:paraId="681F7159" w14:textId="2CC8028B" w:rsidR="00DA07E3" w:rsidRDefault="001F59BD" w:rsidP="00ED058D">
      <w:pPr>
        <w:spacing w:line="240" w:lineRule="auto"/>
        <w:jc w:val="both"/>
        <w:rPr>
          <w:rFonts w:ascii="Arial" w:eastAsia="Times New Roman" w:hAnsi="Arial" w:cs="Arial"/>
          <w:color w:val="000000"/>
          <w:lang w:eastAsia="en-GB"/>
        </w:rPr>
      </w:pPr>
      <w:r w:rsidRPr="00ED058D">
        <w:rPr>
          <w:rFonts w:ascii="Arial" w:eastAsia="Times New Roman" w:hAnsi="Arial" w:cs="Arial"/>
          <w:color w:val="000000"/>
          <w:lang w:eastAsia="en-GB"/>
        </w:rPr>
        <w:t xml:space="preserve">We attach a revised version of the manuscript which addresses the comments and suggested changes. </w:t>
      </w:r>
      <w:r w:rsidR="00292B4E">
        <w:rPr>
          <w:rFonts w:ascii="Arial" w:eastAsia="Times New Roman" w:hAnsi="Arial" w:cs="Arial"/>
          <w:color w:val="000000"/>
          <w:lang w:eastAsia="en-GB"/>
        </w:rPr>
        <w:t>Below w</w:t>
      </w:r>
      <w:r w:rsidRPr="00ED058D">
        <w:rPr>
          <w:rFonts w:ascii="Arial" w:eastAsia="Times New Roman" w:hAnsi="Arial" w:cs="Arial"/>
          <w:color w:val="000000"/>
          <w:lang w:eastAsia="en-GB"/>
        </w:rPr>
        <w:t xml:space="preserve">e have summarised reviewer comments </w:t>
      </w:r>
      <w:r w:rsidR="00ED058D" w:rsidRPr="00ED058D">
        <w:rPr>
          <w:rFonts w:ascii="Arial" w:eastAsia="Times New Roman" w:hAnsi="Arial" w:cs="Arial"/>
          <w:color w:val="000000"/>
          <w:lang w:eastAsia="en-GB"/>
        </w:rPr>
        <w:t xml:space="preserve">in italics, </w:t>
      </w:r>
      <w:r w:rsidR="00292B4E">
        <w:rPr>
          <w:rFonts w:ascii="Arial" w:eastAsia="Times New Roman" w:hAnsi="Arial" w:cs="Arial"/>
          <w:color w:val="000000"/>
          <w:lang w:eastAsia="en-GB"/>
        </w:rPr>
        <w:t xml:space="preserve">together </w:t>
      </w:r>
      <w:r w:rsidRPr="00ED058D">
        <w:rPr>
          <w:rFonts w:ascii="Arial" w:eastAsia="Times New Roman" w:hAnsi="Arial" w:cs="Arial"/>
          <w:color w:val="000000"/>
          <w:lang w:eastAsia="en-GB"/>
        </w:rPr>
        <w:t>with our responses</w:t>
      </w:r>
      <w:r w:rsidR="00DA07E3">
        <w:rPr>
          <w:rFonts w:ascii="Arial" w:eastAsia="Times New Roman" w:hAnsi="Arial" w:cs="Arial"/>
          <w:color w:val="000000"/>
          <w:lang w:eastAsia="en-GB"/>
        </w:rPr>
        <w:t xml:space="preserve"> structured </w:t>
      </w:r>
      <w:r w:rsidR="00292B4E">
        <w:rPr>
          <w:rFonts w:ascii="Arial" w:eastAsia="Times New Roman" w:hAnsi="Arial" w:cs="Arial"/>
          <w:color w:val="000000"/>
          <w:lang w:eastAsia="en-GB"/>
        </w:rPr>
        <w:t>by section in the paper</w:t>
      </w:r>
      <w:r w:rsidRPr="00ED058D">
        <w:rPr>
          <w:rFonts w:ascii="Arial" w:eastAsia="Times New Roman" w:hAnsi="Arial" w:cs="Arial"/>
          <w:color w:val="000000"/>
          <w:lang w:eastAsia="en-GB"/>
        </w:rPr>
        <w:t xml:space="preserve">. </w:t>
      </w:r>
    </w:p>
    <w:p w14:paraId="6C1040AB" w14:textId="148908B3" w:rsidR="001F59BD" w:rsidRPr="00ED058D" w:rsidRDefault="001F59BD" w:rsidP="00ED058D">
      <w:pPr>
        <w:spacing w:line="240" w:lineRule="auto"/>
        <w:jc w:val="both"/>
        <w:rPr>
          <w:rFonts w:ascii="Arial" w:eastAsia="Times New Roman" w:hAnsi="Arial" w:cs="Arial"/>
          <w:lang w:eastAsia="en-GB"/>
        </w:rPr>
      </w:pPr>
      <w:r w:rsidRPr="00ED058D">
        <w:rPr>
          <w:rFonts w:ascii="Arial" w:eastAsia="Times New Roman" w:hAnsi="Arial" w:cs="Arial"/>
          <w:color w:val="000000"/>
          <w:lang w:eastAsia="en-GB"/>
        </w:rPr>
        <w:t>Thank you again for your patience in editing the manuscript.</w:t>
      </w:r>
    </w:p>
    <w:p w14:paraId="2AD638E9" w14:textId="77777777" w:rsidR="00292B4E" w:rsidRDefault="00292B4E" w:rsidP="00ED058D">
      <w:pPr>
        <w:spacing w:line="240" w:lineRule="auto"/>
        <w:jc w:val="both"/>
        <w:rPr>
          <w:rFonts w:ascii="Arial" w:eastAsia="Times New Roman" w:hAnsi="Arial" w:cs="Arial"/>
          <w:color w:val="000000"/>
          <w:lang w:eastAsia="en-GB"/>
        </w:rPr>
      </w:pPr>
    </w:p>
    <w:p w14:paraId="468DD622" w14:textId="1FA8D3E8" w:rsidR="001F59BD" w:rsidRPr="00ED058D" w:rsidRDefault="001F59BD" w:rsidP="00ED058D">
      <w:pPr>
        <w:spacing w:line="240" w:lineRule="auto"/>
        <w:jc w:val="both"/>
        <w:rPr>
          <w:rFonts w:ascii="Arial" w:eastAsia="Times New Roman" w:hAnsi="Arial" w:cs="Arial"/>
          <w:lang w:eastAsia="en-GB"/>
        </w:rPr>
      </w:pPr>
      <w:r w:rsidRPr="00ED058D">
        <w:rPr>
          <w:rFonts w:ascii="Arial" w:eastAsia="Times New Roman" w:hAnsi="Arial" w:cs="Arial"/>
          <w:color w:val="000000"/>
          <w:lang w:eastAsia="en-GB"/>
        </w:rPr>
        <w:t>Best wishes,</w:t>
      </w:r>
    </w:p>
    <w:p w14:paraId="4A5CB37D" w14:textId="77777777" w:rsidR="001F59BD" w:rsidRPr="00ED058D" w:rsidRDefault="001F59BD" w:rsidP="00ED058D">
      <w:pPr>
        <w:spacing w:line="240" w:lineRule="auto"/>
        <w:jc w:val="both"/>
        <w:rPr>
          <w:rFonts w:ascii="Arial" w:eastAsia="Times New Roman" w:hAnsi="Arial" w:cs="Arial"/>
          <w:lang w:eastAsia="en-GB"/>
        </w:rPr>
      </w:pPr>
      <w:r w:rsidRPr="00ED058D">
        <w:rPr>
          <w:rFonts w:ascii="Arial" w:eastAsia="Times New Roman" w:hAnsi="Arial" w:cs="Arial"/>
          <w:color w:val="000000"/>
          <w:lang w:eastAsia="en-GB"/>
        </w:rPr>
        <w:t>Katharine Sherratt</w:t>
      </w:r>
    </w:p>
    <w:p w14:paraId="615E93C8" w14:textId="70262108" w:rsidR="001F59BD" w:rsidRDefault="001F59BD" w:rsidP="00ED058D">
      <w:pPr>
        <w:spacing w:line="240" w:lineRule="auto"/>
        <w:jc w:val="both"/>
        <w:rPr>
          <w:rFonts w:ascii="Arial" w:eastAsia="Times New Roman" w:hAnsi="Arial" w:cs="Arial"/>
          <w:lang w:eastAsia="en-GB"/>
        </w:rPr>
      </w:pPr>
    </w:p>
    <w:p w14:paraId="01CE3309" w14:textId="77777777" w:rsidR="00292B4E" w:rsidRPr="001F59BD" w:rsidRDefault="00292B4E" w:rsidP="00ED058D">
      <w:pPr>
        <w:spacing w:line="240" w:lineRule="auto"/>
        <w:jc w:val="both"/>
        <w:rPr>
          <w:rFonts w:ascii="Arial" w:eastAsia="Times New Roman" w:hAnsi="Arial" w:cs="Arial"/>
          <w:lang w:eastAsia="en-GB"/>
        </w:rPr>
      </w:pPr>
    </w:p>
    <w:p w14:paraId="37E0E057" w14:textId="77777777" w:rsidR="00292B4E" w:rsidRDefault="00292B4E">
      <w:pPr>
        <w:rPr>
          <w:rFonts w:ascii="Arial" w:eastAsia="Times New Roman" w:hAnsi="Arial" w:cs="Arial"/>
          <w:b/>
          <w:bCs/>
          <w:color w:val="000000"/>
          <w:lang w:eastAsia="en-GB"/>
        </w:rPr>
      </w:pPr>
      <w:r>
        <w:rPr>
          <w:rFonts w:ascii="Arial" w:eastAsia="Times New Roman" w:hAnsi="Arial" w:cs="Arial"/>
          <w:b/>
          <w:bCs/>
          <w:color w:val="000000"/>
          <w:lang w:eastAsia="en-GB"/>
        </w:rPr>
        <w:br w:type="page"/>
      </w:r>
    </w:p>
    <w:p w14:paraId="0458438A" w14:textId="5E888EF3" w:rsidR="001F59BD" w:rsidRPr="00ED058D" w:rsidRDefault="001F59BD" w:rsidP="00ED058D">
      <w:pPr>
        <w:spacing w:line="240" w:lineRule="auto"/>
        <w:jc w:val="both"/>
        <w:rPr>
          <w:rFonts w:ascii="Arial" w:eastAsia="Times New Roman" w:hAnsi="Arial" w:cs="Arial"/>
          <w:lang w:eastAsia="en-GB"/>
        </w:rPr>
      </w:pPr>
      <w:r w:rsidRPr="007D5246">
        <w:rPr>
          <w:rFonts w:ascii="Arial" w:eastAsia="Times New Roman" w:hAnsi="Arial" w:cs="Arial"/>
          <w:b/>
          <w:bCs/>
          <w:color w:val="000000"/>
          <w:lang w:eastAsia="en-GB"/>
        </w:rPr>
        <w:lastRenderedPageBreak/>
        <w:t>General</w:t>
      </w:r>
    </w:p>
    <w:p w14:paraId="4923BD7B" w14:textId="73A5D49D"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Reword title</w:t>
      </w:r>
    </w:p>
    <w:p w14:paraId="7B28E1EF" w14:textId="74A5BC87" w:rsidR="001F59BD" w:rsidRPr="00ED058D" w:rsidRDefault="001F59BD"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 xml:space="preserve">We have edited the title to </w:t>
      </w:r>
      <w:r w:rsidR="00ED058D" w:rsidRPr="00ED058D">
        <w:rPr>
          <w:rFonts w:ascii="Arial" w:eastAsia="Times New Roman" w:hAnsi="Arial" w:cs="Arial"/>
          <w:color w:val="24292E"/>
          <w:lang w:eastAsia="en-GB"/>
        </w:rPr>
        <w:t>better</w:t>
      </w:r>
      <w:r w:rsidRPr="00ED058D">
        <w:rPr>
          <w:rFonts w:ascii="Arial" w:eastAsia="Times New Roman" w:hAnsi="Arial" w:cs="Arial"/>
          <w:color w:val="24292E"/>
          <w:lang w:eastAsia="en-GB"/>
        </w:rPr>
        <w:t xml:space="preserve"> reflect our focus on how surveillance data biases can provide information on subpopulation transmission.</w:t>
      </w:r>
    </w:p>
    <w:p w14:paraId="4B3DA942" w14:textId="77777777" w:rsidR="00ED058D" w:rsidRPr="00ED058D" w:rsidRDefault="00ED058D" w:rsidP="00ED058D">
      <w:pPr>
        <w:shd w:val="clear" w:color="auto" w:fill="FFFFFF"/>
        <w:spacing w:line="240" w:lineRule="auto"/>
        <w:ind w:right="-220"/>
        <w:jc w:val="both"/>
        <w:textAlignment w:val="baseline"/>
        <w:rPr>
          <w:rFonts w:ascii="Arial" w:eastAsia="Times New Roman" w:hAnsi="Arial" w:cs="Arial"/>
          <w:color w:val="24292E"/>
          <w:lang w:eastAsia="en-GB"/>
        </w:rPr>
      </w:pPr>
      <w:r w:rsidRPr="00ED058D">
        <w:rPr>
          <w:rFonts w:ascii="Arial" w:eastAsia="Times New Roman" w:hAnsi="Arial" w:cs="Arial"/>
          <w:i/>
          <w:iCs/>
          <w:color w:val="24292E"/>
          <w:lang w:eastAsia="en-GB"/>
        </w:rPr>
        <w:t>F</w:t>
      </w:r>
      <w:r w:rsidR="001F59BD" w:rsidRPr="00ED058D">
        <w:rPr>
          <w:rFonts w:ascii="Arial" w:eastAsia="Times New Roman" w:hAnsi="Arial" w:cs="Arial"/>
          <w:i/>
          <w:iCs/>
          <w:color w:val="24292E"/>
          <w:lang w:eastAsia="en-GB"/>
        </w:rPr>
        <w:t>ormatting</w:t>
      </w:r>
    </w:p>
    <w:p w14:paraId="5E43CC3D" w14:textId="77777777" w:rsidR="007D5246" w:rsidRDefault="001F59BD"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color w:val="24292E"/>
          <w:lang w:eastAsia="en-GB"/>
        </w:rPr>
      </w:pPr>
      <w:r w:rsidRPr="00ED058D">
        <w:rPr>
          <w:rFonts w:ascii="Arial" w:eastAsia="Times New Roman" w:hAnsi="Arial" w:cs="Arial"/>
          <w:color w:val="24292E"/>
          <w:lang w:eastAsia="en-GB"/>
        </w:rPr>
        <w:t xml:space="preserve">We have corrected </w:t>
      </w:r>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sidRPr="00ED058D">
        <w:rPr>
          <w:rFonts w:ascii="Arial" w:eastAsia="Times New Roman" w:hAnsi="Arial" w:cs="Arial"/>
          <w:color w:val="24292E"/>
          <w:lang w:eastAsia="en-GB"/>
        </w:rPr>
        <w:t xml:space="preserve"> typesetting</w:t>
      </w:r>
    </w:p>
    <w:p w14:paraId="61D94740" w14:textId="77777777" w:rsidR="007D5246" w:rsidRDefault="007D5246"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color w:val="24292E"/>
          <w:lang w:eastAsia="en-GB"/>
        </w:rPr>
      </w:pPr>
      <w:r>
        <w:rPr>
          <w:rFonts w:ascii="Arial" w:eastAsia="Times New Roman" w:hAnsi="Arial" w:cs="Arial"/>
          <w:color w:val="24292E"/>
          <w:lang w:eastAsia="en-GB"/>
        </w:rPr>
        <w:t>We have ca</w:t>
      </w:r>
      <w:r w:rsidR="001F59BD" w:rsidRPr="00ED058D">
        <w:rPr>
          <w:rFonts w:ascii="Arial" w:eastAsia="Times New Roman" w:hAnsi="Arial" w:cs="Arial"/>
          <w:color w:val="24292E"/>
          <w:lang w:eastAsia="en-GB"/>
        </w:rPr>
        <w:t>pitalised “Table” and “Figure” references</w:t>
      </w:r>
    </w:p>
    <w:p w14:paraId="3E106936" w14:textId="77777777" w:rsidR="007D5246" w:rsidRDefault="007D5246"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color w:val="24292E"/>
          <w:lang w:eastAsia="en-GB"/>
        </w:rPr>
      </w:pPr>
      <w:r>
        <w:rPr>
          <w:rFonts w:ascii="Arial" w:eastAsia="Times New Roman" w:hAnsi="Arial" w:cs="Arial"/>
          <w:color w:val="24292E"/>
          <w:lang w:eastAsia="en-GB"/>
        </w:rPr>
        <w:t>We have removed the use</w:t>
      </w:r>
      <w:r w:rsidR="001F59BD" w:rsidRPr="00ED058D">
        <w:rPr>
          <w:rFonts w:ascii="Arial" w:eastAsia="Times New Roman" w:hAnsi="Arial" w:cs="Arial"/>
          <w:color w:val="24292E"/>
          <w:lang w:eastAsia="en-GB"/>
        </w:rPr>
        <w:t xml:space="preserve"> “</w:t>
      </w:r>
      <w:proofErr w:type="spellStart"/>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sidR="001F59BD" w:rsidRPr="00ED058D">
        <w:rPr>
          <w:rFonts w:ascii="Arial" w:eastAsia="Times New Roman" w:hAnsi="Arial" w:cs="Arial"/>
          <w:color w:val="24292E"/>
          <w:lang w:eastAsia="en-GB"/>
        </w:rPr>
        <w:t>s</w:t>
      </w:r>
      <w:proofErr w:type="spellEnd"/>
      <w:r w:rsidR="001F59BD" w:rsidRPr="00ED058D">
        <w:rPr>
          <w:rFonts w:ascii="Arial" w:eastAsia="Times New Roman" w:hAnsi="Arial" w:cs="Arial"/>
          <w:color w:val="24292E"/>
          <w:lang w:eastAsia="en-GB"/>
        </w:rPr>
        <w:t>” throughout</w:t>
      </w:r>
      <w:r w:rsidR="001F59BD" w:rsidRPr="00ED058D">
        <w:rPr>
          <w:rFonts w:ascii="Arial" w:eastAsia="Times New Roman" w:hAnsi="Arial" w:cs="Arial"/>
          <w:i/>
          <w:iCs/>
          <w:color w:val="24292E"/>
          <w:lang w:eastAsia="en-GB"/>
        </w:rPr>
        <w:t xml:space="preserve"> </w:t>
      </w:r>
      <w:r>
        <w:rPr>
          <w:rFonts w:ascii="Arial" w:eastAsia="Times New Roman" w:hAnsi="Arial" w:cs="Arial"/>
          <w:color w:val="24292E"/>
          <w:lang w:eastAsia="en-GB"/>
        </w:rPr>
        <w:t>and replaced with</w:t>
      </w:r>
      <w:r w:rsidR="001F59BD" w:rsidRPr="00ED058D">
        <w:rPr>
          <w:rFonts w:ascii="Arial" w:eastAsia="Times New Roman" w:hAnsi="Arial" w:cs="Arial"/>
          <w:color w:val="24292E"/>
          <w:lang w:eastAsia="en-GB"/>
        </w:rPr>
        <w:t xml:space="preserve"> </w:t>
      </w:r>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sidR="001F59BD" w:rsidRPr="00ED058D">
        <w:rPr>
          <w:rFonts w:ascii="Arial" w:eastAsia="Times New Roman" w:hAnsi="Arial" w:cs="Arial"/>
          <w:color w:val="24292E"/>
          <w:lang w:eastAsia="en-GB"/>
        </w:rPr>
        <w:t xml:space="preserve"> estimates</w:t>
      </w:r>
      <w:r>
        <w:rPr>
          <w:rFonts w:ascii="Arial" w:eastAsia="Times New Roman" w:hAnsi="Arial" w:cs="Arial"/>
          <w:color w:val="24292E"/>
          <w:lang w:eastAsia="en-GB"/>
        </w:rPr>
        <w:t xml:space="preserve"> and similar language – thank you for suggesting this</w:t>
      </w:r>
    </w:p>
    <w:p w14:paraId="7B0E13F9" w14:textId="51C413BB" w:rsidR="001F59BD" w:rsidRPr="00ED058D" w:rsidRDefault="007D5246"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color w:val="24292E"/>
          <w:lang w:eastAsia="en-GB"/>
        </w:rPr>
      </w:pPr>
      <w:r>
        <w:rPr>
          <w:rFonts w:ascii="Arial" w:eastAsia="Times New Roman" w:hAnsi="Arial" w:cs="Arial"/>
          <w:color w:val="24292E"/>
          <w:lang w:eastAsia="en-GB"/>
        </w:rPr>
        <w:t xml:space="preserve">We have </w:t>
      </w:r>
      <w:r w:rsidR="001F59BD" w:rsidRPr="00ED058D">
        <w:rPr>
          <w:rFonts w:ascii="Arial" w:eastAsia="Times New Roman" w:hAnsi="Arial" w:cs="Arial"/>
          <w:color w:val="24292E"/>
          <w:lang w:eastAsia="en-GB"/>
        </w:rPr>
        <w:t xml:space="preserve">replaced </w:t>
      </w:r>
      <w:r>
        <w:rPr>
          <w:rFonts w:ascii="Arial" w:eastAsia="Times New Roman" w:hAnsi="Arial" w:cs="Arial"/>
          <w:color w:val="24292E"/>
          <w:lang w:eastAsia="en-GB"/>
        </w:rPr>
        <w:t>a mistaken</w:t>
      </w:r>
      <w:r w:rsidR="001F59BD" w:rsidRPr="00ED058D">
        <w:rPr>
          <w:rFonts w:ascii="Arial" w:eastAsia="Times New Roman" w:hAnsi="Arial" w:cs="Arial"/>
          <w:color w:val="24292E"/>
          <w:lang w:eastAsia="en-GB"/>
        </w:rPr>
        <w:t xml:space="preserve"> ref</w:t>
      </w:r>
      <w:r>
        <w:rPr>
          <w:rFonts w:ascii="Arial" w:eastAsia="Times New Roman" w:hAnsi="Arial" w:cs="Arial"/>
          <w:color w:val="24292E"/>
          <w:lang w:eastAsia="en-GB"/>
        </w:rPr>
        <w:t>erence</w:t>
      </w:r>
      <w:r w:rsidR="001F59BD" w:rsidRPr="00ED058D">
        <w:rPr>
          <w:rFonts w:ascii="Arial" w:eastAsia="Times New Roman" w:hAnsi="Arial" w:cs="Arial"/>
          <w:color w:val="24292E"/>
          <w:lang w:eastAsia="en-GB"/>
        </w:rPr>
        <w:t xml:space="preserve"> to </w:t>
      </w:r>
      <w:r>
        <w:rPr>
          <w:rFonts w:ascii="Arial" w:eastAsia="Times New Roman" w:hAnsi="Arial" w:cs="Arial"/>
          <w:color w:val="24292E"/>
          <w:lang w:eastAsia="en-GB"/>
        </w:rPr>
        <w:t xml:space="preserve">Fig SI1A with the correct </w:t>
      </w:r>
      <w:r w:rsidR="001F59BD" w:rsidRPr="00ED058D">
        <w:rPr>
          <w:rFonts w:ascii="Arial" w:eastAsia="Times New Roman" w:hAnsi="Arial" w:cs="Arial"/>
          <w:color w:val="24292E"/>
          <w:lang w:eastAsia="en-GB"/>
        </w:rPr>
        <w:t>Fig SI2A</w:t>
      </w:r>
      <w:r>
        <w:rPr>
          <w:rFonts w:ascii="Arial" w:eastAsia="Times New Roman" w:hAnsi="Arial" w:cs="Arial"/>
          <w:color w:val="24292E"/>
          <w:lang w:eastAsia="en-GB"/>
        </w:rPr>
        <w:t>.</w:t>
      </w:r>
    </w:p>
    <w:p w14:paraId="662138C8" w14:textId="77777777" w:rsidR="001F59BD" w:rsidRPr="00ED058D" w:rsidRDefault="001F59BD" w:rsidP="00ED058D">
      <w:pPr>
        <w:shd w:val="clear" w:color="auto" w:fill="FFFFFF"/>
        <w:spacing w:line="240" w:lineRule="auto"/>
        <w:jc w:val="both"/>
        <w:rPr>
          <w:rFonts w:ascii="Arial" w:eastAsia="Times New Roman" w:hAnsi="Arial" w:cs="Arial"/>
          <w:lang w:eastAsia="en-GB"/>
        </w:rPr>
      </w:pPr>
      <w:r w:rsidRPr="007D5246">
        <w:rPr>
          <w:rFonts w:ascii="Arial" w:eastAsia="Times New Roman" w:hAnsi="Arial" w:cs="Arial"/>
          <w:b/>
          <w:bCs/>
          <w:color w:val="24292E"/>
          <w:lang w:eastAsia="en-GB"/>
        </w:rPr>
        <w:t>Methods</w:t>
      </w:r>
    </w:p>
    <w:p w14:paraId="238C3E47" w14:textId="77777777"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Test out UK specific delays if time permits.</w:t>
      </w:r>
    </w:p>
    <w:p w14:paraId="6A165C58" w14:textId="203839A2" w:rsidR="001F59BD" w:rsidRPr="00ED058D" w:rsidRDefault="001F59BD"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Unfortunately, this was not completed in time. We are exploring using data from the CO-CIN observational study to do this in future work.</w:t>
      </w:r>
    </w:p>
    <w:p w14:paraId="229FE0BA" w14:textId="2D106C45"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Clarify delays for hospital admissions and test positives are treated as having the same delay from onset (and therefore the same lag from infection to observation).</w:t>
      </w:r>
      <w:r w:rsidRPr="00ED058D">
        <w:rPr>
          <w:rFonts w:ascii="Arial" w:eastAsia="Times New Roman" w:hAnsi="Arial" w:cs="Arial"/>
          <w:color w:val="24292E"/>
          <w:lang w:eastAsia="en-GB"/>
        </w:rPr>
        <w:t> </w:t>
      </w:r>
    </w:p>
    <w:p w14:paraId="77766154" w14:textId="4524DBAC" w:rsidR="001F59BD" w:rsidRPr="00ED058D" w:rsidRDefault="007D5246"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 xml:space="preserve">We agree this should be made clear. </w:t>
      </w:r>
      <w:r w:rsidR="001F59BD" w:rsidRPr="00ED058D">
        <w:rPr>
          <w:rFonts w:ascii="Arial" w:eastAsia="Times New Roman" w:hAnsi="Arial" w:cs="Arial"/>
          <w:color w:val="24292E"/>
          <w:lang w:eastAsia="en-GB"/>
        </w:rPr>
        <w:t>We have included this</w:t>
      </w:r>
      <w:r>
        <w:rPr>
          <w:rFonts w:ascii="Arial" w:eastAsia="Times New Roman" w:hAnsi="Arial" w:cs="Arial"/>
          <w:color w:val="24292E"/>
          <w:lang w:eastAsia="en-GB"/>
        </w:rPr>
        <w:t xml:space="preserve"> explicitly: see Methods</w:t>
      </w:r>
      <w:r w:rsidR="00DA07E3">
        <w:rPr>
          <w:rFonts w:ascii="Arial" w:eastAsia="Times New Roman" w:hAnsi="Arial" w:cs="Arial"/>
          <w:color w:val="24292E"/>
          <w:lang w:eastAsia="en-GB"/>
        </w:rPr>
        <w:t>,</w:t>
      </w:r>
      <w:r>
        <w:rPr>
          <w:rFonts w:ascii="Arial" w:eastAsia="Times New Roman" w:hAnsi="Arial" w:cs="Arial"/>
          <w:color w:val="24292E"/>
          <w:lang w:eastAsia="en-GB"/>
        </w:rPr>
        <w:t xml:space="preserve"> paragraph 7.</w:t>
      </w:r>
    </w:p>
    <w:p w14:paraId="1D8412DC" w14:textId="1EB22B0F"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 xml:space="preserve">Page 5 – extra explanation as to how the uncertain distributions were then sampled. For example, how are the uncertainty in both mean and standard deviation captured. When estimating these delays, mean and standard deviation are coupled, so is the uncertainty generated from </w:t>
      </w:r>
      <w:proofErr w:type="gramStart"/>
      <w:r w:rsidRPr="00ED058D">
        <w:rPr>
          <w:rFonts w:ascii="Arial" w:eastAsia="Times New Roman" w:hAnsi="Arial" w:cs="Arial"/>
          <w:i/>
          <w:iCs/>
          <w:color w:val="24292E"/>
          <w:lang w:eastAsia="en-GB"/>
        </w:rPr>
        <w:t>e.g.</w:t>
      </w:r>
      <w:proofErr w:type="gramEnd"/>
      <w:r w:rsidRPr="00ED058D">
        <w:rPr>
          <w:rFonts w:ascii="Arial" w:eastAsia="Times New Roman" w:hAnsi="Arial" w:cs="Arial"/>
          <w:i/>
          <w:iCs/>
          <w:color w:val="24292E"/>
          <w:lang w:eastAsia="en-GB"/>
        </w:rPr>
        <w:t xml:space="preserve"> a posterior sample of mean and standard deviation pairs, or are means and standard deviations sampled assuming the uncertainty is independent?</w:t>
      </w:r>
    </w:p>
    <w:p w14:paraId="6A61EB17" w14:textId="05BF387D" w:rsidR="00ED058D" w:rsidRPr="00ED058D" w:rsidRDefault="001F59BD" w:rsidP="00ED058D">
      <w:pPr>
        <w:pStyle w:val="ListParagraph"/>
        <w:numPr>
          <w:ilvl w:val="0"/>
          <w:numId w:val="43"/>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As the reviewer notes when estimating these delay distributions</w:t>
      </w:r>
      <w:r w:rsidRPr="00ED058D">
        <w:rPr>
          <w:rFonts w:ascii="Arial" w:eastAsia="Times New Roman" w:hAnsi="Arial" w:cs="Arial"/>
          <w:color w:val="24292E"/>
          <w:lang w:eastAsia="en-GB"/>
        </w:rPr>
        <w:t>,</w:t>
      </w:r>
      <w:r w:rsidRPr="00ED058D">
        <w:rPr>
          <w:rFonts w:ascii="Arial" w:eastAsia="Times New Roman" w:hAnsi="Arial" w:cs="Arial"/>
          <w:color w:val="24292E"/>
          <w:lang w:eastAsia="en-GB"/>
        </w:rPr>
        <w:t xml:space="preserve"> the mean and standard</w:t>
      </w:r>
      <w:r w:rsidRPr="00ED058D">
        <w:rPr>
          <w:rFonts w:ascii="Arial" w:eastAsia="Times New Roman" w:hAnsi="Arial" w:cs="Arial"/>
          <w:color w:val="24292E"/>
          <w:lang w:eastAsia="en-GB"/>
        </w:rPr>
        <w:t xml:space="preserve"> </w:t>
      </w:r>
      <w:r w:rsidRPr="00ED058D">
        <w:rPr>
          <w:rFonts w:ascii="Arial" w:eastAsia="Times New Roman" w:hAnsi="Arial" w:cs="Arial"/>
          <w:color w:val="24292E"/>
          <w:lang w:eastAsia="en-GB"/>
        </w:rPr>
        <w:t>deviation are coupled. As our method uses two modelling steps</w:t>
      </w:r>
      <w:r w:rsidR="007D5246">
        <w:rPr>
          <w:rFonts w:ascii="Arial" w:eastAsia="Times New Roman" w:hAnsi="Arial" w:cs="Arial"/>
          <w:color w:val="24292E"/>
          <w:lang w:eastAsia="en-GB"/>
        </w:rPr>
        <w:t>,</w:t>
      </w:r>
      <w:r w:rsidRPr="00ED058D">
        <w:rPr>
          <w:rFonts w:ascii="Arial" w:eastAsia="Times New Roman" w:hAnsi="Arial" w:cs="Arial"/>
          <w:color w:val="24292E"/>
          <w:lang w:eastAsia="en-GB"/>
        </w:rPr>
        <w:t xml:space="preserve"> with the first estimating the delay distribution parameters and the second using summarised posterior estimates (in order to reduce computation) as priors</w:t>
      </w:r>
      <w:r w:rsidR="007D5246">
        <w:rPr>
          <w:rFonts w:ascii="Arial" w:eastAsia="Times New Roman" w:hAnsi="Arial" w:cs="Arial"/>
          <w:color w:val="24292E"/>
          <w:lang w:eastAsia="en-GB"/>
        </w:rPr>
        <w:t>,</w:t>
      </w:r>
      <w:r w:rsidRPr="00ED058D">
        <w:rPr>
          <w:rFonts w:ascii="Arial" w:eastAsia="Times New Roman" w:hAnsi="Arial" w:cs="Arial"/>
          <w:color w:val="24292E"/>
          <w:lang w:eastAsia="en-GB"/>
        </w:rPr>
        <w:t xml:space="preserve"> we assumed independence</w:t>
      </w:r>
      <w:r w:rsidR="007D5246">
        <w:rPr>
          <w:rFonts w:ascii="Arial" w:eastAsia="Times New Roman" w:hAnsi="Arial" w:cs="Arial"/>
          <w:color w:val="24292E"/>
          <w:lang w:eastAsia="en-GB"/>
        </w:rPr>
        <w:t xml:space="preserve"> –</w:t>
      </w:r>
      <w:r w:rsidRPr="00ED058D">
        <w:rPr>
          <w:rFonts w:ascii="Arial" w:eastAsia="Times New Roman" w:hAnsi="Arial" w:cs="Arial"/>
          <w:color w:val="24292E"/>
          <w:lang w:eastAsia="en-GB"/>
        </w:rPr>
        <w:t xml:space="preserve"> as noted by the reviewer. This may have increased the uncertainty of our estimates</w:t>
      </w:r>
      <w:r w:rsidR="007D5246">
        <w:rPr>
          <w:rFonts w:ascii="Arial" w:eastAsia="Times New Roman" w:hAnsi="Arial" w:cs="Arial"/>
          <w:color w:val="24292E"/>
          <w:lang w:eastAsia="en-GB"/>
        </w:rPr>
        <w:t>,</w:t>
      </w:r>
      <w:r w:rsidRPr="00ED058D">
        <w:rPr>
          <w:rFonts w:ascii="Arial" w:eastAsia="Times New Roman" w:hAnsi="Arial" w:cs="Arial"/>
          <w:color w:val="24292E"/>
          <w:lang w:eastAsia="en-GB"/>
        </w:rPr>
        <w:t xml:space="preserve"> though we note that as these distributions are refit in the second modelling stage (though with little data to inform them) this issue may have been mitigated.</w:t>
      </w:r>
    </w:p>
    <w:p w14:paraId="61953B65" w14:textId="563B0C3F" w:rsidR="007D5246" w:rsidRPr="007D5246" w:rsidRDefault="001F59BD" w:rsidP="007D5246">
      <w:pPr>
        <w:pStyle w:val="ListParagraph"/>
        <w:numPr>
          <w:ilvl w:val="0"/>
          <w:numId w:val="43"/>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We have expand</w:t>
      </w:r>
      <w:r w:rsidR="007D5246">
        <w:rPr>
          <w:rFonts w:ascii="Arial" w:eastAsia="Times New Roman" w:hAnsi="Arial" w:cs="Arial"/>
          <w:color w:val="24292E"/>
          <w:lang w:eastAsia="en-GB"/>
        </w:rPr>
        <w:t>ed</w:t>
      </w:r>
      <w:r w:rsidRPr="00ED058D">
        <w:rPr>
          <w:rFonts w:ascii="Arial" w:eastAsia="Times New Roman" w:hAnsi="Arial" w:cs="Arial"/>
          <w:color w:val="24292E"/>
          <w:lang w:eastAsia="en-GB"/>
        </w:rPr>
        <w:t xml:space="preserve"> on </w:t>
      </w:r>
      <w:r w:rsidR="007D5246">
        <w:rPr>
          <w:rFonts w:ascii="Arial" w:eastAsia="Times New Roman" w:hAnsi="Arial" w:cs="Arial"/>
          <w:color w:val="24292E"/>
          <w:lang w:eastAsia="en-GB"/>
        </w:rPr>
        <w:t>this</w:t>
      </w:r>
      <w:r w:rsidRPr="00ED058D">
        <w:rPr>
          <w:rFonts w:ascii="Arial" w:eastAsia="Times New Roman" w:hAnsi="Arial" w:cs="Arial"/>
          <w:color w:val="24292E"/>
          <w:lang w:eastAsia="en-GB"/>
        </w:rPr>
        <w:t xml:space="preserve"> approach</w:t>
      </w:r>
      <w:r w:rsidR="007D5246">
        <w:rPr>
          <w:rFonts w:ascii="Arial" w:eastAsia="Times New Roman" w:hAnsi="Arial" w:cs="Arial"/>
          <w:color w:val="24292E"/>
          <w:lang w:eastAsia="en-GB"/>
        </w:rPr>
        <w:t xml:space="preserve"> in the methods: see Methods, paragraph 6.</w:t>
      </w:r>
      <w:r w:rsidRPr="00ED058D">
        <w:rPr>
          <w:rFonts w:ascii="Arial" w:eastAsia="Times New Roman" w:hAnsi="Arial" w:cs="Arial"/>
          <w:color w:val="24292E"/>
          <w:lang w:eastAsia="en-GB"/>
        </w:rPr>
        <w:t xml:space="preserve"> </w:t>
      </w:r>
    </w:p>
    <w:p w14:paraId="6BFA7C0F" w14:textId="65D90EF8" w:rsidR="001F59BD" w:rsidRPr="007D5246" w:rsidRDefault="007D5246" w:rsidP="007D5246">
      <w:pPr>
        <w:pStyle w:val="ListParagraph"/>
        <w:numPr>
          <w:ilvl w:val="0"/>
          <w:numId w:val="43"/>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We thank the reviewer for highlighting this as jointly fitting these distributions along with reconstructing infections is an interesting area for further research.</w:t>
      </w:r>
    </w:p>
    <w:p w14:paraId="372349D0" w14:textId="77777777"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P5, L37: Is this prior informed by the data not equivalent to “using the data twice”?</w:t>
      </w:r>
    </w:p>
    <w:p w14:paraId="5400AF4F" w14:textId="083D6A4A" w:rsidR="001F59BD" w:rsidRPr="00ED058D" w:rsidRDefault="001F59BD" w:rsidP="00ED058D">
      <w:pPr>
        <w:pStyle w:val="ListParagraph"/>
        <w:numPr>
          <w:ilvl w:val="0"/>
          <w:numId w:val="44"/>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Yes, we use a small subset of the data in both the prior and model fitting. Although a limitation, we believe this will only have affected the first few estimates, and that this was the only viable modelling option. Alternative methods struggle with model identifiability. We also note this assumes that initial observed growth is equivalent to unobserved growth, which we believe is justified and is the default for other approaches that do not model latent infections.</w:t>
      </w:r>
    </w:p>
    <w:p w14:paraId="40EC6775" w14:textId="77777777" w:rsidR="007D5246" w:rsidRPr="007D5246" w:rsidRDefault="001F59BD" w:rsidP="00822760">
      <w:pPr>
        <w:pStyle w:val="ListParagraph"/>
        <w:numPr>
          <w:ilvl w:val="0"/>
          <w:numId w:val="44"/>
        </w:numPr>
        <w:shd w:val="clear" w:color="auto" w:fill="FFFFFF"/>
        <w:spacing w:line="240" w:lineRule="auto"/>
        <w:ind w:right="-220"/>
        <w:jc w:val="both"/>
        <w:textAlignment w:val="baseline"/>
        <w:rPr>
          <w:rFonts w:ascii="Arial" w:eastAsia="Times New Roman" w:hAnsi="Arial" w:cs="Arial"/>
          <w:i/>
          <w:iCs/>
          <w:color w:val="24292E"/>
          <w:lang w:eastAsia="en-GB"/>
        </w:rPr>
      </w:pPr>
      <w:r w:rsidRPr="007D5246">
        <w:rPr>
          <w:rFonts w:ascii="Arial" w:eastAsia="Times New Roman" w:hAnsi="Arial" w:cs="Arial"/>
          <w:color w:val="24292E"/>
          <w:lang w:eastAsia="en-GB"/>
        </w:rPr>
        <w:t>We have clarified this in the text</w:t>
      </w:r>
      <w:r w:rsidR="007D5246" w:rsidRPr="007D5246">
        <w:rPr>
          <w:rFonts w:ascii="Arial" w:eastAsia="Times New Roman" w:hAnsi="Arial" w:cs="Arial"/>
          <w:color w:val="24292E"/>
          <w:lang w:eastAsia="en-GB"/>
        </w:rPr>
        <w:t>: see Methods, paragraph 3.</w:t>
      </w:r>
    </w:p>
    <w:p w14:paraId="23A27A8F" w14:textId="629673FC" w:rsidR="001F59BD" w:rsidRPr="007D5246" w:rsidRDefault="001F59BD" w:rsidP="007D5246">
      <w:pPr>
        <w:shd w:val="clear" w:color="auto" w:fill="FFFFFF"/>
        <w:spacing w:line="240" w:lineRule="auto"/>
        <w:ind w:right="-220"/>
        <w:jc w:val="both"/>
        <w:textAlignment w:val="baseline"/>
        <w:rPr>
          <w:rFonts w:ascii="Arial" w:eastAsia="Times New Roman" w:hAnsi="Arial" w:cs="Arial"/>
          <w:i/>
          <w:iCs/>
          <w:color w:val="24292E"/>
          <w:lang w:eastAsia="en-GB"/>
        </w:rPr>
      </w:pPr>
      <w:r w:rsidRPr="007D5246">
        <w:rPr>
          <w:rFonts w:ascii="Arial" w:eastAsia="Times New Roman" w:hAnsi="Arial" w:cs="Arial"/>
          <w:i/>
          <w:iCs/>
          <w:color w:val="24292E"/>
          <w:lang w:eastAsia="en-GB"/>
        </w:rPr>
        <w:t>P5, L38: How are imputations done?</w:t>
      </w:r>
    </w:p>
    <w:p w14:paraId="5C8A8AD4" w14:textId="77777777" w:rsidR="00DA07E3" w:rsidRPr="00DA07E3" w:rsidRDefault="00DA07E3" w:rsidP="00ED058D">
      <w:pPr>
        <w:pStyle w:val="ListParagraph"/>
        <w:numPr>
          <w:ilvl w:val="0"/>
          <w:numId w:val="45"/>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I</w:t>
      </w:r>
      <w:r w:rsidR="001F59BD" w:rsidRPr="00ED058D">
        <w:rPr>
          <w:rFonts w:ascii="Arial" w:eastAsia="Times New Roman" w:hAnsi="Arial" w:cs="Arial"/>
          <w:color w:val="24292E"/>
          <w:lang w:eastAsia="en-GB"/>
        </w:rPr>
        <w:t xml:space="preserve">mputations are done in the model, with the initial number of infections as described then weighted by generation time and </w:t>
      </w:r>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Pr>
          <w:rFonts w:ascii="Arial" w:eastAsia="Times New Roman" w:hAnsi="Arial" w:cs="Arial"/>
          <w:color w:val="24292E"/>
          <w:lang w:eastAsia="en-GB"/>
        </w:rPr>
        <w:t>.</w:t>
      </w:r>
    </w:p>
    <w:p w14:paraId="4269D67A" w14:textId="6FAA8747" w:rsidR="00DA07E3" w:rsidRPr="00DA07E3" w:rsidRDefault="00DA07E3" w:rsidP="0022352E">
      <w:pPr>
        <w:pStyle w:val="ListParagraph"/>
        <w:numPr>
          <w:ilvl w:val="0"/>
          <w:numId w:val="45"/>
        </w:numPr>
        <w:shd w:val="clear" w:color="auto" w:fill="FFFFFF"/>
        <w:spacing w:line="240" w:lineRule="auto"/>
        <w:ind w:right="-220"/>
        <w:jc w:val="both"/>
        <w:textAlignment w:val="baseline"/>
        <w:rPr>
          <w:rFonts w:ascii="Arial" w:eastAsia="Times New Roman" w:hAnsi="Arial" w:cs="Arial"/>
          <w:i/>
          <w:iCs/>
          <w:color w:val="24292E"/>
          <w:lang w:eastAsia="en-GB"/>
        </w:rPr>
      </w:pPr>
      <w:r w:rsidRPr="00DA07E3">
        <w:rPr>
          <w:rFonts w:ascii="Arial" w:eastAsia="Times New Roman" w:hAnsi="Arial" w:cs="Arial"/>
          <w:color w:val="24292E"/>
          <w:lang w:eastAsia="en-GB"/>
        </w:rPr>
        <w:lastRenderedPageBreak/>
        <w:t xml:space="preserve">We have clarified this in the text. </w:t>
      </w:r>
      <w:r w:rsidRPr="00DA07E3">
        <w:rPr>
          <w:rFonts w:ascii="Arial" w:eastAsia="Times New Roman" w:hAnsi="Arial" w:cs="Arial"/>
          <w:color w:val="24292E"/>
          <w:lang w:eastAsia="en-GB"/>
        </w:rPr>
        <w:t>We have also updated the wording to reflect that imputation is generally used to describe modelling missing data which is not the case here</w:t>
      </w:r>
      <w:r>
        <w:rPr>
          <w:rFonts w:ascii="Arial" w:eastAsia="Times New Roman" w:hAnsi="Arial" w:cs="Arial"/>
          <w:color w:val="24292E"/>
          <w:lang w:eastAsia="en-GB"/>
        </w:rPr>
        <w:t xml:space="preserve">: </w:t>
      </w:r>
      <w:r w:rsidRPr="00DA07E3">
        <w:rPr>
          <w:rFonts w:ascii="Arial" w:eastAsia="Times New Roman" w:hAnsi="Arial" w:cs="Arial"/>
          <w:color w:val="24292E"/>
          <w:lang w:eastAsia="en-GB"/>
        </w:rPr>
        <w:t>see Methods, paragraph 3</w:t>
      </w:r>
      <w:r w:rsidRPr="00DA07E3">
        <w:rPr>
          <w:rFonts w:ascii="Arial" w:eastAsia="Times New Roman" w:hAnsi="Arial" w:cs="Arial"/>
          <w:color w:val="24292E"/>
          <w:lang w:eastAsia="en-GB"/>
        </w:rPr>
        <w:t>.</w:t>
      </w:r>
    </w:p>
    <w:p w14:paraId="7CA54769" w14:textId="5CC4F88D"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 xml:space="preserve">What is an uncertain generation time </w:t>
      </w:r>
      <w:proofErr w:type="spellStart"/>
      <w:r w:rsidRPr="00ED058D">
        <w:rPr>
          <w:rFonts w:ascii="Arial" w:eastAsia="Times New Roman" w:hAnsi="Arial" w:cs="Arial"/>
          <w:i/>
          <w:iCs/>
          <w:color w:val="24292E"/>
          <w:lang w:eastAsia="en-GB"/>
        </w:rPr>
        <w:t>p.m.f</w:t>
      </w:r>
      <w:proofErr w:type="spellEnd"/>
      <w:r w:rsidRPr="00ED058D">
        <w:rPr>
          <w:rFonts w:ascii="Arial" w:eastAsia="Times New Roman" w:hAnsi="Arial" w:cs="Arial"/>
          <w:i/>
          <w:iCs/>
          <w:color w:val="24292E"/>
          <w:lang w:eastAsia="en-GB"/>
        </w:rPr>
        <w:t xml:space="preserve">? </w:t>
      </w:r>
      <w:proofErr w:type="spellStart"/>
      <w:r w:rsidRPr="00ED058D">
        <w:rPr>
          <w:rFonts w:ascii="Arial" w:eastAsia="Times New Roman" w:hAnsi="Arial" w:cs="Arial"/>
          <w:i/>
          <w:iCs/>
          <w:color w:val="24292E"/>
          <w:lang w:eastAsia="en-GB"/>
        </w:rPr>
        <w:t>p.m.f</w:t>
      </w:r>
      <w:proofErr w:type="spellEnd"/>
      <w:r w:rsidRPr="00ED058D">
        <w:rPr>
          <w:rFonts w:ascii="Arial" w:eastAsia="Times New Roman" w:hAnsi="Arial" w:cs="Arial"/>
          <w:i/>
          <w:iCs/>
          <w:color w:val="24292E"/>
          <w:lang w:eastAsia="en-GB"/>
        </w:rPr>
        <w:t xml:space="preserve">. is uncertain, or that the </w:t>
      </w:r>
      <w:proofErr w:type="spellStart"/>
      <w:r w:rsidRPr="00ED058D">
        <w:rPr>
          <w:rFonts w:ascii="Arial" w:eastAsia="Times New Roman" w:hAnsi="Arial" w:cs="Arial"/>
          <w:i/>
          <w:iCs/>
          <w:color w:val="24292E"/>
          <w:lang w:eastAsia="en-GB"/>
        </w:rPr>
        <w:t>p.m.f</w:t>
      </w:r>
      <w:proofErr w:type="spellEnd"/>
      <w:r w:rsidRPr="00ED058D">
        <w:rPr>
          <w:rFonts w:ascii="Arial" w:eastAsia="Times New Roman" w:hAnsi="Arial" w:cs="Arial"/>
          <w:i/>
          <w:iCs/>
          <w:color w:val="24292E"/>
          <w:lang w:eastAsia="en-GB"/>
        </w:rPr>
        <w:t>. is known, but models a stochastic outcome?</w:t>
      </w:r>
    </w:p>
    <w:p w14:paraId="1E174FDB" w14:textId="77777777" w:rsidR="00DA07E3" w:rsidRPr="00DA07E3" w:rsidRDefault="001F59BD" w:rsidP="00ED058D">
      <w:pPr>
        <w:pStyle w:val="ListParagraph"/>
        <w:numPr>
          <w:ilvl w:val="0"/>
          <w:numId w:val="45"/>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 xml:space="preserve">The generation time distribution was assumed to be known and fixed over time for each MCMC step, with a prior placed on the mean and standard deviation. This was a pragmatic choice to maximise uncertainty: for example, sampling at each time step would potentially narrow CIs if there was little data to inform the posterior of the generation time. </w:t>
      </w:r>
    </w:p>
    <w:p w14:paraId="15C04DAB" w14:textId="4C5E230D" w:rsidR="00DA07E3" w:rsidRPr="00ED058D" w:rsidRDefault="00DA07E3" w:rsidP="00DA07E3">
      <w:pPr>
        <w:pStyle w:val="ListParagraph"/>
        <w:numPr>
          <w:ilvl w:val="0"/>
          <w:numId w:val="45"/>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 xml:space="preserve">We have edited the text to include </w:t>
      </w:r>
      <w:r>
        <w:rPr>
          <w:rFonts w:ascii="Arial" w:eastAsia="Times New Roman" w:hAnsi="Arial" w:cs="Arial"/>
          <w:color w:val="24292E"/>
          <w:lang w:eastAsia="en-GB"/>
        </w:rPr>
        <w:t>this: see Methods, paragraph 3.</w:t>
      </w:r>
    </w:p>
    <w:p w14:paraId="3BC0FAA8" w14:textId="2A456397" w:rsidR="001F59BD" w:rsidRPr="00ED058D" w:rsidRDefault="001F59BD" w:rsidP="00ED058D">
      <w:pPr>
        <w:pStyle w:val="ListParagraph"/>
        <w:numPr>
          <w:ilvl w:val="0"/>
          <w:numId w:val="45"/>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We are exploring alternative methods for estimating the generation time distribution and for modelling it jointly along with the other distributions currently defined using literature based priors</w:t>
      </w:r>
      <w:r w:rsidR="00DA07E3">
        <w:rPr>
          <w:rFonts w:ascii="Arial" w:eastAsia="Times New Roman" w:hAnsi="Arial" w:cs="Arial"/>
          <w:color w:val="24292E"/>
          <w:lang w:eastAsia="en-GB"/>
        </w:rPr>
        <w:t>.</w:t>
      </w:r>
    </w:p>
    <w:p w14:paraId="3919BC0F" w14:textId="4F984E3F"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 xml:space="preserve">Mathematical details of the modelling that was used, rather than simply references to other papers – </w:t>
      </w:r>
      <w:proofErr w:type="gramStart"/>
      <w:r w:rsidRPr="00ED058D">
        <w:rPr>
          <w:rFonts w:ascii="Arial" w:eastAsia="Times New Roman" w:hAnsi="Arial" w:cs="Arial"/>
          <w:i/>
          <w:iCs/>
          <w:color w:val="24292E"/>
          <w:lang w:eastAsia="en-GB"/>
        </w:rPr>
        <w:t>e.g.</w:t>
      </w:r>
      <w:proofErr w:type="gramEnd"/>
      <w:r w:rsidRPr="00ED058D">
        <w:rPr>
          <w:rFonts w:ascii="Arial" w:eastAsia="Times New Roman" w:hAnsi="Arial" w:cs="Arial"/>
          <w:i/>
          <w:iCs/>
          <w:color w:val="24292E"/>
          <w:lang w:eastAsia="en-GB"/>
        </w:rPr>
        <w:t xml:space="preserve"> the full Bayesian model specification (with priors)</w:t>
      </w:r>
    </w:p>
    <w:p w14:paraId="6E0B1DD0" w14:textId="3E3797A9" w:rsidR="00DA07E3" w:rsidRPr="00DA07E3" w:rsidRDefault="001F59BD" w:rsidP="00ED058D">
      <w:pPr>
        <w:pStyle w:val="ListParagraph"/>
        <w:numPr>
          <w:ilvl w:val="0"/>
          <w:numId w:val="46"/>
        </w:num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color w:val="24292E"/>
          <w:lang w:eastAsia="en-GB"/>
        </w:rPr>
        <w:t>We have added model specifications and priors</w:t>
      </w:r>
      <w:r w:rsidR="00DA07E3">
        <w:rPr>
          <w:rFonts w:ascii="Arial" w:eastAsia="Times New Roman" w:hAnsi="Arial" w:cs="Arial"/>
          <w:color w:val="24292E"/>
          <w:lang w:eastAsia="en-GB"/>
        </w:rPr>
        <w:t>: see Methods, paragraph 4.</w:t>
      </w:r>
    </w:p>
    <w:p w14:paraId="1DE91B66" w14:textId="4EB21822" w:rsidR="001F59BD" w:rsidRPr="00DA07E3" w:rsidRDefault="00DA07E3" w:rsidP="00ED058D">
      <w:pPr>
        <w:pStyle w:val="ListParagraph"/>
        <w:numPr>
          <w:ilvl w:val="0"/>
          <w:numId w:val="46"/>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 xml:space="preserve">We have </w:t>
      </w:r>
      <w:r w:rsidR="001F59BD" w:rsidRPr="00ED058D">
        <w:rPr>
          <w:rFonts w:ascii="Arial" w:eastAsia="Times New Roman" w:hAnsi="Arial" w:cs="Arial"/>
          <w:color w:val="24292E"/>
          <w:lang w:eastAsia="en-GB"/>
        </w:rPr>
        <w:t>included the model specification in math notation</w:t>
      </w:r>
      <w:r>
        <w:rPr>
          <w:rFonts w:ascii="Arial" w:eastAsia="Times New Roman" w:hAnsi="Arial" w:cs="Arial"/>
          <w:color w:val="24292E"/>
          <w:lang w:eastAsia="en-GB"/>
        </w:rPr>
        <w:t>.</w:t>
      </w:r>
    </w:p>
    <w:p w14:paraId="4716B05F" w14:textId="62F2F68B" w:rsidR="001F59BD" w:rsidRPr="00ED058D" w:rsidRDefault="001F59BD" w:rsidP="00ED058D">
      <w:pPr>
        <w:shd w:val="clear" w:color="auto" w:fill="FFFFFF"/>
        <w:spacing w:line="240" w:lineRule="auto"/>
        <w:ind w:right="-220"/>
        <w:jc w:val="both"/>
        <w:rPr>
          <w:rFonts w:ascii="Arial" w:eastAsia="Times New Roman" w:hAnsi="Arial" w:cs="Arial"/>
          <w:lang w:eastAsia="en-GB"/>
        </w:rPr>
      </w:pPr>
      <w:r w:rsidRPr="007D5246">
        <w:rPr>
          <w:rFonts w:ascii="Arial" w:eastAsia="Times New Roman" w:hAnsi="Arial" w:cs="Arial"/>
          <w:b/>
          <w:bCs/>
          <w:color w:val="24292E"/>
          <w:lang w:eastAsia="en-GB"/>
        </w:rPr>
        <w:t>Results</w:t>
      </w:r>
    </w:p>
    <w:p w14:paraId="4C791436" w14:textId="24EED419"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 xml:space="preserve">Page 6 line 55 – “However, as much as spatial variation, the data sources used to estimate </w:t>
      </w:r>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sidRPr="00ED058D">
        <w:rPr>
          <w:rFonts w:ascii="Arial" w:eastAsia="Times New Roman" w:hAnsi="Arial" w:cs="Arial"/>
          <w:i/>
          <w:iCs/>
          <w:color w:val="24292E"/>
          <w:lang w:eastAsia="en-GB"/>
        </w:rPr>
        <w:t xml:space="preserve"> influenced the earliest date of epidemic decline.” – edit for clarity</w:t>
      </w:r>
    </w:p>
    <w:p w14:paraId="3E163735" w14:textId="473620A4" w:rsidR="00DA07E3" w:rsidRPr="00DA07E3" w:rsidRDefault="00DA07E3" w:rsidP="0031696E">
      <w:pPr>
        <w:pStyle w:val="ListParagraph"/>
        <w:numPr>
          <w:ilvl w:val="0"/>
          <w:numId w:val="46"/>
        </w:numPr>
        <w:shd w:val="clear" w:color="auto" w:fill="FFFFFF"/>
        <w:spacing w:line="240" w:lineRule="auto"/>
        <w:ind w:right="-220"/>
        <w:jc w:val="both"/>
        <w:textAlignment w:val="baseline"/>
        <w:rPr>
          <w:rFonts w:ascii="Arial" w:eastAsia="Times New Roman" w:hAnsi="Arial" w:cs="Arial"/>
          <w:lang w:eastAsia="en-GB"/>
        </w:rPr>
      </w:pPr>
      <w:r>
        <w:rPr>
          <w:rFonts w:ascii="Arial" w:eastAsia="Times New Roman" w:hAnsi="Arial" w:cs="Arial"/>
          <w:color w:val="24292E"/>
          <w:lang w:eastAsia="en-GB"/>
        </w:rPr>
        <w:t>We agree the sentence was unclear and w</w:t>
      </w:r>
      <w:r w:rsidR="00ED058D" w:rsidRPr="00DA07E3">
        <w:rPr>
          <w:rFonts w:ascii="Arial" w:eastAsia="Times New Roman" w:hAnsi="Arial" w:cs="Arial"/>
          <w:color w:val="24292E"/>
          <w:lang w:eastAsia="en-GB"/>
        </w:rPr>
        <w:t>e have e</w:t>
      </w:r>
      <w:r w:rsidR="001F59BD" w:rsidRPr="00DA07E3">
        <w:rPr>
          <w:rFonts w:ascii="Arial" w:eastAsia="Times New Roman" w:hAnsi="Arial" w:cs="Arial"/>
          <w:color w:val="24292E"/>
          <w:lang w:eastAsia="en-GB"/>
        </w:rPr>
        <w:t xml:space="preserve">dited </w:t>
      </w:r>
      <w:r w:rsidR="00ED058D" w:rsidRPr="00DA07E3">
        <w:rPr>
          <w:rFonts w:ascii="Arial" w:eastAsia="Times New Roman" w:hAnsi="Arial" w:cs="Arial"/>
          <w:color w:val="24292E"/>
          <w:lang w:eastAsia="en-GB"/>
        </w:rPr>
        <w:t>this</w:t>
      </w:r>
      <w:r w:rsidRPr="00DA07E3">
        <w:rPr>
          <w:rFonts w:ascii="Arial" w:eastAsia="Times New Roman" w:hAnsi="Arial" w:cs="Arial"/>
          <w:color w:val="24292E"/>
          <w:lang w:eastAsia="en-GB"/>
        </w:rPr>
        <w:t>: see Results</w:t>
      </w:r>
      <w:r w:rsidR="0040200E">
        <w:rPr>
          <w:rFonts w:ascii="Arial" w:eastAsia="Times New Roman" w:hAnsi="Arial" w:cs="Arial"/>
          <w:color w:val="24292E"/>
          <w:lang w:eastAsia="en-GB"/>
        </w:rPr>
        <w:t>,</w:t>
      </w:r>
      <w:r w:rsidRPr="00DA07E3">
        <w:rPr>
          <w:rFonts w:ascii="Arial" w:eastAsia="Times New Roman" w:hAnsi="Arial" w:cs="Arial"/>
          <w:color w:val="24292E"/>
          <w:lang w:eastAsia="en-GB"/>
        </w:rPr>
        <w:t xml:space="preserve"> paragraph 2</w:t>
      </w:r>
      <w:r>
        <w:rPr>
          <w:rFonts w:ascii="Arial" w:eastAsia="Times New Roman" w:hAnsi="Arial" w:cs="Arial"/>
          <w:color w:val="24292E"/>
          <w:lang w:eastAsia="en-GB"/>
        </w:rPr>
        <w:t>.</w:t>
      </w:r>
    </w:p>
    <w:p w14:paraId="6A93814F" w14:textId="28722585" w:rsidR="001F59BD" w:rsidRPr="00DA07E3" w:rsidRDefault="001F59BD" w:rsidP="00DA07E3">
      <w:pPr>
        <w:shd w:val="clear" w:color="auto" w:fill="FFFFFF"/>
        <w:spacing w:line="240" w:lineRule="auto"/>
        <w:ind w:right="-220"/>
        <w:jc w:val="both"/>
        <w:textAlignment w:val="baseline"/>
        <w:rPr>
          <w:rFonts w:ascii="Arial" w:eastAsia="Times New Roman" w:hAnsi="Arial" w:cs="Arial"/>
          <w:lang w:eastAsia="en-GB"/>
        </w:rPr>
      </w:pPr>
      <w:r w:rsidRPr="00DA07E3">
        <w:rPr>
          <w:rFonts w:ascii="Arial" w:eastAsia="Times New Roman" w:hAnsi="Arial" w:cs="Arial"/>
          <w:b/>
          <w:bCs/>
          <w:color w:val="24292E"/>
          <w:lang w:eastAsia="en-GB"/>
        </w:rPr>
        <w:t>Discussion</w:t>
      </w:r>
    </w:p>
    <w:p w14:paraId="37D4A0DF" w14:textId="77777777"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UK-specific vs global delays - would this improve/worsen the discrepancy between admissions and deaths</w:t>
      </w:r>
    </w:p>
    <w:p w14:paraId="4E9E77F4" w14:textId="77777777" w:rsidR="00DA07E3" w:rsidRDefault="001F59BD" w:rsidP="00D96333">
      <w:pPr>
        <w:pStyle w:val="ListParagraph"/>
        <w:numPr>
          <w:ilvl w:val="0"/>
          <w:numId w:val="46"/>
        </w:numPr>
        <w:shd w:val="clear" w:color="auto" w:fill="FFFFFF"/>
        <w:spacing w:line="240" w:lineRule="auto"/>
        <w:ind w:right="-220"/>
        <w:jc w:val="both"/>
        <w:textAlignment w:val="baseline"/>
        <w:rPr>
          <w:rFonts w:ascii="Arial" w:eastAsia="Times New Roman" w:hAnsi="Arial" w:cs="Arial"/>
          <w:color w:val="24292E"/>
          <w:lang w:eastAsia="en-GB"/>
        </w:rPr>
      </w:pPr>
      <w:r w:rsidRPr="00DA07E3">
        <w:rPr>
          <w:rFonts w:ascii="Arial" w:eastAsia="Times New Roman" w:hAnsi="Arial" w:cs="Arial"/>
          <w:color w:val="24292E"/>
          <w:lang w:eastAsia="en-GB"/>
        </w:rPr>
        <w:t xml:space="preserve">We used public data wherever possible and compared this to available confidential data in the UK. This led to using global delays for admissions/cases and UK specific delays for deaths. The discrepancy should not have been substantially </w:t>
      </w:r>
      <w:proofErr w:type="gramStart"/>
      <w:r w:rsidRPr="00DA07E3">
        <w:rPr>
          <w:rFonts w:ascii="Arial" w:eastAsia="Times New Roman" w:hAnsi="Arial" w:cs="Arial"/>
          <w:color w:val="24292E"/>
          <w:lang w:eastAsia="en-GB"/>
        </w:rPr>
        <w:t>impacted, but</w:t>
      </w:r>
      <w:proofErr w:type="gramEnd"/>
      <w:r w:rsidRPr="00DA07E3">
        <w:rPr>
          <w:rFonts w:ascii="Arial" w:eastAsia="Times New Roman" w:hAnsi="Arial" w:cs="Arial"/>
          <w:color w:val="24292E"/>
          <w:lang w:eastAsia="en-GB"/>
        </w:rPr>
        <w:t xml:space="preserve"> using the public linelist data may have increased uncertainty in </w:t>
      </w:r>
      <w:r w:rsidR="00ED058D" w:rsidRPr="00DA07E3">
        <w:rPr>
          <w:rFonts w:ascii="Arial" w:eastAsia="Times New Roman" w:hAnsi="Arial" w:cs="Arial"/>
          <w:i/>
          <w:iCs/>
          <w:color w:val="24292E"/>
          <w:lang w:eastAsia="en-GB"/>
        </w:rPr>
        <w:t>R</w:t>
      </w:r>
      <w:r w:rsidR="00ED058D" w:rsidRPr="00DA07E3">
        <w:rPr>
          <w:rFonts w:ascii="Arial" w:eastAsia="Times New Roman" w:hAnsi="Arial" w:cs="Arial"/>
          <w:i/>
          <w:iCs/>
          <w:color w:val="24292E"/>
          <w:vertAlign w:val="subscript"/>
          <w:lang w:eastAsia="en-GB"/>
        </w:rPr>
        <w:t>t</w:t>
      </w:r>
      <w:r w:rsidRPr="00DA07E3">
        <w:rPr>
          <w:rFonts w:ascii="Arial" w:eastAsia="Times New Roman" w:hAnsi="Arial" w:cs="Arial"/>
          <w:color w:val="24292E"/>
          <w:lang w:eastAsia="en-GB"/>
        </w:rPr>
        <w:t xml:space="preserve"> estimates. </w:t>
      </w:r>
    </w:p>
    <w:p w14:paraId="07234805" w14:textId="5A0D31A3" w:rsidR="001F59BD" w:rsidRPr="00DA07E3" w:rsidRDefault="00DA07E3" w:rsidP="00D96333">
      <w:pPr>
        <w:pStyle w:val="ListParagraph"/>
        <w:numPr>
          <w:ilvl w:val="0"/>
          <w:numId w:val="46"/>
        </w:numPr>
        <w:shd w:val="clear" w:color="auto" w:fill="FFFFFF"/>
        <w:spacing w:line="240" w:lineRule="auto"/>
        <w:ind w:right="-220"/>
        <w:jc w:val="both"/>
        <w:textAlignment w:val="baseline"/>
        <w:rPr>
          <w:rFonts w:ascii="Arial" w:eastAsia="Times New Roman" w:hAnsi="Arial" w:cs="Arial"/>
          <w:color w:val="24292E"/>
          <w:lang w:eastAsia="en-GB"/>
        </w:rPr>
      </w:pPr>
      <w:r w:rsidRPr="00ED058D">
        <w:rPr>
          <w:rFonts w:ascii="Arial" w:eastAsia="Times New Roman" w:hAnsi="Arial" w:cs="Arial"/>
          <w:color w:val="24292E"/>
          <w:lang w:eastAsia="en-GB"/>
        </w:rPr>
        <w:t xml:space="preserve">We have added </w:t>
      </w:r>
      <w:r>
        <w:rPr>
          <w:rFonts w:ascii="Arial" w:eastAsia="Times New Roman" w:hAnsi="Arial" w:cs="Arial"/>
          <w:color w:val="24292E"/>
          <w:lang w:eastAsia="en-GB"/>
        </w:rPr>
        <w:t xml:space="preserve">substantially </w:t>
      </w:r>
      <w:r w:rsidRPr="00ED058D">
        <w:rPr>
          <w:rFonts w:ascii="Arial" w:eastAsia="Times New Roman" w:hAnsi="Arial" w:cs="Arial"/>
          <w:color w:val="24292E"/>
          <w:lang w:eastAsia="en-GB"/>
        </w:rPr>
        <w:t>more detail and our justifications</w:t>
      </w:r>
      <w:r>
        <w:rPr>
          <w:rFonts w:ascii="Arial" w:eastAsia="Times New Roman" w:hAnsi="Arial" w:cs="Arial"/>
          <w:color w:val="24292E"/>
          <w:lang w:eastAsia="en-GB"/>
        </w:rPr>
        <w:t>: see Discussion</w:t>
      </w:r>
      <w:r w:rsidR="0040200E">
        <w:rPr>
          <w:rFonts w:ascii="Arial" w:eastAsia="Times New Roman" w:hAnsi="Arial" w:cs="Arial"/>
          <w:color w:val="24292E"/>
          <w:lang w:eastAsia="en-GB"/>
        </w:rPr>
        <w:t>,</w:t>
      </w:r>
      <w:r>
        <w:rPr>
          <w:rFonts w:ascii="Arial" w:eastAsia="Times New Roman" w:hAnsi="Arial" w:cs="Arial"/>
          <w:color w:val="24292E"/>
          <w:lang w:eastAsia="en-GB"/>
        </w:rPr>
        <w:t xml:space="preserve"> paragraph 9.</w:t>
      </w:r>
      <w:r>
        <w:rPr>
          <w:rFonts w:ascii="Arial" w:eastAsia="Times New Roman" w:hAnsi="Arial" w:cs="Arial"/>
          <w:color w:val="24292E"/>
          <w:lang w:eastAsia="en-GB"/>
        </w:rPr>
        <w:t xml:space="preserve"> </w:t>
      </w:r>
    </w:p>
    <w:p w14:paraId="4655291E" w14:textId="77777777" w:rsidR="001F59B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p>
    <w:p w14:paraId="6F8EA3AE" w14:textId="24720C78"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Implications of delays being the same for cases / hospitalisations - for example, with the higher testing rate rolled out over summer and wider community testing, the delay from symptom onset to testing might have decreased, whereas the delay from onset to hospital admission will not have experienced the same change.</w:t>
      </w:r>
    </w:p>
    <w:p w14:paraId="24EAC11F" w14:textId="77777777" w:rsidR="0040200E" w:rsidRDefault="001F59BD" w:rsidP="00ED058D">
      <w:pPr>
        <w:pStyle w:val="ListParagraph"/>
        <w:numPr>
          <w:ilvl w:val="0"/>
          <w:numId w:val="47"/>
        </w:numPr>
        <w:shd w:val="clear" w:color="auto" w:fill="FFFFFF"/>
        <w:spacing w:line="240" w:lineRule="auto"/>
        <w:ind w:right="-220"/>
        <w:jc w:val="both"/>
        <w:textAlignment w:val="baseline"/>
        <w:rPr>
          <w:rFonts w:ascii="Arial" w:eastAsia="Times New Roman" w:hAnsi="Arial" w:cs="Arial"/>
          <w:color w:val="24292E"/>
          <w:lang w:eastAsia="en-GB"/>
        </w:rPr>
      </w:pPr>
      <w:r w:rsidRPr="00ED058D">
        <w:rPr>
          <w:rFonts w:ascii="Arial" w:eastAsia="Times New Roman" w:hAnsi="Arial" w:cs="Arial"/>
          <w:color w:val="24292E"/>
          <w:lang w:eastAsia="en-GB"/>
        </w:rPr>
        <w:t xml:space="preserve">Using the same delays could explain some of the variability in </w:t>
      </w:r>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sidRPr="00ED058D">
        <w:rPr>
          <w:rFonts w:ascii="Arial" w:eastAsia="Times New Roman" w:hAnsi="Arial" w:cs="Arial"/>
          <w:color w:val="24292E"/>
          <w:lang w:eastAsia="en-GB"/>
        </w:rPr>
        <w:t xml:space="preserve"> estimates from test-positive case data compared to hospital admissions. We had no data over time on delays from symptom onset to reporting in each data source to test this; however, we have mitigated some of the likely impact by using independent sampling over an uncertain delay distribution for each set of estimates. </w:t>
      </w:r>
    </w:p>
    <w:p w14:paraId="4E2A4F6F" w14:textId="71CCD4D0" w:rsidR="001F59BD" w:rsidRPr="00ED058D" w:rsidRDefault="001F59BD" w:rsidP="00ED058D">
      <w:pPr>
        <w:pStyle w:val="ListParagraph"/>
        <w:numPr>
          <w:ilvl w:val="0"/>
          <w:numId w:val="47"/>
        </w:numPr>
        <w:shd w:val="clear" w:color="auto" w:fill="FFFFFF"/>
        <w:spacing w:line="240" w:lineRule="auto"/>
        <w:ind w:right="-220"/>
        <w:jc w:val="both"/>
        <w:textAlignment w:val="baseline"/>
        <w:rPr>
          <w:rFonts w:ascii="Arial" w:eastAsia="Times New Roman" w:hAnsi="Arial" w:cs="Arial"/>
          <w:color w:val="24292E"/>
          <w:lang w:eastAsia="en-GB"/>
        </w:rPr>
      </w:pPr>
      <w:r w:rsidRPr="00ED058D">
        <w:rPr>
          <w:rFonts w:ascii="Arial" w:eastAsia="Times New Roman" w:hAnsi="Arial" w:cs="Arial"/>
          <w:color w:val="24292E"/>
          <w:lang w:eastAsia="en-GB"/>
        </w:rPr>
        <w:t xml:space="preserve">We have </w:t>
      </w:r>
      <w:r w:rsidR="0040200E">
        <w:rPr>
          <w:rFonts w:ascii="Arial" w:eastAsia="Times New Roman" w:hAnsi="Arial" w:cs="Arial"/>
          <w:color w:val="24292E"/>
          <w:lang w:eastAsia="en-GB"/>
        </w:rPr>
        <w:t>substantially expanded upon</w:t>
      </w:r>
      <w:r w:rsidRPr="00ED058D">
        <w:rPr>
          <w:rFonts w:ascii="Arial" w:eastAsia="Times New Roman" w:hAnsi="Arial" w:cs="Arial"/>
          <w:color w:val="24292E"/>
          <w:lang w:eastAsia="en-GB"/>
        </w:rPr>
        <w:t xml:space="preserve"> this point in the </w:t>
      </w:r>
      <w:r w:rsidR="0040200E">
        <w:rPr>
          <w:rFonts w:ascii="Arial" w:eastAsia="Times New Roman" w:hAnsi="Arial" w:cs="Arial"/>
          <w:color w:val="24292E"/>
          <w:lang w:eastAsia="en-GB"/>
        </w:rPr>
        <w:t>text: see Discussion, paragraph 8.</w:t>
      </w:r>
    </w:p>
    <w:p w14:paraId="48362DAA" w14:textId="77777777" w:rsidR="001F59BD" w:rsidRPr="00ED058D" w:rsidRDefault="001F59BD" w:rsidP="00ED058D">
      <w:pPr>
        <w:shd w:val="clear" w:color="auto" w:fill="FFFFFF"/>
        <w:spacing w:line="240" w:lineRule="auto"/>
        <w:ind w:right="-220"/>
        <w:jc w:val="both"/>
        <w:textAlignment w:val="baseline"/>
        <w:rPr>
          <w:rFonts w:ascii="Arial" w:eastAsia="Times New Roman" w:hAnsi="Arial" w:cs="Arial"/>
          <w:i/>
          <w:iCs/>
          <w:color w:val="24292E"/>
          <w:lang w:eastAsia="en-GB"/>
        </w:rPr>
      </w:pPr>
      <w:r w:rsidRPr="00ED058D">
        <w:rPr>
          <w:rFonts w:ascii="Arial" w:eastAsia="Times New Roman" w:hAnsi="Arial" w:cs="Arial"/>
          <w:i/>
          <w:iCs/>
          <w:color w:val="24292E"/>
          <w:lang w:eastAsia="en-GB"/>
        </w:rPr>
        <w:t>Page 9 line 21 - local nosocomial outbreaks could have also contributed to this discrepancy</w:t>
      </w:r>
    </w:p>
    <w:p w14:paraId="0BE03445" w14:textId="50FF5C9B" w:rsidR="0040200E" w:rsidRPr="0040200E" w:rsidRDefault="001F59BD" w:rsidP="008437D9">
      <w:pPr>
        <w:pStyle w:val="ListParagraph"/>
        <w:numPr>
          <w:ilvl w:val="0"/>
          <w:numId w:val="47"/>
        </w:numPr>
        <w:shd w:val="clear" w:color="auto" w:fill="FFFFFF"/>
        <w:spacing w:line="240" w:lineRule="auto"/>
        <w:ind w:right="-220"/>
        <w:jc w:val="both"/>
        <w:textAlignment w:val="baseline"/>
        <w:rPr>
          <w:rFonts w:ascii="Arial" w:eastAsia="Times New Roman" w:hAnsi="Arial" w:cs="Arial"/>
          <w:i/>
          <w:iCs/>
          <w:color w:val="24292E"/>
          <w:lang w:eastAsia="en-GB"/>
        </w:rPr>
      </w:pPr>
      <w:r w:rsidRPr="0040200E">
        <w:rPr>
          <w:rFonts w:ascii="Arial" w:eastAsia="Times New Roman" w:hAnsi="Arial" w:cs="Arial"/>
          <w:color w:val="24292E"/>
          <w:lang w:eastAsia="en-GB"/>
        </w:rPr>
        <w:t>Thank you for suggesting this</w:t>
      </w:r>
      <w:r w:rsidR="0040200E">
        <w:rPr>
          <w:rFonts w:ascii="Arial" w:eastAsia="Times New Roman" w:hAnsi="Arial" w:cs="Arial"/>
          <w:color w:val="24292E"/>
          <w:lang w:eastAsia="en-GB"/>
        </w:rPr>
        <w:t>, which we agree this is a strong explanation</w:t>
      </w:r>
      <w:r w:rsidRPr="0040200E">
        <w:rPr>
          <w:rFonts w:ascii="Arial" w:eastAsia="Times New Roman" w:hAnsi="Arial" w:cs="Arial"/>
          <w:color w:val="24292E"/>
          <w:lang w:eastAsia="en-GB"/>
        </w:rPr>
        <w:t>. </w:t>
      </w:r>
    </w:p>
    <w:p w14:paraId="7912247F" w14:textId="32F84CF2" w:rsidR="0040200E" w:rsidRPr="0040200E" w:rsidRDefault="001F59BD" w:rsidP="0040200E">
      <w:pPr>
        <w:pStyle w:val="ListParagraph"/>
        <w:numPr>
          <w:ilvl w:val="0"/>
          <w:numId w:val="47"/>
        </w:numPr>
        <w:shd w:val="clear" w:color="auto" w:fill="FFFFFF"/>
        <w:spacing w:line="240" w:lineRule="auto"/>
        <w:ind w:right="-220"/>
        <w:jc w:val="both"/>
        <w:textAlignment w:val="baseline"/>
        <w:rPr>
          <w:rFonts w:ascii="Arial" w:eastAsia="Times New Roman" w:hAnsi="Arial" w:cs="Arial"/>
          <w:i/>
          <w:iCs/>
          <w:color w:val="24292E"/>
          <w:lang w:eastAsia="en-GB"/>
        </w:rPr>
      </w:pPr>
      <w:r w:rsidRPr="0040200E">
        <w:rPr>
          <w:rFonts w:ascii="Arial" w:eastAsia="Times New Roman" w:hAnsi="Arial" w:cs="Arial"/>
          <w:color w:val="24292E"/>
          <w:lang w:eastAsia="en-GB"/>
        </w:rPr>
        <w:lastRenderedPageBreak/>
        <w:t xml:space="preserve">We have included an explanation of how a discrepancy in </w:t>
      </w:r>
      <w:r w:rsidR="00ED058D" w:rsidRPr="0040200E">
        <w:rPr>
          <w:rFonts w:ascii="Arial" w:eastAsia="Times New Roman" w:hAnsi="Arial" w:cs="Arial"/>
          <w:i/>
          <w:iCs/>
          <w:color w:val="24292E"/>
          <w:lang w:eastAsia="en-GB"/>
        </w:rPr>
        <w:t>R</w:t>
      </w:r>
      <w:r w:rsidR="00ED058D" w:rsidRPr="0040200E">
        <w:rPr>
          <w:rFonts w:ascii="Arial" w:eastAsia="Times New Roman" w:hAnsi="Arial" w:cs="Arial"/>
          <w:i/>
          <w:iCs/>
          <w:color w:val="24292E"/>
          <w:vertAlign w:val="subscript"/>
          <w:lang w:eastAsia="en-GB"/>
        </w:rPr>
        <w:t>t</w:t>
      </w:r>
      <w:r w:rsidRPr="0040200E">
        <w:rPr>
          <w:rFonts w:ascii="Arial" w:eastAsia="Times New Roman" w:hAnsi="Arial" w:cs="Arial"/>
          <w:color w:val="24292E"/>
          <w:lang w:eastAsia="en-GB"/>
        </w:rPr>
        <w:t xml:space="preserve"> would be caused by biased detection of nosocomial outbreaks in testing data combined with the healthy-worker effect</w:t>
      </w:r>
      <w:r w:rsidR="0040200E">
        <w:rPr>
          <w:rFonts w:ascii="Arial" w:eastAsia="Times New Roman" w:hAnsi="Arial" w:cs="Arial"/>
          <w:color w:val="24292E"/>
          <w:lang w:eastAsia="en-GB"/>
        </w:rPr>
        <w:t>.</w:t>
      </w:r>
    </w:p>
    <w:p w14:paraId="7B095017" w14:textId="179694B5" w:rsidR="0040200E" w:rsidRPr="0040200E" w:rsidRDefault="0040200E" w:rsidP="0040200E">
      <w:pPr>
        <w:pStyle w:val="ListParagraph"/>
        <w:numPr>
          <w:ilvl w:val="0"/>
          <w:numId w:val="47"/>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We have also re-arranged the discussion to link together this range of explanations associated with uneven sampling across the age-severity gradient over time: see Discussion, paragraphs 4-6 and specifically paragraph 4 for nosocomial infections.</w:t>
      </w:r>
    </w:p>
    <w:p w14:paraId="29BCB35E" w14:textId="24BFA71B" w:rsidR="001F59BD" w:rsidRPr="0040200E" w:rsidRDefault="001F59BD" w:rsidP="0040200E">
      <w:pPr>
        <w:shd w:val="clear" w:color="auto" w:fill="FFFFFF"/>
        <w:spacing w:line="240" w:lineRule="auto"/>
        <w:ind w:right="-220"/>
        <w:jc w:val="both"/>
        <w:textAlignment w:val="baseline"/>
        <w:rPr>
          <w:rFonts w:ascii="Arial" w:eastAsia="Times New Roman" w:hAnsi="Arial" w:cs="Arial"/>
          <w:i/>
          <w:iCs/>
          <w:color w:val="24292E"/>
          <w:lang w:eastAsia="en-GB"/>
        </w:rPr>
      </w:pPr>
      <w:r w:rsidRPr="0040200E">
        <w:rPr>
          <w:rFonts w:ascii="Arial" w:eastAsia="Times New Roman" w:hAnsi="Arial" w:cs="Arial"/>
          <w:i/>
          <w:iCs/>
          <w:color w:val="24292E"/>
          <w:lang w:eastAsia="en-GB"/>
        </w:rPr>
        <w:t xml:space="preserve">Discuss whether pooling estimates might help provide a more robust estimate of </w:t>
      </w:r>
      <w:r w:rsidR="00ED058D" w:rsidRPr="0040200E">
        <w:rPr>
          <w:rFonts w:ascii="Arial" w:eastAsia="Times New Roman" w:hAnsi="Arial" w:cs="Arial"/>
          <w:i/>
          <w:iCs/>
          <w:color w:val="24292E"/>
          <w:lang w:eastAsia="en-GB"/>
        </w:rPr>
        <w:t>R</w:t>
      </w:r>
      <w:r w:rsidR="00ED058D" w:rsidRPr="0040200E">
        <w:rPr>
          <w:rFonts w:ascii="Arial" w:eastAsia="Times New Roman" w:hAnsi="Arial" w:cs="Arial"/>
          <w:i/>
          <w:iCs/>
          <w:color w:val="24292E"/>
          <w:vertAlign w:val="subscript"/>
          <w:lang w:eastAsia="en-GB"/>
        </w:rPr>
        <w:t>t</w:t>
      </w:r>
      <w:r w:rsidRPr="0040200E">
        <w:rPr>
          <w:rFonts w:ascii="Arial" w:eastAsia="Times New Roman" w:hAnsi="Arial" w:cs="Arial"/>
          <w:i/>
          <w:iCs/>
          <w:color w:val="24292E"/>
          <w:lang w:eastAsia="en-GB"/>
        </w:rPr>
        <w:t xml:space="preserve">, or whether </w:t>
      </w:r>
      <w:proofErr w:type="gramStart"/>
      <w:r w:rsidRPr="0040200E">
        <w:rPr>
          <w:rFonts w:ascii="Arial" w:eastAsia="Times New Roman" w:hAnsi="Arial" w:cs="Arial"/>
          <w:i/>
          <w:iCs/>
          <w:color w:val="24292E"/>
          <w:lang w:eastAsia="en-GB"/>
        </w:rPr>
        <w:t>it’s</w:t>
      </w:r>
      <w:proofErr w:type="gramEnd"/>
      <w:r w:rsidRPr="0040200E">
        <w:rPr>
          <w:rFonts w:ascii="Arial" w:eastAsia="Times New Roman" w:hAnsi="Arial" w:cs="Arial"/>
          <w:i/>
          <w:iCs/>
          <w:color w:val="24292E"/>
          <w:lang w:eastAsia="en-GB"/>
        </w:rPr>
        <w:t xml:space="preserve"> better to present multiple estimates to policy makers</w:t>
      </w:r>
    </w:p>
    <w:p w14:paraId="124DF010" w14:textId="410A5A23" w:rsidR="007D5246" w:rsidRPr="007D5246" w:rsidRDefault="00ED058D" w:rsidP="00ED058D">
      <w:pPr>
        <w:pStyle w:val="ListParagraph"/>
        <w:numPr>
          <w:ilvl w:val="0"/>
          <w:numId w:val="47"/>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 xml:space="preserve">Thank you for raising this, which is </w:t>
      </w:r>
      <w:r w:rsidR="0040200E">
        <w:rPr>
          <w:rFonts w:ascii="Arial" w:eastAsia="Times New Roman" w:hAnsi="Arial" w:cs="Arial"/>
          <w:color w:val="24292E"/>
          <w:lang w:eastAsia="en-GB"/>
        </w:rPr>
        <w:t xml:space="preserve">an </w:t>
      </w:r>
      <w:r>
        <w:rPr>
          <w:rFonts w:ascii="Arial" w:eastAsia="Times New Roman" w:hAnsi="Arial" w:cs="Arial"/>
          <w:color w:val="24292E"/>
          <w:lang w:eastAsia="en-GB"/>
        </w:rPr>
        <w:t xml:space="preserve">important </w:t>
      </w:r>
      <w:r w:rsidR="0040200E">
        <w:rPr>
          <w:rFonts w:ascii="Arial" w:eastAsia="Times New Roman" w:hAnsi="Arial" w:cs="Arial"/>
          <w:color w:val="24292E"/>
          <w:lang w:eastAsia="en-GB"/>
        </w:rPr>
        <w:t>addition to the discussion</w:t>
      </w:r>
      <w:r>
        <w:rPr>
          <w:rFonts w:ascii="Arial" w:eastAsia="Times New Roman" w:hAnsi="Arial" w:cs="Arial"/>
          <w:color w:val="24292E"/>
          <w:lang w:eastAsia="en-GB"/>
        </w:rPr>
        <w:t xml:space="preserve">. </w:t>
      </w:r>
    </w:p>
    <w:p w14:paraId="70E62D08" w14:textId="6B43BB67" w:rsidR="001F59BD" w:rsidRPr="00ED058D" w:rsidRDefault="007D5246" w:rsidP="00ED058D">
      <w:pPr>
        <w:pStyle w:val="ListParagraph"/>
        <w:numPr>
          <w:ilvl w:val="0"/>
          <w:numId w:val="47"/>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To summarise, w</w:t>
      </w:r>
      <w:r w:rsidR="001F59BD" w:rsidRPr="00ED058D">
        <w:rPr>
          <w:rFonts w:ascii="Arial" w:eastAsia="Times New Roman" w:hAnsi="Arial" w:cs="Arial"/>
          <w:color w:val="24292E"/>
          <w:lang w:eastAsia="en-GB"/>
        </w:rPr>
        <w:t>e recommend against pooling estimates</w:t>
      </w:r>
      <w:r w:rsidR="00ED058D">
        <w:rPr>
          <w:rFonts w:ascii="Arial" w:eastAsia="Times New Roman" w:hAnsi="Arial" w:cs="Arial"/>
          <w:color w:val="24292E"/>
          <w:lang w:eastAsia="en-GB"/>
        </w:rPr>
        <w:t xml:space="preserve">. </w:t>
      </w:r>
      <w:r w:rsidR="00ED058D">
        <w:rPr>
          <w:rFonts w:ascii="Arial" w:eastAsia="Times New Roman" w:hAnsi="Arial" w:cs="Arial"/>
          <w:color w:val="000000"/>
          <w:lang w:eastAsia="en-GB"/>
        </w:rPr>
        <w:t>I</w:t>
      </w:r>
      <w:r w:rsidR="00ED058D" w:rsidRPr="00ED058D">
        <w:rPr>
          <w:rFonts w:ascii="Arial" w:eastAsia="Times New Roman" w:hAnsi="Arial" w:cs="Arial"/>
          <w:color w:val="000000"/>
          <w:lang w:eastAsia="en-GB"/>
        </w:rPr>
        <w:t xml:space="preserve">t is unclear how weights would be assigned based on likelihood to estimates from different data sources. </w:t>
      </w:r>
      <w:r w:rsidR="0040200E">
        <w:rPr>
          <w:rFonts w:ascii="Arial" w:eastAsia="Times New Roman" w:hAnsi="Arial" w:cs="Arial"/>
          <w:color w:val="000000"/>
          <w:lang w:eastAsia="en-GB"/>
        </w:rPr>
        <w:t>We also believe that when sampling biases are understood,</w:t>
      </w:r>
      <w:r w:rsidR="00ED058D" w:rsidRPr="00ED058D">
        <w:rPr>
          <w:rFonts w:ascii="Arial" w:eastAsia="Times New Roman" w:hAnsi="Arial" w:cs="Arial"/>
          <w:color w:val="000000"/>
          <w:lang w:eastAsia="en-GB"/>
        </w:rPr>
        <w:t xml:space="preserve"> the variation in concurrent </w:t>
      </w:r>
      <w:r w:rsidR="00ED058D" w:rsidRPr="00ED058D">
        <w:rPr>
          <w:rFonts w:ascii="Arial" w:eastAsia="Times New Roman" w:hAnsi="Arial" w:cs="Arial"/>
          <w:i/>
          <w:iCs/>
          <w:color w:val="24292E"/>
          <w:lang w:eastAsia="en-GB"/>
        </w:rPr>
        <w:t>R</w:t>
      </w:r>
      <w:r w:rsidR="00ED058D" w:rsidRPr="00ED058D">
        <w:rPr>
          <w:rFonts w:ascii="Arial" w:eastAsia="Times New Roman" w:hAnsi="Arial" w:cs="Arial"/>
          <w:i/>
          <w:iCs/>
          <w:color w:val="24292E"/>
          <w:vertAlign w:val="subscript"/>
          <w:lang w:eastAsia="en-GB"/>
        </w:rPr>
        <w:t>t</w:t>
      </w:r>
      <w:r w:rsidR="00ED058D" w:rsidRPr="00ED058D">
        <w:rPr>
          <w:rFonts w:ascii="Arial" w:eastAsia="Times New Roman" w:hAnsi="Arial" w:cs="Arial"/>
          <w:color w:val="000000"/>
          <w:lang w:eastAsia="en-GB"/>
        </w:rPr>
        <w:t xml:space="preserve"> estimates </w:t>
      </w:r>
      <w:r w:rsidR="0040200E">
        <w:rPr>
          <w:rFonts w:ascii="Arial" w:eastAsia="Times New Roman" w:hAnsi="Arial" w:cs="Arial"/>
          <w:color w:val="000000"/>
          <w:lang w:eastAsia="en-GB"/>
        </w:rPr>
        <w:t>can be used to gather</w:t>
      </w:r>
      <w:r w:rsidR="00ED058D" w:rsidRPr="00ED058D">
        <w:rPr>
          <w:rFonts w:ascii="Arial" w:eastAsia="Times New Roman" w:hAnsi="Arial" w:cs="Arial"/>
          <w:color w:val="000000"/>
          <w:lang w:eastAsia="en-GB"/>
        </w:rPr>
        <w:t xml:space="preserve"> more information about population transmission than any single estimate</w:t>
      </w:r>
      <w:r w:rsidR="0040200E">
        <w:rPr>
          <w:rFonts w:ascii="Arial" w:eastAsia="Times New Roman" w:hAnsi="Arial" w:cs="Arial"/>
          <w:color w:val="000000"/>
          <w:lang w:eastAsia="en-GB"/>
        </w:rPr>
        <w:t>.</w:t>
      </w:r>
    </w:p>
    <w:p w14:paraId="134D0CBA" w14:textId="5F1652B7" w:rsidR="00ED058D" w:rsidRPr="00ED058D" w:rsidRDefault="00ED058D" w:rsidP="00ED058D">
      <w:pPr>
        <w:pStyle w:val="ListParagraph"/>
        <w:numPr>
          <w:ilvl w:val="0"/>
          <w:numId w:val="47"/>
        </w:numPr>
        <w:shd w:val="clear" w:color="auto" w:fill="FFFFFF"/>
        <w:spacing w:line="240" w:lineRule="auto"/>
        <w:ind w:right="-220"/>
        <w:jc w:val="both"/>
        <w:textAlignment w:val="baseline"/>
        <w:rPr>
          <w:rFonts w:ascii="Arial" w:eastAsia="Times New Roman" w:hAnsi="Arial" w:cs="Arial"/>
          <w:i/>
          <w:iCs/>
          <w:color w:val="24292E"/>
          <w:lang w:eastAsia="en-GB"/>
        </w:rPr>
      </w:pPr>
      <w:r>
        <w:rPr>
          <w:rFonts w:ascii="Arial" w:eastAsia="Times New Roman" w:hAnsi="Arial" w:cs="Arial"/>
          <w:color w:val="24292E"/>
          <w:lang w:eastAsia="en-GB"/>
        </w:rPr>
        <w:t>We have added these points</w:t>
      </w:r>
      <w:r w:rsidR="005C3423">
        <w:rPr>
          <w:rFonts w:ascii="Arial" w:eastAsia="Times New Roman" w:hAnsi="Arial" w:cs="Arial"/>
          <w:color w:val="24292E"/>
          <w:lang w:eastAsia="en-GB"/>
        </w:rPr>
        <w:t xml:space="preserve"> and brought them out more clearly as recommendations: see Discussion, paragraph 14.</w:t>
      </w:r>
    </w:p>
    <w:sectPr w:rsidR="00ED058D" w:rsidRPr="00ED0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B5B"/>
    <w:multiLevelType w:val="multilevel"/>
    <w:tmpl w:val="536A8A0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3255B7"/>
    <w:multiLevelType w:val="hybridMultilevel"/>
    <w:tmpl w:val="0E260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4081D"/>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7E1B44"/>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2E55D3"/>
    <w:multiLevelType w:val="multilevel"/>
    <w:tmpl w:val="AFE0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C575D"/>
    <w:multiLevelType w:val="hybridMultilevel"/>
    <w:tmpl w:val="8E549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04F04"/>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0B1D5A"/>
    <w:multiLevelType w:val="multilevel"/>
    <w:tmpl w:val="6A00FDD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B7A5A"/>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D074BFF"/>
    <w:multiLevelType w:val="hybridMultilevel"/>
    <w:tmpl w:val="8320F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E7557"/>
    <w:multiLevelType w:val="multilevel"/>
    <w:tmpl w:val="D7D46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E6E7C"/>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B100BAC"/>
    <w:multiLevelType w:val="hybridMultilevel"/>
    <w:tmpl w:val="5066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F0CBE"/>
    <w:multiLevelType w:val="hybridMultilevel"/>
    <w:tmpl w:val="6F1C0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3C57A5"/>
    <w:multiLevelType w:val="hybridMultilevel"/>
    <w:tmpl w:val="8EFA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163080"/>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9140ACA"/>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8F11A8"/>
    <w:multiLevelType w:val="multilevel"/>
    <w:tmpl w:val="3168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209BE"/>
    <w:multiLevelType w:val="multilevel"/>
    <w:tmpl w:val="D34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A7A65"/>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192A1E"/>
    <w:multiLevelType w:val="multilevel"/>
    <w:tmpl w:val="536A8A0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4D1C7D"/>
    <w:multiLevelType w:val="hybridMultilevel"/>
    <w:tmpl w:val="2B720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B81620"/>
    <w:multiLevelType w:val="hybridMultilevel"/>
    <w:tmpl w:val="13D07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D36157"/>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3B24BD3"/>
    <w:multiLevelType w:val="multilevel"/>
    <w:tmpl w:val="536A8A0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6A60FB"/>
    <w:multiLevelType w:val="hybridMultilevel"/>
    <w:tmpl w:val="BD68B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B0649"/>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E04625"/>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7CB0984"/>
    <w:multiLevelType w:val="hybridMultilevel"/>
    <w:tmpl w:val="A1AE2FEA"/>
    <w:lvl w:ilvl="0" w:tplc="8E721D7E">
      <w:start w:val="2"/>
      <w:numFmt w:val="lowerLetter"/>
      <w:lvlText w:val="%1."/>
      <w:lvlJc w:val="left"/>
      <w:pPr>
        <w:tabs>
          <w:tab w:val="num" w:pos="720"/>
        </w:tabs>
        <w:ind w:left="720" w:hanging="360"/>
      </w:pPr>
    </w:lvl>
    <w:lvl w:ilvl="1" w:tplc="CCAC8E74" w:tentative="1">
      <w:start w:val="1"/>
      <w:numFmt w:val="decimal"/>
      <w:lvlText w:val="%2."/>
      <w:lvlJc w:val="left"/>
      <w:pPr>
        <w:tabs>
          <w:tab w:val="num" w:pos="1440"/>
        </w:tabs>
        <w:ind w:left="1440" w:hanging="360"/>
      </w:pPr>
    </w:lvl>
    <w:lvl w:ilvl="2" w:tplc="A3BCE65E" w:tentative="1">
      <w:start w:val="1"/>
      <w:numFmt w:val="decimal"/>
      <w:lvlText w:val="%3."/>
      <w:lvlJc w:val="left"/>
      <w:pPr>
        <w:tabs>
          <w:tab w:val="num" w:pos="2160"/>
        </w:tabs>
        <w:ind w:left="2160" w:hanging="360"/>
      </w:pPr>
    </w:lvl>
    <w:lvl w:ilvl="3" w:tplc="6B12FF30" w:tentative="1">
      <w:start w:val="1"/>
      <w:numFmt w:val="decimal"/>
      <w:lvlText w:val="%4."/>
      <w:lvlJc w:val="left"/>
      <w:pPr>
        <w:tabs>
          <w:tab w:val="num" w:pos="2880"/>
        </w:tabs>
        <w:ind w:left="2880" w:hanging="360"/>
      </w:pPr>
    </w:lvl>
    <w:lvl w:ilvl="4" w:tplc="8464503E" w:tentative="1">
      <w:start w:val="1"/>
      <w:numFmt w:val="decimal"/>
      <w:lvlText w:val="%5."/>
      <w:lvlJc w:val="left"/>
      <w:pPr>
        <w:tabs>
          <w:tab w:val="num" w:pos="3600"/>
        </w:tabs>
        <w:ind w:left="3600" w:hanging="360"/>
      </w:pPr>
    </w:lvl>
    <w:lvl w:ilvl="5" w:tplc="B30EBAC8" w:tentative="1">
      <w:start w:val="1"/>
      <w:numFmt w:val="decimal"/>
      <w:lvlText w:val="%6."/>
      <w:lvlJc w:val="left"/>
      <w:pPr>
        <w:tabs>
          <w:tab w:val="num" w:pos="4320"/>
        </w:tabs>
        <w:ind w:left="4320" w:hanging="360"/>
      </w:pPr>
    </w:lvl>
    <w:lvl w:ilvl="6" w:tplc="34DE9ED2" w:tentative="1">
      <w:start w:val="1"/>
      <w:numFmt w:val="decimal"/>
      <w:lvlText w:val="%7."/>
      <w:lvlJc w:val="left"/>
      <w:pPr>
        <w:tabs>
          <w:tab w:val="num" w:pos="5040"/>
        </w:tabs>
        <w:ind w:left="5040" w:hanging="360"/>
      </w:pPr>
    </w:lvl>
    <w:lvl w:ilvl="7" w:tplc="52143F9E" w:tentative="1">
      <w:start w:val="1"/>
      <w:numFmt w:val="decimal"/>
      <w:lvlText w:val="%8."/>
      <w:lvlJc w:val="left"/>
      <w:pPr>
        <w:tabs>
          <w:tab w:val="num" w:pos="5760"/>
        </w:tabs>
        <w:ind w:left="5760" w:hanging="360"/>
      </w:pPr>
    </w:lvl>
    <w:lvl w:ilvl="8" w:tplc="06706D28" w:tentative="1">
      <w:start w:val="1"/>
      <w:numFmt w:val="decimal"/>
      <w:lvlText w:val="%9."/>
      <w:lvlJc w:val="left"/>
      <w:pPr>
        <w:tabs>
          <w:tab w:val="num" w:pos="6480"/>
        </w:tabs>
        <w:ind w:left="6480" w:hanging="360"/>
      </w:pPr>
    </w:lvl>
  </w:abstractNum>
  <w:abstractNum w:abstractNumId="29" w15:restartNumberingAfterBreak="0">
    <w:nsid w:val="79C546E5"/>
    <w:multiLevelType w:val="multilevel"/>
    <w:tmpl w:val="E11469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7D5AF5"/>
    <w:multiLevelType w:val="multilevel"/>
    <w:tmpl w:val="C50CD2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E834B3A"/>
    <w:multiLevelType w:val="multilevel"/>
    <w:tmpl w:val="6A00F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lvlOverride w:ilvl="1">
      <w:lvl w:ilvl="1">
        <w:numFmt w:val="lowerLetter"/>
        <w:lvlText w:val="%2."/>
        <w:lvlJc w:val="left"/>
      </w:lvl>
    </w:lvlOverride>
  </w:num>
  <w:num w:numId="3">
    <w:abstractNumId w:val="10"/>
    <w:lvlOverride w:ilvl="1">
      <w:lvl w:ilvl="1">
        <w:numFmt w:val="lowerLetter"/>
        <w:lvlText w:val="%2."/>
        <w:lvlJc w:val="left"/>
      </w:lvl>
    </w:lvlOverride>
  </w:num>
  <w:num w:numId="4">
    <w:abstractNumId w:val="31"/>
  </w:num>
  <w:num w:numId="5">
    <w:abstractNumId w:val="31"/>
    <w:lvlOverride w:ilvl="1">
      <w:lvl w:ilvl="1">
        <w:numFmt w:val="lowerLetter"/>
        <w:lvlText w:val="%2."/>
        <w:lvlJc w:val="left"/>
      </w:lvl>
    </w:lvlOverride>
  </w:num>
  <w:num w:numId="6">
    <w:abstractNumId w:val="31"/>
    <w:lvlOverride w:ilvl="1">
      <w:lvl w:ilvl="1">
        <w:numFmt w:val="lowerLetter"/>
        <w:lvlText w:val="%2."/>
        <w:lvlJc w:val="left"/>
      </w:lvl>
    </w:lvlOverride>
  </w:num>
  <w:num w:numId="7">
    <w:abstractNumId w:val="31"/>
    <w:lvlOverride w:ilvl="1">
      <w:lvl w:ilvl="1">
        <w:numFmt w:val="lowerLetter"/>
        <w:lvlText w:val="%2."/>
        <w:lvlJc w:val="left"/>
      </w:lvl>
    </w:lvlOverride>
  </w:num>
  <w:num w:numId="8">
    <w:abstractNumId w:val="31"/>
    <w:lvlOverride w:ilvl="1">
      <w:lvl w:ilvl="1">
        <w:numFmt w:val="lowerLetter"/>
        <w:lvlText w:val="%2."/>
        <w:lvlJc w:val="left"/>
      </w:lvl>
    </w:lvlOverride>
  </w:num>
  <w:num w:numId="9">
    <w:abstractNumId w:val="31"/>
    <w:lvlOverride w:ilvl="1">
      <w:lvl w:ilvl="1">
        <w:numFmt w:val="lowerLetter"/>
        <w:lvlText w:val="%2."/>
        <w:lvlJc w:val="left"/>
      </w:lvl>
    </w:lvlOverride>
  </w:num>
  <w:num w:numId="10">
    <w:abstractNumId w:val="31"/>
    <w:lvlOverride w:ilvl="1">
      <w:lvl w:ilvl="1">
        <w:numFmt w:val="lowerLetter"/>
        <w:lvlText w:val="%2."/>
        <w:lvlJc w:val="left"/>
      </w:lvl>
    </w:lvlOverride>
  </w:num>
  <w:num w:numId="11">
    <w:abstractNumId w:val="31"/>
    <w:lvlOverride w:ilvl="1">
      <w:lvl w:ilvl="1">
        <w:numFmt w:val="lowerLetter"/>
        <w:lvlText w:val="%2."/>
        <w:lvlJc w:val="left"/>
      </w:lvl>
    </w:lvlOverride>
  </w:num>
  <w:num w:numId="12">
    <w:abstractNumId w:val="4"/>
  </w:num>
  <w:num w:numId="13">
    <w:abstractNumId w:val="17"/>
    <w:lvlOverride w:ilvl="0">
      <w:lvl w:ilvl="0">
        <w:numFmt w:val="lowerLetter"/>
        <w:lvlText w:val="%1."/>
        <w:lvlJc w:val="left"/>
      </w:lvl>
    </w:lvlOverride>
  </w:num>
  <w:num w:numId="14">
    <w:abstractNumId w:val="18"/>
  </w:num>
  <w:num w:numId="15">
    <w:abstractNumId w:val="28"/>
  </w:num>
  <w:num w:numId="16">
    <w:abstractNumId w:val="28"/>
    <w:lvlOverride w:ilvl="0">
      <w:lvl w:ilvl="0" w:tplc="8E721D7E">
        <w:numFmt w:val="lowerLetter"/>
        <w:lvlText w:val="%1."/>
        <w:lvlJc w:val="left"/>
      </w:lvl>
    </w:lvlOverride>
  </w:num>
  <w:num w:numId="17">
    <w:abstractNumId w:val="29"/>
    <w:lvlOverride w:ilvl="0">
      <w:lvl w:ilvl="0">
        <w:numFmt w:val="decimal"/>
        <w:lvlText w:val="%1."/>
        <w:lvlJc w:val="left"/>
      </w:lvl>
    </w:lvlOverride>
  </w:num>
  <w:num w:numId="18">
    <w:abstractNumId w:val="29"/>
    <w:lvlOverride w:ilvl="0">
      <w:lvl w:ilvl="0">
        <w:numFmt w:val="decimal"/>
        <w:lvlText w:val="%1."/>
        <w:lvlJc w:val="left"/>
      </w:lvl>
    </w:lvlOverride>
    <w:lvlOverride w:ilvl="1">
      <w:lvl w:ilvl="1">
        <w:numFmt w:val="lowerLetter"/>
        <w:lvlText w:val="%2."/>
        <w:lvlJc w:val="left"/>
      </w:lvl>
    </w:lvlOverride>
  </w:num>
  <w:num w:numId="19">
    <w:abstractNumId w:val="29"/>
    <w:lvlOverride w:ilvl="0">
      <w:lvl w:ilvl="0">
        <w:numFmt w:val="decimal"/>
        <w:lvlText w:val="%1."/>
        <w:lvlJc w:val="left"/>
      </w:lvl>
    </w:lvlOverride>
    <w:lvlOverride w:ilvl="1">
      <w:lvl w:ilvl="1">
        <w:numFmt w:val="lowerLetter"/>
        <w:lvlText w:val="%2."/>
        <w:lvlJc w:val="left"/>
      </w:lvl>
    </w:lvlOverride>
  </w:num>
  <w:num w:numId="20">
    <w:abstractNumId w:val="29"/>
    <w:lvlOverride w:ilvl="0">
      <w:lvl w:ilvl="0">
        <w:numFmt w:val="decimal"/>
        <w:lvlText w:val="%1."/>
        <w:lvlJc w:val="left"/>
      </w:lvl>
    </w:lvlOverride>
    <w:lvlOverride w:ilvl="1">
      <w:lvl w:ilvl="1">
        <w:numFmt w:val="lowerLetter"/>
        <w:lvlText w:val="%2."/>
        <w:lvlJc w:val="left"/>
      </w:lvl>
    </w:lvlOverride>
  </w:num>
  <w:num w:numId="21">
    <w:abstractNumId w:val="29"/>
    <w:lvlOverride w:ilvl="0">
      <w:lvl w:ilvl="0">
        <w:numFmt w:val="decimal"/>
        <w:lvlText w:val="%1."/>
        <w:lvlJc w:val="left"/>
      </w:lvl>
    </w:lvlOverride>
    <w:lvlOverride w:ilvl="1">
      <w:lvl w:ilvl="1">
        <w:numFmt w:val="lowerLetter"/>
        <w:lvlText w:val="%2."/>
        <w:lvlJc w:val="left"/>
      </w:lvl>
    </w:lvlOverride>
  </w:num>
  <w:num w:numId="22">
    <w:abstractNumId w:val="29"/>
    <w:lvlOverride w:ilvl="0">
      <w:lvl w:ilvl="0">
        <w:numFmt w:val="decimal"/>
        <w:lvlText w:val="%1."/>
        <w:lvlJc w:val="left"/>
      </w:lvl>
    </w:lvlOverride>
    <w:lvlOverride w:ilvl="1">
      <w:lvl w:ilvl="1">
        <w:numFmt w:val="lowerLetter"/>
        <w:lvlText w:val="%2."/>
        <w:lvlJc w:val="left"/>
      </w:lvl>
    </w:lvlOverride>
  </w:num>
  <w:num w:numId="23">
    <w:abstractNumId w:val="9"/>
  </w:num>
  <w:num w:numId="24">
    <w:abstractNumId w:val="7"/>
  </w:num>
  <w:num w:numId="25">
    <w:abstractNumId w:val="5"/>
  </w:num>
  <w:num w:numId="26">
    <w:abstractNumId w:val="22"/>
  </w:num>
  <w:num w:numId="27">
    <w:abstractNumId w:val="16"/>
  </w:num>
  <w:num w:numId="28">
    <w:abstractNumId w:val="19"/>
  </w:num>
  <w:num w:numId="29">
    <w:abstractNumId w:val="2"/>
  </w:num>
  <w:num w:numId="30">
    <w:abstractNumId w:val="11"/>
  </w:num>
  <w:num w:numId="31">
    <w:abstractNumId w:val="26"/>
  </w:num>
  <w:num w:numId="32">
    <w:abstractNumId w:val="3"/>
  </w:num>
  <w:num w:numId="33">
    <w:abstractNumId w:val="23"/>
  </w:num>
  <w:num w:numId="34">
    <w:abstractNumId w:val="6"/>
  </w:num>
  <w:num w:numId="35">
    <w:abstractNumId w:val="27"/>
  </w:num>
  <w:num w:numId="36">
    <w:abstractNumId w:val="30"/>
  </w:num>
  <w:num w:numId="37">
    <w:abstractNumId w:val="20"/>
  </w:num>
  <w:num w:numId="38">
    <w:abstractNumId w:val="15"/>
  </w:num>
  <w:num w:numId="39">
    <w:abstractNumId w:val="1"/>
  </w:num>
  <w:num w:numId="40">
    <w:abstractNumId w:val="24"/>
  </w:num>
  <w:num w:numId="41">
    <w:abstractNumId w:val="8"/>
  </w:num>
  <w:num w:numId="42">
    <w:abstractNumId w:val="0"/>
  </w:num>
  <w:num w:numId="43">
    <w:abstractNumId w:val="25"/>
  </w:num>
  <w:num w:numId="44">
    <w:abstractNumId w:val="21"/>
  </w:num>
  <w:num w:numId="45">
    <w:abstractNumId w:val="13"/>
  </w:num>
  <w:num w:numId="46">
    <w:abstractNumId w:val="12"/>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BD"/>
    <w:rsid w:val="001F59BD"/>
    <w:rsid w:val="00292B4E"/>
    <w:rsid w:val="0040200E"/>
    <w:rsid w:val="005C3423"/>
    <w:rsid w:val="007D5246"/>
    <w:rsid w:val="00C62882"/>
    <w:rsid w:val="00D9541D"/>
    <w:rsid w:val="00DA07E3"/>
    <w:rsid w:val="00E64E31"/>
    <w:rsid w:val="00ED058D"/>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F8"/>
  <w15:chartTrackingRefBased/>
  <w15:docId w15:val="{2CE92C10-834F-4F0E-8664-A74FD22B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59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9B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F59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F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2</cp:revision>
  <dcterms:created xsi:type="dcterms:W3CDTF">2021-02-26T20:25:00Z</dcterms:created>
  <dcterms:modified xsi:type="dcterms:W3CDTF">2021-02-26T22:27:00Z</dcterms:modified>
</cp:coreProperties>
</file>