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90C9F" w14:textId="51D8340A" w:rsidR="006A7FF7" w:rsidRDefault="006A7FF7" w:rsidP="006A7FF7">
      <w:pPr>
        <w:rPr>
          <w:b/>
          <w:bCs/>
        </w:rPr>
      </w:pPr>
      <w:r w:rsidRPr="006A7FF7">
        <w:rPr>
          <w:b/>
          <w:bCs/>
        </w:rPr>
        <w:t>Supplementary Information</w:t>
      </w:r>
      <w:r>
        <w:rPr>
          <w:b/>
          <w:bCs/>
        </w:rPr>
        <w:t>:</w:t>
      </w:r>
    </w:p>
    <w:p w14:paraId="6E5156A5" w14:textId="77777777" w:rsidR="006A7FF7" w:rsidRPr="006A7FF7" w:rsidRDefault="006A7FF7" w:rsidP="006A7FF7">
      <w:pPr>
        <w:rPr>
          <w:b/>
          <w:bCs/>
        </w:rPr>
      </w:pPr>
    </w:p>
    <w:p w14:paraId="3ADEA85A" w14:textId="52AF26C0" w:rsidR="006A7FF7" w:rsidRDefault="00BE6C72" w:rsidP="000E2E67">
      <w:pPr>
        <w:rPr>
          <w:b/>
          <w:bCs/>
        </w:rPr>
      </w:pPr>
      <w:r w:rsidRPr="00BE6C72">
        <w:rPr>
          <w:b/>
          <w:bCs/>
        </w:rPr>
        <w:t>Exploring surveillance data biases when estimating the reproduction number: with insights into subpopulation transmission of Covid-19 in England</w:t>
      </w:r>
    </w:p>
    <w:p w14:paraId="246E6294" w14:textId="77777777" w:rsidR="00BE6C72" w:rsidRDefault="00BE6C72" w:rsidP="000E2E67"/>
    <w:p w14:paraId="7B5740C6" w14:textId="62031E6F" w:rsidR="000E2E67" w:rsidRDefault="000E2E67" w:rsidP="000E2E67">
      <w:r>
        <w:t xml:space="preserve">Katharine Sherratt*, Sam Abbott*, Sophie R </w:t>
      </w:r>
      <w:proofErr w:type="spellStart"/>
      <w:r>
        <w:t>Meakin</w:t>
      </w:r>
      <w:proofErr w:type="spellEnd"/>
      <w:r>
        <w:t xml:space="preserve">, Joel Hellewell, James D Munday, Nikos </w:t>
      </w:r>
      <w:proofErr w:type="spellStart"/>
      <w:r>
        <w:t>Bosse</w:t>
      </w:r>
      <w:proofErr w:type="spellEnd"/>
      <w:r>
        <w:t>, CMMID Covid-19 working group, Mark Jit, Sebastian Funk</w:t>
      </w:r>
    </w:p>
    <w:p w14:paraId="2CB38562" w14:textId="77777777" w:rsidR="006A7FF7" w:rsidRDefault="006A7FF7" w:rsidP="000E2E67"/>
    <w:p w14:paraId="5D5CED2E" w14:textId="7E10BA25" w:rsidR="000E2E67" w:rsidRDefault="000E2E67" w:rsidP="000E2E67">
      <w:r>
        <w:t>Centre for Mathematical Modelling of Infectious Diseases, London School of Hygiene &amp; Tropical Medicine</w:t>
      </w:r>
    </w:p>
    <w:p w14:paraId="62C20A76" w14:textId="77777777" w:rsidR="006A7FF7" w:rsidRDefault="006A7FF7" w:rsidP="000E2E67"/>
    <w:p w14:paraId="74FAB482" w14:textId="2CC4FE41" w:rsidR="000E2E67" w:rsidRDefault="000E2E67" w:rsidP="000E2E67">
      <w:r>
        <w:t>* Equal contributors</w:t>
      </w:r>
    </w:p>
    <w:p w14:paraId="1C5AC9F9" w14:textId="77777777" w:rsidR="006A7FF7" w:rsidRDefault="006A7FF7" w:rsidP="000E2E67"/>
    <w:p w14:paraId="2A6AF36F" w14:textId="5CCA1E9C" w:rsidR="000E2E67" w:rsidRDefault="000E2E67" w:rsidP="000E2E67"/>
    <w:p w14:paraId="510529CD" w14:textId="4E21833A" w:rsidR="000E2E67" w:rsidRDefault="000E2E67" w:rsidP="000E2E67"/>
    <w:p w14:paraId="76B4152B" w14:textId="759D0F4C" w:rsidR="000E2E67" w:rsidRDefault="000E2E67" w:rsidP="000E2E67"/>
    <w:p w14:paraId="2560E068" w14:textId="77777777" w:rsidR="000E2E67" w:rsidRPr="00DE0029" w:rsidRDefault="000E2E67" w:rsidP="000E2E67"/>
    <w:p w14:paraId="6409C110" w14:textId="77777777" w:rsidR="000E2E67" w:rsidRPr="00DE0029" w:rsidRDefault="000E2E67" w:rsidP="000E2E67">
      <w:pPr>
        <w:rPr>
          <w:sz w:val="20"/>
          <w:szCs w:val="20"/>
        </w:rPr>
      </w:pPr>
      <w:r w:rsidRPr="00DE0029">
        <w:rPr>
          <w:noProof/>
          <w:sz w:val="20"/>
          <w:szCs w:val="20"/>
        </w:rPr>
        <w:drawing>
          <wp:inline distT="114300" distB="114300" distL="114300" distR="114300" wp14:anchorId="72445D8E" wp14:editId="43C609D2">
            <wp:extent cx="4842344" cy="341111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4732" cy="344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0778C" w14:textId="77777777" w:rsidR="000E2E67" w:rsidRPr="00DE0029" w:rsidRDefault="000E2E67" w:rsidP="000E2E67">
      <w:pPr>
        <w:rPr>
          <w:sz w:val="20"/>
          <w:szCs w:val="20"/>
        </w:rPr>
      </w:pPr>
      <w:r w:rsidRPr="00DE0029">
        <w:rPr>
          <w:i/>
          <w:sz w:val="20"/>
          <w:szCs w:val="20"/>
        </w:rPr>
        <w:t>Figure SI</w:t>
      </w:r>
      <w:r>
        <w:rPr>
          <w:i/>
          <w:sz w:val="20"/>
          <w:szCs w:val="20"/>
        </w:rPr>
        <w:t>1</w:t>
      </w:r>
      <w:r w:rsidRPr="00DE0029">
        <w:rPr>
          <w:i/>
          <w:sz w:val="20"/>
          <w:szCs w:val="20"/>
        </w:rPr>
        <w:t>. Duration of each</w:t>
      </w:r>
      <w:r>
        <w:rPr>
          <w:i/>
          <w:sz w:val="20"/>
          <w:szCs w:val="20"/>
        </w:rPr>
        <w:t xml:space="preserve"> </w:t>
      </w:r>
      <w:r w:rsidRPr="00436FAF">
        <w:rPr>
          <w:i/>
          <w:sz w:val="20"/>
          <w:szCs w:val="20"/>
        </w:rPr>
        <w:t>R</w:t>
      </w:r>
      <w:r w:rsidRPr="00436FAF">
        <w:rPr>
          <w:i/>
          <w:sz w:val="24"/>
          <w:szCs w:val="20"/>
          <w:vertAlign w:val="subscript"/>
        </w:rPr>
        <w:t>t</w:t>
      </w:r>
      <w:r>
        <w:rPr>
          <w:i/>
          <w:sz w:val="20"/>
          <w:szCs w:val="20"/>
        </w:rPr>
        <w:t xml:space="preserve"> </w:t>
      </w:r>
      <w:r w:rsidRPr="00DE0029">
        <w:rPr>
          <w:i/>
          <w:sz w:val="20"/>
          <w:szCs w:val="20"/>
        </w:rPr>
        <w:t>oscillation against the mean of data over the oscillation. Shown with fitted linear models by data source. Scatter points represent each oscillation across 7 English NHS regions.</w:t>
      </w:r>
      <w:r w:rsidRPr="00DE0029">
        <w:rPr>
          <w:sz w:val="20"/>
          <w:szCs w:val="20"/>
        </w:rPr>
        <w:t xml:space="preserve"> </w:t>
      </w:r>
      <w:r w:rsidRPr="00DE0029">
        <w:rPr>
          <w:i/>
          <w:sz w:val="20"/>
          <w:szCs w:val="20"/>
        </w:rPr>
        <w:t>For</w:t>
      </w:r>
      <w:r>
        <w:rPr>
          <w:i/>
          <w:sz w:val="20"/>
          <w:szCs w:val="20"/>
        </w:rPr>
        <w:t xml:space="preserve"> </w:t>
      </w:r>
      <w:r w:rsidRPr="00436FAF">
        <w:rPr>
          <w:i/>
          <w:sz w:val="20"/>
          <w:szCs w:val="20"/>
        </w:rPr>
        <w:t>R</w:t>
      </w:r>
      <w:r w:rsidRPr="00436FAF">
        <w:rPr>
          <w:i/>
          <w:sz w:val="24"/>
          <w:szCs w:val="20"/>
          <w:vertAlign w:val="subscript"/>
        </w:rPr>
        <w:t>t</w:t>
      </w:r>
      <w:r>
        <w:rPr>
          <w:i/>
          <w:sz w:val="20"/>
          <w:szCs w:val="20"/>
        </w:rPr>
        <w:t xml:space="preserve"> </w:t>
      </w:r>
      <w:r w:rsidRPr="00DE0029">
        <w:rPr>
          <w:i/>
          <w:sz w:val="20"/>
          <w:szCs w:val="20"/>
        </w:rPr>
        <w:t>derived from deaths, longer durations of oscillations appeared to be related to lower raw counts (coefficient: -0.88, R2 0.64), but this had a very small sample size (N oscillations = 9) and this relationship was not meaningful for cases or hospital admissions.</w:t>
      </w:r>
    </w:p>
    <w:p w14:paraId="753735E9" w14:textId="77777777" w:rsidR="000E2E67" w:rsidRPr="00DE0029" w:rsidRDefault="000E2E67" w:rsidP="000E2E67">
      <w:pPr>
        <w:spacing w:before="240" w:after="240"/>
        <w:rPr>
          <w:i/>
          <w:sz w:val="20"/>
          <w:szCs w:val="20"/>
        </w:rPr>
      </w:pPr>
    </w:p>
    <w:p w14:paraId="621C15BE" w14:textId="77777777" w:rsidR="000E2E67" w:rsidRPr="00DE0029" w:rsidRDefault="000E2E67" w:rsidP="000E2E67">
      <w:pPr>
        <w:spacing w:before="240" w:after="240"/>
        <w:jc w:val="both"/>
        <w:rPr>
          <w:i/>
          <w:sz w:val="20"/>
          <w:szCs w:val="20"/>
        </w:rPr>
      </w:pPr>
      <w:r w:rsidRPr="00DE0029">
        <w:rPr>
          <w:i/>
          <w:noProof/>
          <w:sz w:val="20"/>
          <w:szCs w:val="20"/>
        </w:rPr>
        <w:lastRenderedPageBreak/>
        <w:drawing>
          <wp:inline distT="114300" distB="114300" distL="114300" distR="114300" wp14:anchorId="1F73933C" wp14:editId="2FE42563">
            <wp:extent cx="6184900" cy="2667000"/>
            <wp:effectExtent l="0" t="0" r="635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5252" cy="2667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AFBA7" w14:textId="77777777" w:rsidR="000E2E67" w:rsidRPr="00DE0029" w:rsidRDefault="000E2E67" w:rsidP="000E2E67">
      <w:pPr>
        <w:spacing w:before="240" w:after="240"/>
        <w:jc w:val="both"/>
        <w:rPr>
          <w:i/>
          <w:sz w:val="20"/>
          <w:szCs w:val="20"/>
        </w:rPr>
      </w:pPr>
      <w:r w:rsidRPr="00DE0029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SI</w:t>
      </w:r>
      <w:r w:rsidRPr="00DE0029">
        <w:rPr>
          <w:i/>
          <w:sz w:val="20"/>
          <w:szCs w:val="20"/>
        </w:rPr>
        <w:t>2. Weekly percentage of cases in England by age, among all test-positive cases (A) and newly diagnosed hospital admissions (B).</w:t>
      </w:r>
    </w:p>
    <w:p w14:paraId="0B152983" w14:textId="77777777" w:rsidR="000E2E67" w:rsidRPr="00DE0029" w:rsidRDefault="000E2E67" w:rsidP="000E2E67">
      <w:pPr>
        <w:spacing w:before="240" w:after="240"/>
        <w:jc w:val="both"/>
        <w:rPr>
          <w:i/>
          <w:sz w:val="20"/>
          <w:szCs w:val="20"/>
        </w:rPr>
      </w:pPr>
      <w:r w:rsidRPr="00DE0029">
        <w:rPr>
          <w:i/>
          <w:noProof/>
          <w:sz w:val="20"/>
          <w:szCs w:val="20"/>
        </w:rPr>
        <w:drawing>
          <wp:inline distT="114300" distB="114300" distL="114300" distR="114300" wp14:anchorId="5E7B1078" wp14:editId="3233ACB4">
            <wp:extent cx="5731200" cy="34417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F2953" w14:textId="5B4C2BA2" w:rsidR="000E2E67" w:rsidRDefault="000E2E67" w:rsidP="000E2E67">
      <w:pPr>
        <w:spacing w:before="240" w:after="240"/>
        <w:jc w:val="both"/>
        <w:rPr>
          <w:i/>
          <w:sz w:val="20"/>
          <w:szCs w:val="20"/>
        </w:rPr>
      </w:pPr>
      <w:r w:rsidRPr="00DE0029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SI</w:t>
      </w:r>
      <w:r w:rsidRPr="00DE0029">
        <w:rPr>
          <w:i/>
          <w:sz w:val="20"/>
          <w:szCs w:val="20"/>
        </w:rPr>
        <w:t xml:space="preserve">3. Deaths in all settings by date of death, and deaths in care homes by date of notification to Clinical Quality Commission, shown by English NHS region, April to </w:t>
      </w:r>
      <w:r>
        <w:rPr>
          <w:i/>
          <w:sz w:val="20"/>
          <w:szCs w:val="20"/>
        </w:rPr>
        <w:t>August</w:t>
      </w:r>
      <w:r w:rsidRPr="00DE0029">
        <w:rPr>
          <w:i/>
          <w:sz w:val="20"/>
          <w:szCs w:val="20"/>
        </w:rPr>
        <w:t xml:space="preserve"> 2020. Date of notification is typically 2-3 days after the date of death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fldChar w:fldCharType="begin"/>
      </w:r>
      <w:r>
        <w:rPr>
          <w:i/>
          <w:sz w:val="20"/>
          <w:szCs w:val="20"/>
        </w:rPr>
        <w:instrText xml:space="preserve"> ADDIN ZOTERO_ITEM CSL_CITATION {"citationID":"a1brju9fe7j","properties":{"formattedCitation":"[22]","plainCitation":"[22]","noteIndex":0},"citationItems":[{"id":821,"uris":["http://zotero.org/users/5456110/items/HTG7738J"],"uri":["http://zotero.org/users/5456110/items/HTG7738J"],"itemData":{"id":821,"type":"report","title":"Number of deaths in care homes notified to the Care Quality Commission, England","URL":"https://www.ons.gov.uk/peoplepopulationandcommunity/birthsdeathsandmarriages/deaths/datasets/numberofdeathsincarehomesnotifiedtothecarequalitycommissionengland","author":[{"literal":"Office for National Statistics"}],"accessed":{"date-parts":[["2020",10,15]]},"issued":{"date-parts":[["2020"]]}}}],"schema":"https://github.com/citation-style-language/schema/raw/master/csl-citation.json"} </w:instrText>
      </w:r>
      <w:r>
        <w:rPr>
          <w:i/>
          <w:sz w:val="20"/>
          <w:szCs w:val="20"/>
        </w:rPr>
        <w:fldChar w:fldCharType="separate"/>
      </w:r>
      <w:r w:rsidRPr="00055E86">
        <w:rPr>
          <w:sz w:val="20"/>
          <w:szCs w:val="24"/>
        </w:rPr>
        <w:t>[22]</w:t>
      </w:r>
      <w:r>
        <w:rPr>
          <w:i/>
          <w:sz w:val="20"/>
          <w:szCs w:val="20"/>
        </w:rPr>
        <w:fldChar w:fldCharType="end"/>
      </w:r>
      <w:r w:rsidRPr="00DE0029">
        <w:rPr>
          <w:i/>
          <w:sz w:val="20"/>
          <w:szCs w:val="20"/>
        </w:rPr>
        <w:t>.  Counts are shown as a seven-day moving average. Care homes data reported from April 2020.</w:t>
      </w:r>
    </w:p>
    <w:p w14:paraId="30113C8E" w14:textId="77777777" w:rsidR="000E2E67" w:rsidRDefault="000E2E67" w:rsidP="000E2E67">
      <w:pPr>
        <w:rPr>
          <w:i/>
          <w:sz w:val="20"/>
          <w:szCs w:val="20"/>
        </w:rPr>
        <w:sectPr w:rsidR="000E2E67">
          <w:head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pPr w:leftFromText="180" w:rightFromText="180" w:vertAnchor="page" w:horzAnchor="margin" w:tblpXSpec="center" w:tblpY="704"/>
        <w:tblW w:w="14908" w:type="dxa"/>
        <w:tblLook w:val="04A0" w:firstRow="1" w:lastRow="0" w:firstColumn="1" w:lastColumn="0" w:noHBand="0" w:noVBand="1"/>
      </w:tblPr>
      <w:tblGrid>
        <w:gridCol w:w="1165"/>
        <w:gridCol w:w="2476"/>
        <w:gridCol w:w="939"/>
        <w:gridCol w:w="1747"/>
        <w:gridCol w:w="2621"/>
        <w:gridCol w:w="2622"/>
        <w:gridCol w:w="1601"/>
        <w:gridCol w:w="1747"/>
      </w:tblGrid>
      <w:tr w:rsidR="000E2E67" w:rsidRPr="00E909F3" w14:paraId="063AA8C1" w14:textId="77777777" w:rsidTr="00F4558A">
        <w:trPr>
          <w:trHeight w:val="280"/>
        </w:trPr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CE08A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lastRenderedPageBreak/>
              <w:t>Region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ED684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Data source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for Rt estimation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884B43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Earliest date median Rt &lt;1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C23DB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Median Rt after first wave* (90% CrI)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B84C39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Minimum median Rt after first wave* (date, median [90%CrI])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0DB02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Maximum median Rt after first wave* (date, median [90%CrI])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EAD53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Number of days where median Rt crossed series median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C1B92" w14:textId="77777777" w:rsidR="000E2E67" w:rsidRPr="00E909F3" w:rsidRDefault="000E2E67" w:rsidP="00F4558A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Mean number of days between troughs** (mean, 95% CI)</w:t>
            </w:r>
          </w:p>
        </w:tc>
      </w:tr>
      <w:tr w:rsidR="000E2E67" w:rsidRPr="00E909F3" w14:paraId="3A88B181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13689935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England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A365C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4326D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01 Apr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F529E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0.97 (0.85-1.11)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15B2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23 May (0.83 [0.78-0.89])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1D1C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(1.37 [1.31-1.44])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8F857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BEB8F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32 (21-44, n=4)</w:t>
            </w:r>
          </w:p>
        </w:tc>
      </w:tr>
      <w:tr w:rsidR="000E2E67" w:rsidRPr="00E909F3" w14:paraId="5A8EB8E3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290E72B6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8995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1EE52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30 Mar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0ADC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 (0.81-0.98)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7C460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08 Apr (0.75 [0.7-0.79])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54DDF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(1.24 [1.17-1.31])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94A49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3D067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(24-29, n=3)</w:t>
            </w:r>
          </w:p>
        </w:tc>
      </w:tr>
      <w:tr w:rsidR="000E2E67" w:rsidRPr="00E909F3" w14:paraId="2D4A8C87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057C285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E2AEE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51B24B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31 Mar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31CC2C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0.86 (0.8-0.98)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72A786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Jun (0.82 [0.76-0.89])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919CF7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19 Aug (1.06 [0.97-1.14])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53F8F0A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5F4E45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40 (n=1)</w:t>
            </w:r>
          </w:p>
        </w:tc>
      </w:tr>
      <w:tr w:rsidR="000E2E67" w:rsidRPr="00E909F3" w14:paraId="3C3A8A5A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1FFDDA42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North East and Yorkshire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AC6D4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9A9D56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22 Apr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2E2C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0.96 (0.82-1.13)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2D3E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22 Jun (0.79 [0.73-0.85])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8C03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(1.49 [1.4-1.58])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35374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54F9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26 (23-29, n=5)</w:t>
            </w:r>
          </w:p>
        </w:tc>
      </w:tr>
      <w:tr w:rsidR="000E2E67" w:rsidRPr="00E909F3" w14:paraId="583B4E32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2CDA7158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AFDDB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99FF0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01 Apr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E98ACF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0.89 (0.82-1.01)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7F121F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09 Apr (0.81 [0.76-0.87])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710E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(1.27 [1.16-1.38])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FEEAB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3E8EA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31 (23-39, n=4)</w:t>
            </w:r>
          </w:p>
        </w:tc>
      </w:tr>
      <w:tr w:rsidR="000E2E67" w:rsidRPr="00E909F3" w14:paraId="22D60A78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633B14C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5A858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B81C00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07 Apr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16F24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0.86 (0.77-1.02)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599C8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04 Jun (0.78 [0.72-0.85])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D6E83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19 Aug (1.11 [1-1.21])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978BE1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DE00E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NA</w:t>
            </w:r>
          </w:p>
        </w:tc>
      </w:tr>
      <w:tr w:rsidR="000E2E67" w:rsidRPr="00E909F3" w14:paraId="5B68E941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085C61EF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North West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5B41C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B8F68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05 Apr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95E9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0.94 (0.85-1.19)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E066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26 May (0.82 [0.76-0.87])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79089E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(1.45 [1.37-1.54])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C75C2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E5D9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34 (22-46, n=3)</w:t>
            </w:r>
          </w:p>
        </w:tc>
      </w:tr>
      <w:tr w:rsidR="000E2E67" w:rsidRPr="00E909F3" w14:paraId="0F8B00C6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62C9516E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5DB99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67956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01 Apr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9C2A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0.91 (0.74-1.09)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CE4B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25 Jun (0.67 [0.6-0.75])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F4A3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(1.33 [1.22-1.44])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E5AD2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F116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38 (30-47, n=3)</w:t>
            </w:r>
          </w:p>
        </w:tc>
      </w:tr>
      <w:tr w:rsidR="000E2E67" w:rsidRPr="00E909F3" w14:paraId="052ECF34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2A95E81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9B6C02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8B46D7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03 Apr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29963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0.88 (0.8-1.02)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73F22D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15 Jun (0.81 [0.73-0.88])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1E857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19 Aug (1.08 [0.97-1.17])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F3B76C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D067E6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NA</w:t>
            </w:r>
          </w:p>
        </w:tc>
      </w:tr>
      <w:tr w:rsidR="000E2E67" w:rsidRPr="00E909F3" w14:paraId="2648113A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6FCFC00D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Midlands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79B7A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44867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29 Mar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A49E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0.96 (0.84-1.17)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2A68C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23 May (0.82 [0.75-0.88])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C0B1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(1.51 [1.41-1.61])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28770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2A6D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(25-28, n=5)</w:t>
            </w:r>
          </w:p>
        </w:tc>
      </w:tr>
      <w:tr w:rsidR="000E2E67" w:rsidRPr="00E909F3" w14:paraId="56147A77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35C9A69A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3532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A6B13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29 Mar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A7C51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0.91 (0.76-1.03)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FDCB0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07 Apr (0.7 [0.64-0.75])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1F45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(1.2 [1.11-1.31])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70150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A601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26 (22-30, n=4)</w:t>
            </w:r>
          </w:p>
        </w:tc>
      </w:tr>
      <w:tr w:rsidR="000E2E67" w:rsidRPr="00E909F3" w14:paraId="35C6016B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AAAFE98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6057B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3D079D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31 Mar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59FA4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0.86 (0.78-0.99)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2A93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24 Jun (0.78 [0.71-0.85])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828AC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19 Aug (1.11 [1.01-1.23])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11FDE9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46876C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33 (12-54, n=2)</w:t>
            </w:r>
          </w:p>
        </w:tc>
      </w:tr>
      <w:tr w:rsidR="000E2E67" w:rsidRPr="00E909F3" w14:paraId="510887BA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08312EC8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East of England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C5804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9757B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02 Apr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CDC55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0.96 (0.82-1.15)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ED6AE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09 May (0.8 [0.74-0.86])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A87A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22 Aug (1.23 [1.15-1.31])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27E1C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CCE8B6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36 (34-38, n=3)</w:t>
            </w:r>
          </w:p>
        </w:tc>
      </w:tr>
      <w:tr w:rsidR="000E2E67" w:rsidRPr="00E909F3" w14:paraId="35A11EAD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4F4BBCEA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B4EC0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8EB41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02 Apr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5C561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0.89 (0.81-0.99)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1C685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28 Jul (0.8 [0.71-0.9])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9C391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(1.11 [0.99-1.24])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0770E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424B5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36 (28-45, n=3)</w:t>
            </w:r>
          </w:p>
        </w:tc>
      </w:tr>
      <w:tr w:rsidR="000E2E67" w:rsidRPr="00E909F3" w14:paraId="0B7BEC9E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122B47C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72A029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7717B0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02 Apr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D4BBA0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0.85 (0.78-0.94)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2ED4E0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06 Jul (0.8 [0.71-0.88])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A9507D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02 Apr (0.99 [0.93-1.05])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81D7AC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3BE2E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38 (24-51, n=2)</w:t>
            </w:r>
          </w:p>
        </w:tc>
      </w:tr>
      <w:tr w:rsidR="000E2E67" w:rsidRPr="00E909F3" w14:paraId="3D44B27D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2C312E2F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London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5912B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F257E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29 Mar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2E2AD0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0.98 (0.77-1.15)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D57CF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07 May (0.74 [0.68-0.8])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E8FC5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25 Aug (1.2 [1.13-1.27])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2E3DDF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894E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35 (27-43, n=2)</w:t>
            </w:r>
          </w:p>
        </w:tc>
      </w:tr>
      <w:tr w:rsidR="000E2E67" w:rsidRPr="00E909F3" w14:paraId="2C4E6B74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0F804014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6EA80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F02EB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29 Mar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FEA15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0.89 (0.73-1.04)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3F30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08 Apr (0.67 [0.6-0.73])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E633A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(1.23 [1.12-1.36])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17733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68BCF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47 (16-78, n=2)</w:t>
            </w:r>
          </w:p>
        </w:tc>
      </w:tr>
      <w:tr w:rsidR="000E2E67" w:rsidRPr="00E909F3" w14:paraId="02B1C3BC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77D0027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BCF27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C6F617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26 Mar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DBB1FD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0.84 (0.7-1.02)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48046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13 Apr (0.68 [0.61-0.75])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DD1CC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19 Aug (1.07 [0.91-1.24])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A533AB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BBF4F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41 (36-46, n=2)</w:t>
            </w:r>
          </w:p>
        </w:tc>
      </w:tr>
      <w:tr w:rsidR="000E2E67" w:rsidRPr="00E909F3" w14:paraId="6898C053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78AEBD83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South East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94FF6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D8D93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05 Apr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D07E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0.96 (0.82-1.15)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44DE1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28 May (0.82 [0.75-0.87])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C9657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22 Aug (1.2 [1.14-1.27])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06D22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78FE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35 (19-51, n=3)</w:t>
            </w:r>
          </w:p>
        </w:tc>
      </w:tr>
      <w:tr w:rsidR="000E2E67" w:rsidRPr="00E909F3" w14:paraId="7E8C3635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14:paraId="47171275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BF855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E2A8F3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01 Apr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8447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0.89 (0.81-1.02)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7B9C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31 May (0.8 [0.73-0.87])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E459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(1.11 [1-1.21])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03394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7956D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29 (23-34, n=3)</w:t>
            </w:r>
          </w:p>
        </w:tc>
      </w:tr>
      <w:tr w:rsidR="000E2E67" w:rsidRPr="00E909F3" w14:paraId="0153647E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408979F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D9F14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BCA6D1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02 Apr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B5896FD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0.86 (0.79-0.95)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A5338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25 May (0.82 [0.76-0.9])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B60CFE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19 Aug (0.99 [0.87-1.12])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1D5565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61FDD4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48 (32-64, n=2)</w:t>
            </w:r>
          </w:p>
        </w:tc>
      </w:tr>
      <w:tr w:rsidR="000E2E67" w:rsidRPr="00E909F3" w14:paraId="528A0A28" w14:textId="77777777" w:rsidTr="00F4558A">
        <w:trPr>
          <w:trHeight w:val="280"/>
        </w:trPr>
        <w:tc>
          <w:tcPr>
            <w:tcW w:w="116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7742EB45" w14:textId="77777777" w:rsidR="000E2E67" w:rsidRPr="00E909F3" w:rsidRDefault="000E2E67" w:rsidP="00F4558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South West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AA6E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Test-positive cases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F26C9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06 Apr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FCB4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1.02 (0.73-1.18)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64FF7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02 Jun (0.66 [0.58-0.74])</w:t>
            </w:r>
          </w:p>
        </w:tc>
        <w:tc>
          <w:tcPr>
            <w:tcW w:w="2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68328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16 Jul (1.21 [1.12-1.3])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279DC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9CF1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39 (21-58, n=3)</w:t>
            </w:r>
          </w:p>
        </w:tc>
      </w:tr>
      <w:tr w:rsidR="000E2E67" w:rsidRPr="00E909F3" w14:paraId="0231A7B9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4B47CD9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3BEA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Hospital admissions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56ADB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01 Apr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12E4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0.9 (0.76-1.02)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9F22C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03 Jun (0.7 [0.61-0.78])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C76CD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27 Aug (1.02 [0.91-1.18])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650C5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5552E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44 (28-59, n=2)</w:t>
            </w:r>
          </w:p>
        </w:tc>
      </w:tr>
      <w:tr w:rsidR="000E2E67" w:rsidRPr="00E909F3" w14:paraId="57480DBC" w14:textId="77777777" w:rsidTr="00F4558A">
        <w:trPr>
          <w:trHeight w:val="280"/>
        </w:trPr>
        <w:tc>
          <w:tcPr>
            <w:tcW w:w="1165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C1343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CDE0" w14:textId="77777777" w:rsidR="000E2E67" w:rsidRPr="00E909F3" w:rsidRDefault="000E2E67" w:rsidP="00F4558A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E909F3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Deaths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607BC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04 Apr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3666E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0.85 (0.72-1.06)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D471B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03 Jun (0.72 [0.62-0.81])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D92AE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07 Aug (1.05 [0.9-1.24])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0D5B5" w14:textId="77777777" w:rsidR="000E2E67" w:rsidRPr="00E909F3" w:rsidRDefault="000E2E67" w:rsidP="00F4558A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358F2" w14:textId="77777777" w:rsidR="000E2E67" w:rsidRPr="00E909F3" w:rsidRDefault="000E2E67" w:rsidP="00F4558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E909F3">
              <w:rPr>
                <w:color w:val="000000"/>
                <w:sz w:val="20"/>
                <w:szCs w:val="20"/>
              </w:rPr>
              <w:t>43 (n=1)</w:t>
            </w:r>
          </w:p>
        </w:tc>
      </w:tr>
    </w:tbl>
    <w:p w14:paraId="0243CCA1" w14:textId="77777777" w:rsidR="000E2E67" w:rsidRDefault="000E2E67" w:rsidP="000E2E67">
      <w:pPr>
        <w:rPr>
          <w:i/>
          <w:sz w:val="20"/>
          <w:szCs w:val="20"/>
        </w:rPr>
      </w:pPr>
    </w:p>
    <w:p w14:paraId="7E0DDC1B" w14:textId="77777777" w:rsidR="000E2E67" w:rsidRPr="00E909F3" w:rsidRDefault="000E2E67" w:rsidP="000E2E67">
      <w:pPr>
        <w:rPr>
          <w:i/>
          <w:sz w:val="20"/>
          <w:szCs w:val="20"/>
        </w:rPr>
      </w:pPr>
      <w:r w:rsidRPr="00E909F3">
        <w:rPr>
          <w:i/>
          <w:sz w:val="20"/>
          <w:szCs w:val="20"/>
        </w:rPr>
        <w:t>Table SI1. Key summary statistics for R</w:t>
      </w:r>
      <w:r w:rsidRPr="00E909F3">
        <w:rPr>
          <w:i/>
          <w:sz w:val="20"/>
          <w:szCs w:val="20"/>
          <w:vertAlign w:val="subscript"/>
        </w:rPr>
        <w:t>t</w:t>
      </w:r>
      <w:r w:rsidRPr="00E909F3">
        <w:rPr>
          <w:i/>
          <w:sz w:val="20"/>
          <w:szCs w:val="20"/>
        </w:rPr>
        <w:t xml:space="preserve"> from when R</w:t>
      </w:r>
      <w:r w:rsidRPr="00E909F3">
        <w:rPr>
          <w:i/>
          <w:sz w:val="20"/>
          <w:szCs w:val="20"/>
          <w:vertAlign w:val="subscript"/>
        </w:rPr>
        <w:t>t</w:t>
      </w:r>
      <w:r w:rsidRPr="00E909F3">
        <w:rPr>
          <w:i/>
          <w:sz w:val="20"/>
          <w:szCs w:val="20"/>
        </w:rPr>
        <w:t xml:space="preserve"> crossed 1, indicating the end of the first wave of the epidemic, to the most recent estimate. 90%CrI = credible interval (quantiles around median); 95%CI = confidence interval (standard error around mean)</w:t>
      </w:r>
    </w:p>
    <w:p w14:paraId="74C1EAAC" w14:textId="77777777" w:rsidR="000E2E67" w:rsidRPr="00E909F3" w:rsidRDefault="000E2E67" w:rsidP="000E2E67">
      <w:pPr>
        <w:rPr>
          <w:i/>
          <w:sz w:val="20"/>
          <w:szCs w:val="20"/>
        </w:rPr>
      </w:pPr>
      <w:r w:rsidRPr="00E909F3">
        <w:rPr>
          <w:i/>
          <w:sz w:val="20"/>
          <w:szCs w:val="20"/>
        </w:rPr>
        <w:t>*End of first wave = earliest date Rt &lt;1. Last estimate of Rt from cases and admissions: 28th August, from deaths: 19th August 2020</w:t>
      </w:r>
    </w:p>
    <w:p w14:paraId="4E54CAC9" w14:textId="77777777" w:rsidR="000E2E67" w:rsidRPr="00E909F3" w:rsidRDefault="000E2E67" w:rsidP="000E2E67">
      <w:pPr>
        <w:rPr>
          <w:sz w:val="20"/>
          <w:szCs w:val="20"/>
        </w:rPr>
      </w:pPr>
      <w:r w:rsidRPr="00E909F3">
        <w:rPr>
          <w:i/>
          <w:sz w:val="20"/>
          <w:szCs w:val="20"/>
        </w:rPr>
        <w:t>**Troughs defined as local minima within a sequential fall and rise in the median Rt estimate</w:t>
      </w:r>
    </w:p>
    <w:p w14:paraId="25F45611" w14:textId="77777777" w:rsidR="000E2E67" w:rsidRPr="00E909F3" w:rsidRDefault="000E2E67" w:rsidP="000E2E67">
      <w:pPr>
        <w:rPr>
          <w:sz w:val="20"/>
          <w:szCs w:val="20"/>
        </w:rPr>
      </w:pPr>
    </w:p>
    <w:p w14:paraId="299683DF" w14:textId="77777777" w:rsidR="000E2E67" w:rsidRDefault="000E2E67" w:rsidP="000E2E67">
      <w:pPr>
        <w:jc w:val="both"/>
        <w:rPr>
          <w:sz w:val="20"/>
          <w:szCs w:val="20"/>
        </w:rPr>
        <w:sectPr w:rsidR="000E2E67" w:rsidSect="00710A60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TableGrid"/>
        <w:tblW w:w="9547" w:type="dxa"/>
        <w:tblLook w:val="04A0" w:firstRow="1" w:lastRow="0" w:firstColumn="1" w:lastColumn="0" w:noHBand="0" w:noVBand="1"/>
      </w:tblPr>
      <w:tblGrid>
        <w:gridCol w:w="3424"/>
        <w:gridCol w:w="1857"/>
        <w:gridCol w:w="2580"/>
        <w:gridCol w:w="1686"/>
      </w:tblGrid>
      <w:tr w:rsidR="000E2E67" w14:paraId="2EAB28B1" w14:textId="77777777" w:rsidTr="00F4558A">
        <w:trPr>
          <w:trHeight w:val="959"/>
        </w:trPr>
        <w:tc>
          <w:tcPr>
            <w:tcW w:w="3424" w:type="dxa"/>
            <w:tcBorders>
              <w:bottom w:val="nil"/>
              <w:right w:val="nil"/>
            </w:tcBorders>
            <w:vAlign w:val="center"/>
          </w:tcPr>
          <w:p w14:paraId="0E4DD69C" w14:textId="77777777" w:rsidR="000E2E67" w:rsidRPr="002971CF" w:rsidRDefault="000E2E67" w:rsidP="00F4558A">
            <w:pPr>
              <w:jc w:val="center"/>
              <w:rPr>
                <w:b/>
                <w:bCs/>
                <w:sz w:val="20"/>
                <w:szCs w:val="20"/>
              </w:rPr>
            </w:pPr>
            <w:r w:rsidRPr="002971CF">
              <w:rPr>
                <w:b/>
                <w:bCs/>
                <w:sz w:val="20"/>
                <w:szCs w:val="20"/>
              </w:rPr>
              <w:lastRenderedPageBreak/>
              <w:t>Effect on</w:t>
            </w:r>
            <w:r>
              <w:rPr>
                <w:b/>
                <w:bCs/>
                <w:sz w:val="20"/>
                <w:szCs w:val="20"/>
              </w:rPr>
              <w:t xml:space="preserve"> regional average</w:t>
            </w:r>
            <w:r w:rsidRPr="002971CF">
              <w:rPr>
                <w:b/>
                <w:bCs/>
                <w:sz w:val="20"/>
                <w:szCs w:val="20"/>
              </w:rPr>
              <w:t xml:space="preserve"> duration </w:t>
            </w:r>
            <w:r>
              <w:rPr>
                <w:b/>
                <w:bCs/>
                <w:sz w:val="20"/>
                <w:szCs w:val="20"/>
              </w:rPr>
              <w:t>between</w:t>
            </w:r>
            <w:r w:rsidRPr="002971CF">
              <w:rPr>
                <w:b/>
                <w:bCs/>
                <w:sz w:val="20"/>
                <w:szCs w:val="20"/>
              </w:rPr>
              <w:t xml:space="preserve"> troughs in Rt</w:t>
            </w:r>
          </w:p>
        </w:tc>
        <w:tc>
          <w:tcPr>
            <w:tcW w:w="6123" w:type="dxa"/>
            <w:gridSpan w:val="3"/>
            <w:tcBorders>
              <w:left w:val="nil"/>
              <w:bottom w:val="nil"/>
            </w:tcBorders>
            <w:vAlign w:val="center"/>
          </w:tcPr>
          <w:p w14:paraId="5B2ED4EB" w14:textId="77777777" w:rsidR="000E2E67" w:rsidRPr="002971CF" w:rsidRDefault="000E2E67" w:rsidP="00F4558A">
            <w:pPr>
              <w:jc w:val="center"/>
              <w:rPr>
                <w:b/>
                <w:bCs/>
                <w:sz w:val="20"/>
                <w:szCs w:val="20"/>
              </w:rPr>
            </w:pPr>
            <w:r w:rsidRPr="002971CF">
              <w:rPr>
                <w:b/>
                <w:bCs/>
                <w:sz w:val="20"/>
                <w:szCs w:val="20"/>
              </w:rPr>
              <w:t>Influence of % test positive</w:t>
            </w:r>
          </w:p>
        </w:tc>
      </w:tr>
      <w:tr w:rsidR="000E2E67" w14:paraId="4C289D90" w14:textId="77777777" w:rsidTr="00F4558A">
        <w:trPr>
          <w:trHeight w:val="327"/>
        </w:trPr>
        <w:tc>
          <w:tcPr>
            <w:tcW w:w="3424" w:type="dxa"/>
            <w:tcBorders>
              <w:top w:val="nil"/>
              <w:bottom w:val="single" w:sz="4" w:space="0" w:color="auto"/>
              <w:right w:val="nil"/>
            </w:tcBorders>
          </w:tcPr>
          <w:p w14:paraId="7744E8A9" w14:textId="77777777" w:rsidR="000E2E67" w:rsidRPr="00D00D8B" w:rsidRDefault="000E2E67" w:rsidP="00F4558A">
            <w:pPr>
              <w:jc w:val="center"/>
              <w:rPr>
                <w:sz w:val="20"/>
                <w:szCs w:val="20"/>
              </w:rPr>
            </w:pPr>
            <w:r w:rsidRPr="00D00D8B">
              <w:rPr>
                <w:sz w:val="20"/>
                <w:szCs w:val="20"/>
              </w:rPr>
              <w:t>Source of Rt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9E9DD9" w14:textId="77777777" w:rsidR="000E2E67" w:rsidRPr="00D00D8B" w:rsidRDefault="000E2E67" w:rsidP="00F4558A">
            <w:pPr>
              <w:jc w:val="center"/>
              <w:rPr>
                <w:sz w:val="20"/>
                <w:szCs w:val="20"/>
              </w:rPr>
            </w:pPr>
            <w:r w:rsidRPr="00D00D8B">
              <w:rPr>
                <w:sz w:val="20"/>
                <w:szCs w:val="20"/>
              </w:rPr>
              <w:t>Intercept</w:t>
            </w:r>
            <w:r>
              <w:rPr>
                <w:sz w:val="20"/>
                <w:szCs w:val="20"/>
              </w:rPr>
              <w:t xml:space="preserve"> (95% CI)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A4A73" w14:textId="77777777" w:rsidR="000E2E67" w:rsidRPr="00D00D8B" w:rsidRDefault="000E2E67" w:rsidP="00F4558A">
            <w:pPr>
              <w:jc w:val="center"/>
              <w:rPr>
                <w:sz w:val="20"/>
                <w:szCs w:val="20"/>
              </w:rPr>
            </w:pPr>
            <w:r w:rsidRPr="00D00D8B">
              <w:rPr>
                <w:sz w:val="20"/>
                <w:szCs w:val="20"/>
              </w:rPr>
              <w:t>Coefficient (95% CI)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</w:tcBorders>
          </w:tcPr>
          <w:p w14:paraId="1CA6F599" w14:textId="77777777" w:rsidR="000E2E67" w:rsidRPr="00D00D8B" w:rsidRDefault="000E2E67" w:rsidP="00F4558A">
            <w:pPr>
              <w:jc w:val="center"/>
              <w:rPr>
                <w:sz w:val="20"/>
                <w:szCs w:val="20"/>
              </w:rPr>
            </w:pPr>
            <w:r w:rsidRPr="00D00D8B">
              <w:rPr>
                <w:sz w:val="20"/>
                <w:szCs w:val="20"/>
              </w:rPr>
              <w:t>Adjusted R</w:t>
            </w:r>
            <w:r w:rsidRPr="00D00D8B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0E2E67" w14:paraId="33375282" w14:textId="77777777" w:rsidTr="00F4558A">
        <w:trPr>
          <w:trHeight w:val="336"/>
        </w:trPr>
        <w:tc>
          <w:tcPr>
            <w:tcW w:w="3424" w:type="dxa"/>
            <w:tcBorders>
              <w:bottom w:val="nil"/>
              <w:right w:val="nil"/>
            </w:tcBorders>
          </w:tcPr>
          <w:p w14:paraId="4D3172E1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positive cases</w:t>
            </w:r>
          </w:p>
        </w:tc>
        <w:tc>
          <w:tcPr>
            <w:tcW w:w="1857" w:type="dxa"/>
            <w:tcBorders>
              <w:left w:val="nil"/>
              <w:bottom w:val="nil"/>
              <w:right w:val="nil"/>
            </w:tcBorders>
          </w:tcPr>
          <w:p w14:paraId="7D110C35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(36.7 to 42)</w:t>
            </w:r>
          </w:p>
        </w:tc>
        <w:tc>
          <w:tcPr>
            <w:tcW w:w="2580" w:type="dxa"/>
            <w:tcBorders>
              <w:left w:val="nil"/>
              <w:bottom w:val="nil"/>
              <w:right w:val="nil"/>
            </w:tcBorders>
          </w:tcPr>
          <w:p w14:paraId="120E51BB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-2.2 (-2.8 to -1.4)</w:t>
            </w:r>
          </w:p>
        </w:tc>
        <w:tc>
          <w:tcPr>
            <w:tcW w:w="1685" w:type="dxa"/>
            <w:tcBorders>
              <w:left w:val="nil"/>
              <w:bottom w:val="nil"/>
            </w:tcBorders>
          </w:tcPr>
          <w:p w14:paraId="4A622BCE" w14:textId="77777777" w:rsidR="000E2E67" w:rsidRPr="00645A1C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0.87 (</w:t>
            </w:r>
            <w:r>
              <w:rPr>
                <w:i/>
                <w:iCs/>
                <w:sz w:val="20"/>
                <w:szCs w:val="20"/>
              </w:rPr>
              <w:t xml:space="preserve">p </w:t>
            </w:r>
            <w:r>
              <w:rPr>
                <w:sz w:val="20"/>
                <w:szCs w:val="20"/>
              </w:rPr>
              <w:t>&lt;0.001)</w:t>
            </w:r>
          </w:p>
        </w:tc>
      </w:tr>
      <w:tr w:rsidR="000E2E67" w14:paraId="6D04037D" w14:textId="77777777" w:rsidTr="00F4558A">
        <w:trPr>
          <w:trHeight w:val="353"/>
        </w:trPr>
        <w:tc>
          <w:tcPr>
            <w:tcW w:w="3424" w:type="dxa"/>
            <w:tcBorders>
              <w:top w:val="nil"/>
              <w:bottom w:val="nil"/>
              <w:right w:val="nil"/>
            </w:tcBorders>
          </w:tcPr>
          <w:p w14:paraId="6C650271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admissions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14:paraId="7A1B923F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 (29.5 to 52)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0EC67BFE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-2.1 (-5.5 to 1.2)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</w:tcBorders>
          </w:tcPr>
          <w:p w14:paraId="6F8F718C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 (</w:t>
            </w:r>
            <w:r w:rsidRPr="00645A1C">
              <w:rPr>
                <w:i/>
                <w:iCs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0.2)</w:t>
            </w:r>
          </w:p>
        </w:tc>
      </w:tr>
      <w:tr w:rsidR="000E2E67" w14:paraId="1B18F935" w14:textId="77777777" w:rsidTr="00F4558A">
        <w:trPr>
          <w:trHeight w:val="335"/>
        </w:trPr>
        <w:tc>
          <w:tcPr>
            <w:tcW w:w="3424" w:type="dxa"/>
            <w:tcBorders>
              <w:top w:val="nil"/>
              <w:right w:val="nil"/>
            </w:tcBorders>
          </w:tcPr>
          <w:p w14:paraId="4E06C786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Deaths</w:t>
            </w:r>
          </w:p>
        </w:tc>
        <w:tc>
          <w:tcPr>
            <w:tcW w:w="1857" w:type="dxa"/>
            <w:tcBorders>
              <w:top w:val="nil"/>
              <w:left w:val="nil"/>
              <w:right w:val="nil"/>
            </w:tcBorders>
          </w:tcPr>
          <w:p w14:paraId="752135EB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45.4 (</w:t>
            </w:r>
            <w:r w:rsidRPr="002971CF">
              <w:rPr>
                <w:sz w:val="20"/>
                <w:szCs w:val="20"/>
              </w:rPr>
              <w:t>38</w:t>
            </w:r>
            <w:r>
              <w:rPr>
                <w:sz w:val="20"/>
                <w:szCs w:val="20"/>
              </w:rPr>
              <w:t xml:space="preserve"> to </w:t>
            </w:r>
            <w:r w:rsidRPr="002971CF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2.5)</w:t>
            </w:r>
          </w:p>
        </w:tc>
        <w:tc>
          <w:tcPr>
            <w:tcW w:w="2580" w:type="dxa"/>
            <w:tcBorders>
              <w:top w:val="nil"/>
              <w:left w:val="nil"/>
              <w:right w:val="nil"/>
            </w:tcBorders>
          </w:tcPr>
          <w:p w14:paraId="161E7B33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-3.7 (-4.7 to 0.37)</w:t>
            </w:r>
          </w:p>
        </w:tc>
        <w:tc>
          <w:tcPr>
            <w:tcW w:w="1685" w:type="dxa"/>
            <w:tcBorders>
              <w:top w:val="nil"/>
              <w:left w:val="nil"/>
            </w:tcBorders>
          </w:tcPr>
          <w:p w14:paraId="2A690CB3" w14:textId="77777777" w:rsidR="000E2E67" w:rsidRDefault="000E2E67" w:rsidP="00F4558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 (</w:t>
            </w:r>
            <w:r w:rsidRPr="00645A1C">
              <w:rPr>
                <w:i/>
                <w:iCs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 0.07)</w:t>
            </w:r>
          </w:p>
        </w:tc>
      </w:tr>
    </w:tbl>
    <w:p w14:paraId="281D395A" w14:textId="77777777" w:rsidR="000E2E67" w:rsidRPr="00BE4E85" w:rsidRDefault="000E2E67" w:rsidP="000E2E67">
      <w:pPr>
        <w:jc w:val="both"/>
        <w:rPr>
          <w:sz w:val="20"/>
          <w:szCs w:val="20"/>
        </w:rPr>
      </w:pPr>
    </w:p>
    <w:p w14:paraId="042DF609" w14:textId="77777777" w:rsidR="000E2E67" w:rsidRPr="00710A60" w:rsidRDefault="000E2E67" w:rsidP="000E2E67">
      <w:pPr>
        <w:jc w:val="both"/>
        <w:rPr>
          <w:i/>
          <w:iCs/>
          <w:sz w:val="20"/>
          <w:szCs w:val="20"/>
        </w:rPr>
      </w:pPr>
      <w:r w:rsidRPr="00710A60">
        <w:rPr>
          <w:i/>
          <w:iCs/>
          <w:sz w:val="20"/>
          <w:szCs w:val="20"/>
        </w:rPr>
        <w:t>Table SI2</w:t>
      </w:r>
      <w:bookmarkStart w:id="0" w:name="_ylwoi7wjwt8q" w:colFirst="0" w:colLast="0"/>
      <w:bookmarkStart w:id="1" w:name="_xv6n5ia8lkv8" w:colFirst="0" w:colLast="0"/>
      <w:bookmarkEnd w:id="0"/>
      <w:bookmarkEnd w:id="1"/>
      <w:r>
        <w:rPr>
          <w:i/>
          <w:iCs/>
          <w:sz w:val="20"/>
          <w:szCs w:val="20"/>
        </w:rPr>
        <w:t>. Results of individual linear regressions of test positive on each Rt estimate from test-positive cases, hospital admissions, and deaths separately. Test positivity is the average % positive of all tests conducted. Data for seven English NHS regions and England (N=8).</w:t>
      </w:r>
    </w:p>
    <w:p w14:paraId="60508B1E" w14:textId="77777777" w:rsidR="002630E0" w:rsidRDefault="002630E0"/>
    <w:sectPr w:rsidR="002630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EAC47" w14:textId="77777777" w:rsidR="00FB0A2F" w:rsidRDefault="00FB0A2F">
      <w:pPr>
        <w:spacing w:line="240" w:lineRule="auto"/>
      </w:pPr>
      <w:r>
        <w:separator/>
      </w:r>
    </w:p>
  </w:endnote>
  <w:endnote w:type="continuationSeparator" w:id="0">
    <w:p w14:paraId="26A55ECC" w14:textId="77777777" w:rsidR="00FB0A2F" w:rsidRDefault="00FB0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0783F" w14:textId="77777777" w:rsidR="00FB0A2F" w:rsidRDefault="00FB0A2F">
      <w:pPr>
        <w:spacing w:line="240" w:lineRule="auto"/>
      </w:pPr>
      <w:r>
        <w:separator/>
      </w:r>
    </w:p>
  </w:footnote>
  <w:footnote w:type="continuationSeparator" w:id="0">
    <w:p w14:paraId="542EE94D" w14:textId="77777777" w:rsidR="00FB0A2F" w:rsidRDefault="00FB0A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53875" w14:textId="77777777" w:rsidR="00633358" w:rsidRDefault="00FB0A2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67"/>
    <w:rsid w:val="000E2E67"/>
    <w:rsid w:val="002630E0"/>
    <w:rsid w:val="006A7FF7"/>
    <w:rsid w:val="00BE6C72"/>
    <w:rsid w:val="00C4680E"/>
    <w:rsid w:val="00D9541D"/>
    <w:rsid w:val="00E64E31"/>
    <w:rsid w:val="00F871D7"/>
    <w:rsid w:val="00FB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572F"/>
  <w15:chartTrackingRefBased/>
  <w15:docId w15:val="{572AE6F4-5D34-4ADD-B2B1-C52CE64B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E67"/>
    <w:pPr>
      <w:spacing w:after="0" w:line="276" w:lineRule="auto"/>
    </w:pPr>
    <w:rPr>
      <w:rFonts w:ascii="Arial" w:eastAsia="Arial" w:hAnsi="Arial" w:cs="Arial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E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E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2E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E67"/>
    <w:rPr>
      <w:rFonts w:ascii="Arial" w:eastAsia="Arial" w:hAnsi="Arial" w:cs="Arial"/>
      <w:sz w:val="32"/>
      <w:szCs w:val="32"/>
      <w:lang w:eastAsia="en-GB"/>
    </w:rPr>
  </w:style>
  <w:style w:type="table" w:styleId="TableGrid">
    <w:name w:val="Table Grid"/>
    <w:basedOn w:val="TableNormal"/>
    <w:uiPriority w:val="39"/>
    <w:rsid w:val="000E2E67"/>
    <w:pPr>
      <w:spacing w:after="0" w:line="240" w:lineRule="auto"/>
    </w:pPr>
    <w:rPr>
      <w:rFonts w:ascii="Arial" w:eastAsia="Arial" w:hAnsi="Arial" w:cs="Arial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2E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E2E6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E2E67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Sherratt</dc:creator>
  <cp:keywords/>
  <dc:description/>
  <cp:lastModifiedBy>Katharine Sherratt</cp:lastModifiedBy>
  <cp:revision>3</cp:revision>
  <dcterms:created xsi:type="dcterms:W3CDTF">2020-10-16T20:27:00Z</dcterms:created>
  <dcterms:modified xsi:type="dcterms:W3CDTF">2021-03-01T10:53:00Z</dcterms:modified>
</cp:coreProperties>
</file>