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0D044" w14:textId="001A58AB" w:rsidR="005D5E29" w:rsidRPr="005D5E29" w:rsidRDefault="005D5E29" w:rsidP="005D5E29">
      <w:pPr>
        <w:pStyle w:val="Heading3"/>
        <w:rPr>
          <w:b/>
          <w:bCs/>
          <w:sz w:val="20"/>
          <w:szCs w:val="20"/>
        </w:rPr>
      </w:pPr>
      <w:r w:rsidRPr="005D5E29">
        <w:rPr>
          <w:b/>
          <w:bCs/>
          <w:sz w:val="20"/>
          <w:szCs w:val="20"/>
        </w:rPr>
        <w:t>Media summary</w:t>
      </w:r>
    </w:p>
    <w:p w14:paraId="42F29DC4" w14:textId="77777777" w:rsidR="005D5E29" w:rsidRPr="005D5E29" w:rsidRDefault="005D5E29" w:rsidP="005D5E29">
      <w:pPr>
        <w:spacing w:before="240" w:after="240"/>
        <w:jc w:val="both"/>
        <w:rPr>
          <w:sz w:val="20"/>
          <w:szCs w:val="20"/>
        </w:rPr>
      </w:pPr>
      <w:r w:rsidRPr="00DE0029">
        <w:rPr>
          <w:sz w:val="20"/>
          <w:szCs w:val="20"/>
        </w:rPr>
        <w:t xml:space="preserve">The reproduction number </w:t>
      </w:r>
      <w:r>
        <w:rPr>
          <w:sz w:val="20"/>
          <w:szCs w:val="20"/>
        </w:rPr>
        <w:t>(Rt) is</w:t>
      </w:r>
      <w:r w:rsidRPr="00DE0029">
        <w:rPr>
          <w:sz w:val="20"/>
          <w:szCs w:val="20"/>
        </w:rPr>
        <w:t xml:space="preserve"> the average number </w:t>
      </w:r>
      <w:r>
        <w:rPr>
          <w:sz w:val="20"/>
          <w:szCs w:val="20"/>
        </w:rPr>
        <w:t xml:space="preserve">of </w:t>
      </w:r>
      <w:r w:rsidRPr="00DE0029">
        <w:rPr>
          <w:sz w:val="20"/>
          <w:szCs w:val="20"/>
        </w:rPr>
        <w:t>infections caused by each infected person</w:t>
      </w:r>
      <w:r>
        <w:rPr>
          <w:sz w:val="20"/>
          <w:szCs w:val="20"/>
        </w:rPr>
        <w:t>. This represents how quickly an epidemic spreads and has become policy-relevant during the Covid-19 pandemic. As it is difficult to measure the true number of infections, researchers use other indicators, e.g. tested cases, hospital admissions, or deaths, to estimate Rt. However, these cases may not represent average transmission in the whole population (for example, those who die are likely to be older). We explored Rt estimates from three data sources of Covid-19 cases across English regions and found that each is influenced differently by testing rates and the average age of cases. This means we should consider the data used to estimate Rt before making conclusions about transmission in the general population.</w:t>
      </w:r>
      <w:bookmarkStart w:id="0" w:name="_uspbxbp1bb0h" w:colFirst="0" w:colLast="0"/>
      <w:bookmarkEnd w:id="0"/>
    </w:p>
    <w:p w14:paraId="34282321" w14:textId="65C90574" w:rsidR="0001073F" w:rsidRPr="005D5E29" w:rsidRDefault="0001073F" w:rsidP="0001073F">
      <w:pPr>
        <w:pStyle w:val="Heading3"/>
        <w:rPr>
          <w:b/>
          <w:bCs/>
          <w:sz w:val="20"/>
          <w:szCs w:val="20"/>
        </w:rPr>
      </w:pPr>
      <w:r w:rsidRPr="005D5E29">
        <w:rPr>
          <w:b/>
          <w:bCs/>
          <w:sz w:val="20"/>
          <w:szCs w:val="20"/>
        </w:rPr>
        <w:t>Data accessibility</w:t>
      </w:r>
    </w:p>
    <w:p w14:paraId="02D87891" w14:textId="6DA8B71E" w:rsidR="0001073F" w:rsidRPr="00DE0029" w:rsidRDefault="0001073F" w:rsidP="0001073F">
      <w:pPr>
        <w:rPr>
          <w:sz w:val="20"/>
          <w:szCs w:val="20"/>
        </w:rPr>
      </w:pPr>
      <w:r w:rsidRPr="00DE0029">
        <w:rPr>
          <w:sz w:val="20"/>
          <w:szCs w:val="20"/>
        </w:rPr>
        <w:t xml:space="preserve">The code that supports the findings of this study is available on </w:t>
      </w:r>
      <w:proofErr w:type="spellStart"/>
      <w:r w:rsidRPr="00DE0029">
        <w:rPr>
          <w:sz w:val="20"/>
          <w:szCs w:val="20"/>
        </w:rPr>
        <w:t>Github</w:t>
      </w:r>
      <w:proofErr w:type="spellEnd"/>
      <w:r w:rsidR="009E46B8">
        <w:rPr>
          <w:sz w:val="20"/>
          <w:szCs w:val="20"/>
        </w:rPr>
        <w:t xml:space="preserve"> (</w:t>
      </w:r>
      <w:r w:rsidR="00B40D02" w:rsidRPr="00B40D02">
        <w:rPr>
          <w:sz w:val="20"/>
          <w:szCs w:val="20"/>
        </w:rPr>
        <w:t>DOI: 10.5281/zenodo.4029075</w:t>
      </w:r>
      <w:r w:rsidR="009E46B8">
        <w:rPr>
          <w:sz w:val="20"/>
          <w:szCs w:val="20"/>
        </w:rPr>
        <w:t>)</w:t>
      </w:r>
      <w:r w:rsidRPr="00DE0029">
        <w:rPr>
          <w:sz w:val="20"/>
          <w:szCs w:val="20"/>
        </w:rPr>
        <w:t xml:space="preserve">. </w:t>
      </w:r>
      <w:r w:rsidR="009E46B8">
        <w:rPr>
          <w:sz w:val="20"/>
          <w:szCs w:val="20"/>
        </w:rPr>
        <w:t>Other sources of data</w:t>
      </w:r>
      <w:r w:rsidRPr="00DE0029">
        <w:rPr>
          <w:sz w:val="20"/>
          <w:szCs w:val="20"/>
        </w:rPr>
        <w:t xml:space="preserve"> were derived from the following resources available in the public domain.</w:t>
      </w:r>
    </w:p>
    <w:p w14:paraId="12F0F8B7" w14:textId="77777777" w:rsidR="009E46B8" w:rsidRDefault="009E46B8" w:rsidP="009E46B8">
      <w:pPr>
        <w:rPr>
          <w:sz w:val="20"/>
          <w:szCs w:val="20"/>
        </w:rPr>
      </w:pPr>
    </w:p>
    <w:p w14:paraId="63A3A7AA" w14:textId="1AE3283F" w:rsidR="009E46B8" w:rsidRPr="00F071A0" w:rsidRDefault="009E46B8" w:rsidP="00F071A0">
      <w:pPr>
        <w:pStyle w:val="ListParagraph"/>
        <w:numPr>
          <w:ilvl w:val="0"/>
          <w:numId w:val="3"/>
        </w:numPr>
        <w:rPr>
          <w:sz w:val="20"/>
          <w:szCs w:val="20"/>
        </w:rPr>
      </w:pPr>
      <w:r w:rsidRPr="00F071A0">
        <w:rPr>
          <w:sz w:val="20"/>
          <w:szCs w:val="20"/>
        </w:rPr>
        <w:t xml:space="preserve">Sherratt K, Abbott S. 2020 Rt comparison by data source in the UK. </w:t>
      </w:r>
      <w:proofErr w:type="spellStart"/>
      <w:r w:rsidRPr="00F071A0">
        <w:rPr>
          <w:sz w:val="20"/>
          <w:szCs w:val="20"/>
        </w:rPr>
        <w:t>Zenodo</w:t>
      </w:r>
      <w:proofErr w:type="spellEnd"/>
      <w:r w:rsidRPr="00F071A0">
        <w:rPr>
          <w:sz w:val="20"/>
          <w:szCs w:val="20"/>
        </w:rPr>
        <w:t>. (doi:10.5281/zenodo.4029075)</w:t>
      </w:r>
    </w:p>
    <w:p w14:paraId="1A8FD4CB" w14:textId="77777777" w:rsidR="009E46B8" w:rsidRDefault="009E46B8" w:rsidP="009E46B8">
      <w:pPr>
        <w:rPr>
          <w:sz w:val="20"/>
          <w:szCs w:val="20"/>
        </w:rPr>
      </w:pPr>
    </w:p>
    <w:p w14:paraId="18641168" w14:textId="206695DC" w:rsidR="009E46B8" w:rsidRPr="00F071A0" w:rsidRDefault="009E46B8" w:rsidP="00F071A0">
      <w:pPr>
        <w:pStyle w:val="ListParagraph"/>
        <w:numPr>
          <w:ilvl w:val="0"/>
          <w:numId w:val="3"/>
        </w:numPr>
        <w:rPr>
          <w:sz w:val="20"/>
          <w:szCs w:val="20"/>
        </w:rPr>
      </w:pPr>
      <w:r w:rsidRPr="00F071A0">
        <w:rPr>
          <w:sz w:val="20"/>
          <w:szCs w:val="20"/>
        </w:rPr>
        <w:t xml:space="preserve">Office for National Statistics. 2020 Number of deaths in care homes notified to the Care Quality Commission, England. </w:t>
      </w:r>
    </w:p>
    <w:p w14:paraId="55A02CF4" w14:textId="77777777" w:rsidR="009E46B8" w:rsidRDefault="009E46B8" w:rsidP="009E46B8">
      <w:pPr>
        <w:rPr>
          <w:sz w:val="20"/>
          <w:szCs w:val="20"/>
        </w:rPr>
      </w:pPr>
    </w:p>
    <w:p w14:paraId="51FC84CB" w14:textId="3296935D" w:rsidR="009E46B8" w:rsidRPr="00F071A0" w:rsidRDefault="009E46B8" w:rsidP="00F071A0">
      <w:pPr>
        <w:pStyle w:val="ListParagraph"/>
        <w:numPr>
          <w:ilvl w:val="0"/>
          <w:numId w:val="3"/>
        </w:numPr>
        <w:rPr>
          <w:sz w:val="20"/>
          <w:szCs w:val="20"/>
        </w:rPr>
      </w:pPr>
      <w:r w:rsidRPr="00F071A0">
        <w:rPr>
          <w:sz w:val="20"/>
          <w:szCs w:val="20"/>
        </w:rPr>
        <w:t>Public Health England. 2020 National COVID-19 surveillance reports. GOV.UK. See https://www.gov.uk/government/publications/national-covid-19-surveillance-reports.</w:t>
      </w:r>
    </w:p>
    <w:p w14:paraId="645B6E14" w14:textId="77777777" w:rsidR="009E46B8" w:rsidRDefault="009E46B8" w:rsidP="009E46B8">
      <w:pPr>
        <w:rPr>
          <w:sz w:val="20"/>
          <w:szCs w:val="20"/>
        </w:rPr>
      </w:pPr>
    </w:p>
    <w:p w14:paraId="5F7F3A8F" w14:textId="12ABD01C" w:rsidR="009E46B8" w:rsidRPr="00F071A0" w:rsidRDefault="009E46B8" w:rsidP="00F071A0">
      <w:pPr>
        <w:pStyle w:val="ListParagraph"/>
        <w:numPr>
          <w:ilvl w:val="0"/>
          <w:numId w:val="3"/>
        </w:numPr>
        <w:rPr>
          <w:sz w:val="20"/>
          <w:szCs w:val="20"/>
        </w:rPr>
      </w:pPr>
      <w:r w:rsidRPr="00F071A0">
        <w:rPr>
          <w:sz w:val="20"/>
          <w:szCs w:val="20"/>
        </w:rPr>
        <w:t xml:space="preserve">Office for National Statistics. 2020 Estimates of the population for the UK, England and Wales, </w:t>
      </w:r>
      <w:proofErr w:type="gramStart"/>
      <w:r w:rsidRPr="00F071A0">
        <w:rPr>
          <w:sz w:val="20"/>
          <w:szCs w:val="20"/>
        </w:rPr>
        <w:t>Scotland</w:t>
      </w:r>
      <w:proofErr w:type="gramEnd"/>
      <w:r w:rsidRPr="00F071A0">
        <w:rPr>
          <w:sz w:val="20"/>
          <w:szCs w:val="20"/>
        </w:rPr>
        <w:t xml:space="preserve"> and Northern Ireland. See https://www.ons.gov.uk/peoplepopulationandcommunity/populationandmigration/populationestimates/datasets/populationestimatesforukenglandandwalesscotlandandnorthernireland.</w:t>
      </w:r>
    </w:p>
    <w:p w14:paraId="37BDDC3E" w14:textId="77777777" w:rsidR="009E46B8" w:rsidRDefault="009E46B8" w:rsidP="009E46B8">
      <w:pPr>
        <w:rPr>
          <w:sz w:val="20"/>
          <w:szCs w:val="20"/>
        </w:rPr>
      </w:pPr>
    </w:p>
    <w:p w14:paraId="3CB9E23A" w14:textId="178BAAB8" w:rsidR="009E46B8" w:rsidRPr="00F071A0" w:rsidRDefault="009E46B8" w:rsidP="00F071A0">
      <w:pPr>
        <w:pStyle w:val="ListParagraph"/>
        <w:numPr>
          <w:ilvl w:val="0"/>
          <w:numId w:val="3"/>
        </w:numPr>
        <w:rPr>
          <w:sz w:val="20"/>
          <w:szCs w:val="20"/>
        </w:rPr>
      </w:pPr>
      <w:r w:rsidRPr="00F071A0">
        <w:rPr>
          <w:sz w:val="20"/>
          <w:szCs w:val="20"/>
        </w:rPr>
        <w:t xml:space="preserve">Xu B et al. 2020 Epidemiological data from the COVID-19 outbreak, real-time case information. Sci Data 7, 106. </w:t>
      </w:r>
    </w:p>
    <w:p w14:paraId="71E31CF5" w14:textId="77777777" w:rsidR="009E46B8" w:rsidRDefault="009E46B8" w:rsidP="009E46B8">
      <w:pPr>
        <w:rPr>
          <w:sz w:val="20"/>
          <w:szCs w:val="20"/>
        </w:rPr>
      </w:pPr>
    </w:p>
    <w:p w14:paraId="42289E2A" w14:textId="6FC84A9B" w:rsidR="009E46B8" w:rsidRPr="00F071A0" w:rsidRDefault="009E46B8" w:rsidP="00F071A0">
      <w:pPr>
        <w:pStyle w:val="ListParagraph"/>
        <w:numPr>
          <w:ilvl w:val="0"/>
          <w:numId w:val="3"/>
        </w:numPr>
        <w:rPr>
          <w:sz w:val="20"/>
          <w:szCs w:val="20"/>
        </w:rPr>
      </w:pPr>
      <w:r w:rsidRPr="00F071A0">
        <w:rPr>
          <w:sz w:val="20"/>
          <w:szCs w:val="20"/>
        </w:rPr>
        <w:t>The Health Foundation. 2020 COVID-19 policy tracker. See https://www.health.org.uk/news-and-comment/charts-and-infographics/covid-19-policy-tracker.</w:t>
      </w:r>
    </w:p>
    <w:p w14:paraId="23EF4D24" w14:textId="77777777" w:rsidR="009E46B8" w:rsidRDefault="009E46B8" w:rsidP="009E46B8">
      <w:pPr>
        <w:rPr>
          <w:sz w:val="20"/>
          <w:szCs w:val="20"/>
        </w:rPr>
      </w:pPr>
    </w:p>
    <w:p w14:paraId="49182433" w14:textId="57990205" w:rsidR="0001073F" w:rsidRPr="00F071A0" w:rsidRDefault="009E46B8" w:rsidP="00F071A0">
      <w:pPr>
        <w:pStyle w:val="ListParagraph"/>
        <w:numPr>
          <w:ilvl w:val="0"/>
          <w:numId w:val="3"/>
        </w:numPr>
        <w:rPr>
          <w:sz w:val="20"/>
          <w:szCs w:val="20"/>
        </w:rPr>
      </w:pPr>
      <w:r w:rsidRPr="00F071A0">
        <w:rPr>
          <w:sz w:val="20"/>
          <w:szCs w:val="20"/>
        </w:rPr>
        <w:t xml:space="preserve">Public Health England, NHSX. 2020 Coronavirus (COVID-19) in the UK. See </w:t>
      </w:r>
      <w:hyperlink r:id="rId5" w:history="1">
        <w:r w:rsidRPr="00F071A0">
          <w:rPr>
            <w:rStyle w:val="Hyperlink"/>
            <w:sz w:val="20"/>
            <w:szCs w:val="20"/>
          </w:rPr>
          <w:t>https://coronavirus.data.gov.uk/about-data</w:t>
        </w:r>
      </w:hyperlink>
      <w:r w:rsidRPr="00F071A0">
        <w:rPr>
          <w:sz w:val="20"/>
          <w:szCs w:val="20"/>
        </w:rPr>
        <w:t>.</w:t>
      </w:r>
      <w:r w:rsidR="0001073F" w:rsidRPr="00F071A0">
        <w:rPr>
          <w:sz w:val="20"/>
          <w:szCs w:val="20"/>
        </w:rPr>
        <w:t xml:space="preserve"> </w:t>
      </w:r>
    </w:p>
    <w:p w14:paraId="3883AD63" w14:textId="77777777" w:rsidR="009E46B8" w:rsidRDefault="009E46B8" w:rsidP="009E46B8">
      <w:pPr>
        <w:rPr>
          <w:sz w:val="20"/>
          <w:szCs w:val="20"/>
        </w:rPr>
      </w:pPr>
    </w:p>
    <w:p w14:paraId="56FF1BF9" w14:textId="63CEA361" w:rsidR="009E46B8" w:rsidRPr="00DE0029" w:rsidRDefault="009E46B8" w:rsidP="009E46B8">
      <w:pPr>
        <w:rPr>
          <w:sz w:val="20"/>
          <w:szCs w:val="20"/>
        </w:rPr>
      </w:pPr>
      <w:r w:rsidRPr="00DE0029">
        <w:rPr>
          <w:sz w:val="20"/>
          <w:szCs w:val="20"/>
        </w:rPr>
        <w:t>Data not yet available in the public domain</w:t>
      </w:r>
      <w:r>
        <w:rPr>
          <w:sz w:val="20"/>
          <w:szCs w:val="20"/>
        </w:rPr>
        <w:t xml:space="preserve"> included</w:t>
      </w:r>
      <w:r w:rsidRPr="00DE0029">
        <w:rPr>
          <w:sz w:val="20"/>
          <w:szCs w:val="20"/>
        </w:rPr>
        <w:t xml:space="preserve"> the delay from onset to </w:t>
      </w:r>
      <w:r>
        <w:rPr>
          <w:sz w:val="20"/>
          <w:szCs w:val="20"/>
        </w:rPr>
        <w:t>death for a sample of Covid-19 positive cases in England</w:t>
      </w:r>
      <w:r w:rsidRPr="00DE0029">
        <w:rPr>
          <w:sz w:val="20"/>
          <w:szCs w:val="20"/>
        </w:rPr>
        <w:t>. However, in the main code base for this paper we have included a table of summary statistics of the bootstrapped sample of these data (</w:t>
      </w:r>
      <w:hyperlink r:id="rId6">
        <w:r w:rsidRPr="00DE0029">
          <w:rPr>
            <w:rFonts w:eastAsia="Roboto"/>
            <w:color w:val="2A6496"/>
            <w:sz w:val="20"/>
            <w:szCs w:val="20"/>
            <w:highlight w:val="white"/>
            <w:u w:val="single"/>
          </w:rPr>
          <w:t>DOI: 10.5281/zenodo.4029075</w:t>
        </w:r>
      </w:hyperlink>
      <w:r w:rsidRPr="00DE0029">
        <w:rPr>
          <w:sz w:val="20"/>
          <w:szCs w:val="20"/>
        </w:rPr>
        <w:t>).</w:t>
      </w:r>
    </w:p>
    <w:p w14:paraId="1366E265" w14:textId="77777777" w:rsidR="005D5E29" w:rsidRDefault="005D5E29" w:rsidP="005D5E29">
      <w:pPr>
        <w:spacing w:after="160" w:line="259" w:lineRule="auto"/>
        <w:rPr>
          <w:sz w:val="20"/>
          <w:szCs w:val="20"/>
        </w:rPr>
      </w:pPr>
      <w:bookmarkStart w:id="1" w:name="_ksf5dlt6n8iv" w:colFirst="0" w:colLast="0"/>
      <w:bookmarkEnd w:id="1"/>
    </w:p>
    <w:p w14:paraId="3E3197E9" w14:textId="4DDC3194" w:rsidR="0001073F" w:rsidRPr="005D5E29" w:rsidRDefault="005D5E29" w:rsidP="005D5E29">
      <w:pPr>
        <w:spacing w:after="160" w:line="259" w:lineRule="auto"/>
        <w:rPr>
          <w:b/>
          <w:bCs/>
          <w:sz w:val="20"/>
          <w:szCs w:val="20"/>
        </w:rPr>
      </w:pPr>
      <w:r w:rsidRPr="005D5E29">
        <w:rPr>
          <w:b/>
          <w:bCs/>
          <w:sz w:val="20"/>
          <w:szCs w:val="20"/>
        </w:rPr>
        <w:t>A</w:t>
      </w:r>
      <w:r w:rsidR="0001073F" w:rsidRPr="005D5E29">
        <w:rPr>
          <w:b/>
          <w:bCs/>
          <w:sz w:val="20"/>
          <w:szCs w:val="20"/>
        </w:rPr>
        <w:t>uthor contributions</w:t>
      </w:r>
    </w:p>
    <w:p w14:paraId="0F9DA841" w14:textId="77777777" w:rsidR="0001073F" w:rsidRPr="00DE0029" w:rsidRDefault="0001073F" w:rsidP="0001073F">
      <w:pPr>
        <w:rPr>
          <w:sz w:val="20"/>
          <w:szCs w:val="20"/>
        </w:rPr>
      </w:pPr>
      <w:r w:rsidRPr="00DE0029">
        <w:rPr>
          <w:sz w:val="20"/>
          <w:szCs w:val="20"/>
        </w:rPr>
        <w:t>Conceptualisation: SA, KS; methodology: SA, KS; data curation: KS; formal analysis: KS; writing - original draft: KS, SA; writing - review &amp; editing: SA, SF, MJ, SRM, JH, JDM, NB, CMMID Covid-19 working group; supervision: SF</w:t>
      </w:r>
    </w:p>
    <w:sectPr w:rsidR="0001073F" w:rsidRPr="00DE0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30BC"/>
    <w:multiLevelType w:val="multilevel"/>
    <w:tmpl w:val="AA2A9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EC7B2E"/>
    <w:multiLevelType w:val="multilevel"/>
    <w:tmpl w:val="B2469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3C6832"/>
    <w:multiLevelType w:val="hybridMultilevel"/>
    <w:tmpl w:val="05B68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3F"/>
    <w:rsid w:val="0001073F"/>
    <w:rsid w:val="00092076"/>
    <w:rsid w:val="00181166"/>
    <w:rsid w:val="001A328D"/>
    <w:rsid w:val="002630E0"/>
    <w:rsid w:val="0038604C"/>
    <w:rsid w:val="0049416D"/>
    <w:rsid w:val="005D5E29"/>
    <w:rsid w:val="0071386E"/>
    <w:rsid w:val="009E46B8"/>
    <w:rsid w:val="00AC1914"/>
    <w:rsid w:val="00B40D02"/>
    <w:rsid w:val="00D9541D"/>
    <w:rsid w:val="00E64E31"/>
    <w:rsid w:val="00F071A0"/>
    <w:rsid w:val="00F7446B"/>
    <w:rsid w:val="00F87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416A"/>
  <w15:chartTrackingRefBased/>
  <w15:docId w15:val="{4C1C4339-B931-4F9B-9D6F-685C54DE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73F"/>
    <w:pPr>
      <w:spacing w:after="0" w:line="276" w:lineRule="auto"/>
    </w:pPr>
    <w:rPr>
      <w:rFonts w:ascii="Arial" w:eastAsia="Arial" w:hAnsi="Arial" w:cs="Arial"/>
      <w:lang w:eastAsia="en-GB"/>
    </w:rPr>
  </w:style>
  <w:style w:type="paragraph" w:styleId="Heading1">
    <w:name w:val="heading 1"/>
    <w:basedOn w:val="Normal"/>
    <w:next w:val="Normal"/>
    <w:link w:val="Heading1Char"/>
    <w:uiPriority w:val="9"/>
    <w:qFormat/>
    <w:rsid w:val="007138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73F"/>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01073F"/>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073F"/>
    <w:rPr>
      <w:rFonts w:ascii="Arial" w:eastAsia="Arial" w:hAnsi="Arial" w:cs="Arial"/>
      <w:sz w:val="32"/>
      <w:szCs w:val="32"/>
      <w:lang w:eastAsia="en-GB"/>
    </w:rPr>
  </w:style>
  <w:style w:type="character" w:customStyle="1" w:styleId="Heading3Char">
    <w:name w:val="Heading 3 Char"/>
    <w:basedOn w:val="DefaultParagraphFont"/>
    <w:link w:val="Heading3"/>
    <w:uiPriority w:val="9"/>
    <w:rsid w:val="0001073F"/>
    <w:rPr>
      <w:rFonts w:ascii="Arial" w:eastAsia="Arial" w:hAnsi="Arial" w:cs="Arial"/>
      <w:color w:val="434343"/>
      <w:sz w:val="28"/>
      <w:szCs w:val="28"/>
      <w:lang w:eastAsia="en-GB"/>
    </w:rPr>
  </w:style>
  <w:style w:type="character" w:customStyle="1" w:styleId="Heading1Char">
    <w:name w:val="Heading 1 Char"/>
    <w:basedOn w:val="DefaultParagraphFont"/>
    <w:link w:val="Heading1"/>
    <w:uiPriority w:val="9"/>
    <w:rsid w:val="0071386E"/>
    <w:rPr>
      <w:rFonts w:asciiTheme="majorHAnsi" w:eastAsiaTheme="majorEastAsia" w:hAnsiTheme="majorHAnsi" w:cstheme="majorBidi"/>
      <w:color w:val="2F5496" w:themeColor="accent1" w:themeShade="BF"/>
      <w:sz w:val="32"/>
      <w:szCs w:val="32"/>
      <w:lang w:eastAsia="en-GB"/>
    </w:rPr>
  </w:style>
  <w:style w:type="character" w:styleId="Hyperlink">
    <w:name w:val="Hyperlink"/>
    <w:basedOn w:val="DefaultParagraphFont"/>
    <w:uiPriority w:val="99"/>
    <w:unhideWhenUsed/>
    <w:rsid w:val="00B40D02"/>
    <w:rPr>
      <w:color w:val="0563C1" w:themeColor="hyperlink"/>
      <w:u w:val="single"/>
    </w:rPr>
  </w:style>
  <w:style w:type="character" w:styleId="UnresolvedMention">
    <w:name w:val="Unresolved Mention"/>
    <w:basedOn w:val="DefaultParagraphFont"/>
    <w:uiPriority w:val="99"/>
    <w:semiHidden/>
    <w:unhideWhenUsed/>
    <w:rsid w:val="00B40D02"/>
    <w:rPr>
      <w:color w:val="605E5C"/>
      <w:shd w:val="clear" w:color="auto" w:fill="E1DFDD"/>
    </w:rPr>
  </w:style>
  <w:style w:type="paragraph" w:styleId="ListParagraph">
    <w:name w:val="List Paragraph"/>
    <w:basedOn w:val="Normal"/>
    <w:uiPriority w:val="34"/>
    <w:qFormat/>
    <w:rsid w:val="00F07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093369">
      <w:bodyDiv w:val="1"/>
      <w:marLeft w:val="0"/>
      <w:marRight w:val="0"/>
      <w:marTop w:val="0"/>
      <w:marBottom w:val="0"/>
      <w:divBdr>
        <w:top w:val="none" w:sz="0" w:space="0" w:color="auto"/>
        <w:left w:val="none" w:sz="0" w:space="0" w:color="auto"/>
        <w:bottom w:val="none" w:sz="0" w:space="0" w:color="auto"/>
        <w:right w:val="none" w:sz="0" w:space="0" w:color="auto"/>
      </w:divBdr>
    </w:div>
    <w:div w:id="1872450541">
      <w:bodyDiv w:val="1"/>
      <w:marLeft w:val="0"/>
      <w:marRight w:val="0"/>
      <w:marTop w:val="0"/>
      <w:marBottom w:val="0"/>
      <w:divBdr>
        <w:top w:val="none" w:sz="0" w:space="0" w:color="auto"/>
        <w:left w:val="none" w:sz="0" w:space="0" w:color="auto"/>
        <w:bottom w:val="none" w:sz="0" w:space="0" w:color="auto"/>
        <w:right w:val="none" w:sz="0" w:space="0" w:color="auto"/>
      </w:divBdr>
      <w:divsChild>
        <w:div w:id="287861453">
          <w:marLeft w:val="0"/>
          <w:marRight w:val="0"/>
          <w:marTop w:val="0"/>
          <w:marBottom w:val="0"/>
          <w:divBdr>
            <w:top w:val="none" w:sz="0" w:space="0" w:color="auto"/>
            <w:left w:val="none" w:sz="0" w:space="0" w:color="auto"/>
            <w:bottom w:val="none" w:sz="0" w:space="0" w:color="auto"/>
            <w:right w:val="none" w:sz="0" w:space="0" w:color="auto"/>
          </w:divBdr>
          <w:divsChild>
            <w:div w:id="597637589">
              <w:marLeft w:val="0"/>
              <w:marRight w:val="0"/>
              <w:marTop w:val="0"/>
              <w:marBottom w:val="240"/>
              <w:divBdr>
                <w:top w:val="none" w:sz="0" w:space="0" w:color="auto"/>
                <w:left w:val="none" w:sz="0" w:space="0" w:color="auto"/>
                <w:bottom w:val="none" w:sz="0" w:space="0" w:color="auto"/>
                <w:right w:val="none" w:sz="0" w:space="0" w:color="auto"/>
              </w:divBdr>
              <w:divsChild>
                <w:div w:id="1126899191">
                  <w:marLeft w:val="360"/>
                  <w:marRight w:val="96"/>
                  <w:marTop w:val="0"/>
                  <w:marBottom w:val="0"/>
                  <w:divBdr>
                    <w:top w:val="none" w:sz="0" w:space="0" w:color="auto"/>
                    <w:left w:val="none" w:sz="0" w:space="0" w:color="auto"/>
                    <w:bottom w:val="none" w:sz="0" w:space="0" w:color="auto"/>
                    <w:right w:val="none" w:sz="0" w:space="0" w:color="auto"/>
                  </w:divBdr>
                </w:div>
              </w:divsChild>
            </w:div>
            <w:div w:id="1803229981">
              <w:marLeft w:val="0"/>
              <w:marRight w:val="0"/>
              <w:marTop w:val="0"/>
              <w:marBottom w:val="240"/>
              <w:divBdr>
                <w:top w:val="none" w:sz="0" w:space="0" w:color="auto"/>
                <w:left w:val="none" w:sz="0" w:space="0" w:color="auto"/>
                <w:bottom w:val="none" w:sz="0" w:space="0" w:color="auto"/>
                <w:right w:val="none" w:sz="0" w:space="0" w:color="auto"/>
              </w:divBdr>
              <w:divsChild>
                <w:div w:id="1172181987">
                  <w:marLeft w:val="360"/>
                  <w:marRight w:val="96"/>
                  <w:marTop w:val="0"/>
                  <w:marBottom w:val="0"/>
                  <w:divBdr>
                    <w:top w:val="none" w:sz="0" w:space="0" w:color="auto"/>
                    <w:left w:val="none" w:sz="0" w:space="0" w:color="auto"/>
                    <w:bottom w:val="none" w:sz="0" w:space="0" w:color="auto"/>
                    <w:right w:val="none" w:sz="0" w:space="0" w:color="auto"/>
                  </w:divBdr>
                </w:div>
              </w:divsChild>
            </w:div>
            <w:div w:id="1681271217">
              <w:marLeft w:val="0"/>
              <w:marRight w:val="0"/>
              <w:marTop w:val="0"/>
              <w:marBottom w:val="240"/>
              <w:divBdr>
                <w:top w:val="none" w:sz="0" w:space="0" w:color="auto"/>
                <w:left w:val="none" w:sz="0" w:space="0" w:color="auto"/>
                <w:bottom w:val="none" w:sz="0" w:space="0" w:color="auto"/>
                <w:right w:val="none" w:sz="0" w:space="0" w:color="auto"/>
              </w:divBdr>
              <w:divsChild>
                <w:div w:id="1010834063">
                  <w:marLeft w:val="360"/>
                  <w:marRight w:val="96"/>
                  <w:marTop w:val="0"/>
                  <w:marBottom w:val="0"/>
                  <w:divBdr>
                    <w:top w:val="none" w:sz="0" w:space="0" w:color="auto"/>
                    <w:left w:val="none" w:sz="0" w:space="0" w:color="auto"/>
                    <w:bottom w:val="none" w:sz="0" w:space="0" w:color="auto"/>
                    <w:right w:val="none" w:sz="0" w:space="0" w:color="auto"/>
                  </w:divBdr>
                </w:div>
              </w:divsChild>
            </w:div>
            <w:div w:id="1937709409">
              <w:marLeft w:val="0"/>
              <w:marRight w:val="0"/>
              <w:marTop w:val="0"/>
              <w:marBottom w:val="240"/>
              <w:divBdr>
                <w:top w:val="none" w:sz="0" w:space="0" w:color="auto"/>
                <w:left w:val="none" w:sz="0" w:space="0" w:color="auto"/>
                <w:bottom w:val="none" w:sz="0" w:space="0" w:color="auto"/>
                <w:right w:val="none" w:sz="0" w:space="0" w:color="auto"/>
              </w:divBdr>
              <w:divsChild>
                <w:div w:id="2089112805">
                  <w:marLeft w:val="360"/>
                  <w:marRight w:val="96"/>
                  <w:marTop w:val="0"/>
                  <w:marBottom w:val="0"/>
                  <w:divBdr>
                    <w:top w:val="none" w:sz="0" w:space="0" w:color="auto"/>
                    <w:left w:val="none" w:sz="0" w:space="0" w:color="auto"/>
                    <w:bottom w:val="none" w:sz="0" w:space="0" w:color="auto"/>
                    <w:right w:val="none" w:sz="0" w:space="0" w:color="auto"/>
                  </w:divBdr>
                </w:div>
              </w:divsChild>
            </w:div>
            <w:div w:id="1899053157">
              <w:marLeft w:val="0"/>
              <w:marRight w:val="0"/>
              <w:marTop w:val="0"/>
              <w:marBottom w:val="240"/>
              <w:divBdr>
                <w:top w:val="none" w:sz="0" w:space="0" w:color="auto"/>
                <w:left w:val="none" w:sz="0" w:space="0" w:color="auto"/>
                <w:bottom w:val="none" w:sz="0" w:space="0" w:color="auto"/>
                <w:right w:val="none" w:sz="0" w:space="0" w:color="auto"/>
              </w:divBdr>
              <w:divsChild>
                <w:div w:id="469245944">
                  <w:marLeft w:val="360"/>
                  <w:marRight w:val="96"/>
                  <w:marTop w:val="0"/>
                  <w:marBottom w:val="0"/>
                  <w:divBdr>
                    <w:top w:val="none" w:sz="0" w:space="0" w:color="auto"/>
                    <w:left w:val="none" w:sz="0" w:space="0" w:color="auto"/>
                    <w:bottom w:val="none" w:sz="0" w:space="0" w:color="auto"/>
                    <w:right w:val="none" w:sz="0" w:space="0" w:color="auto"/>
                  </w:divBdr>
                </w:div>
              </w:divsChild>
            </w:div>
            <w:div w:id="1078329780">
              <w:marLeft w:val="0"/>
              <w:marRight w:val="0"/>
              <w:marTop w:val="0"/>
              <w:marBottom w:val="240"/>
              <w:divBdr>
                <w:top w:val="none" w:sz="0" w:space="0" w:color="auto"/>
                <w:left w:val="none" w:sz="0" w:space="0" w:color="auto"/>
                <w:bottom w:val="none" w:sz="0" w:space="0" w:color="auto"/>
                <w:right w:val="none" w:sz="0" w:space="0" w:color="auto"/>
              </w:divBdr>
              <w:divsChild>
                <w:div w:id="224340489">
                  <w:marLeft w:val="360"/>
                  <w:marRight w:val="96"/>
                  <w:marTop w:val="0"/>
                  <w:marBottom w:val="0"/>
                  <w:divBdr>
                    <w:top w:val="none" w:sz="0" w:space="0" w:color="auto"/>
                    <w:left w:val="none" w:sz="0" w:space="0" w:color="auto"/>
                    <w:bottom w:val="none" w:sz="0" w:space="0" w:color="auto"/>
                    <w:right w:val="none" w:sz="0" w:space="0" w:color="auto"/>
                  </w:divBdr>
                </w:div>
              </w:divsChild>
            </w:div>
            <w:div w:id="1967542228">
              <w:marLeft w:val="0"/>
              <w:marRight w:val="0"/>
              <w:marTop w:val="0"/>
              <w:marBottom w:val="240"/>
              <w:divBdr>
                <w:top w:val="none" w:sz="0" w:space="0" w:color="auto"/>
                <w:left w:val="none" w:sz="0" w:space="0" w:color="auto"/>
                <w:bottom w:val="none" w:sz="0" w:space="0" w:color="auto"/>
                <w:right w:val="none" w:sz="0" w:space="0" w:color="auto"/>
              </w:divBdr>
              <w:divsChild>
                <w:div w:id="1370454708">
                  <w:marLeft w:val="360"/>
                  <w:marRight w:val="96"/>
                  <w:marTop w:val="0"/>
                  <w:marBottom w:val="0"/>
                  <w:divBdr>
                    <w:top w:val="none" w:sz="0" w:space="0" w:color="auto"/>
                    <w:left w:val="none" w:sz="0" w:space="0" w:color="auto"/>
                    <w:bottom w:val="none" w:sz="0" w:space="0" w:color="auto"/>
                    <w:right w:val="none" w:sz="0" w:space="0" w:color="auto"/>
                  </w:divBdr>
                </w:div>
              </w:divsChild>
            </w:div>
            <w:div w:id="565189070">
              <w:marLeft w:val="0"/>
              <w:marRight w:val="0"/>
              <w:marTop w:val="0"/>
              <w:marBottom w:val="0"/>
              <w:divBdr>
                <w:top w:val="none" w:sz="0" w:space="0" w:color="auto"/>
                <w:left w:val="none" w:sz="0" w:space="0" w:color="auto"/>
                <w:bottom w:val="none" w:sz="0" w:space="0" w:color="auto"/>
                <w:right w:val="none" w:sz="0" w:space="0" w:color="auto"/>
              </w:divBdr>
              <w:divsChild>
                <w:div w:id="2803046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281/zenodo.4029075" TargetMode="External"/><Relationship Id="rId5" Type="http://schemas.openxmlformats.org/officeDocument/2006/relationships/hyperlink" Target="https://coronavirus.data.gov.uk/abou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Sherratt</dc:creator>
  <cp:keywords/>
  <dc:description/>
  <cp:lastModifiedBy>Katharine Sherratt</cp:lastModifiedBy>
  <cp:revision>7</cp:revision>
  <dcterms:created xsi:type="dcterms:W3CDTF">2020-10-16T15:52:00Z</dcterms:created>
  <dcterms:modified xsi:type="dcterms:W3CDTF">2020-10-30T16:48:00Z</dcterms:modified>
</cp:coreProperties>
</file>