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pPr>
      <w:r>
        <w:rPr>
          <w:rFonts w:ascii="Times New Roman" w:cs="Times New Roman" w:eastAsia="Times New Roman" w:hAnsi="Times New Roman"/>
          <w:b/>
          <w:bCs/>
          <w:color w:val="1F3864"/>
          <w:sz w:val="56"/>
          <w:szCs w:val="56"/>
        </w:rPr>
        <w:t xml:space="preserve">miRPanel</w:t>
      </w:r>
    </w:p>
    <w:p>
      <w:pPr>
        <w:pBdr>
          <w:bottom w:val="single" w:color="1F3864" w:sz="12" w:space="8"/>
        </w:pBdr>
        <w:spacing w:after="240" w:line="360"/>
      </w:pPr>
      <w:r>
        <w:rPr>
          <w:rFonts w:ascii="Times New Roman" w:cs="Times New Roman" w:eastAsia="Times New Roman" w:hAnsi="Times New Roman"/>
          <w:color w:val="2E5496"/>
          <w:sz w:val="28"/>
          <w:szCs w:val="28"/>
        </w:rPr>
        <w:t xml:space="preserve">An integrated miRNA target identification and interpretation tool</w:t>
      </w:r>
    </w:p>
    <w:p>
      <w:pPr>
        <w:spacing w:after="120" w:line="360"/>
      </w:pPr>
      <w:r>
        <w:rPr>
          <w:rFonts w:ascii="Times New Roman" w:cs="Times New Roman" w:eastAsia="Times New Roman" w:hAnsi="Times New Roman"/>
          <w:b/>
          <w:bCs/>
          <w:sz w:val="24"/>
          <w:szCs w:val="24"/>
        </w:rPr>
        <w:t xml:space="preserve">Technical documentation for supervisory review</w:t>
      </w:r>
    </w:p>
    <w:p>
      <w:pPr>
        <w:spacing w:after="120" w:line="360"/>
      </w:pPr>
      <w:r>
        <w:rPr>
          <w:rFonts w:ascii="Times New Roman" w:cs="Times New Roman" w:eastAsia="Times New Roman" w:hAnsi="Times New Roman"/>
          <w:sz w:val="24"/>
          <w:szCs w:val="24"/>
        </w:rPr>
        <w:t xml:space="preserve">This document records what the tool does, how it is built, which release of every external resource it uses, what went wrong at each stage, how each problem was diagnosed and solved, and which decisions were taken and on what evidence. Every figure quoted here was measured on the system and is stored in the project database or in the manifest files under manifests/, so any number can be re-queried rather than taken on trust.</w:t>
      </w:r>
    </w:p>
    <w:p>
      <w:pPr>
        <w:spacing w:after="120" w:line="360"/>
      </w:pPr>
      <w:r>
        <w:rPr>
          <w:rFonts w:ascii="Times New Roman" w:cs="Times New Roman" w:eastAsia="Times New Roman" w:hAnsi="Times New Roman"/>
          <w:b/>
          <w:bCs/>
          <w:sz w:val="24"/>
          <w:szCs w:val="24"/>
        </w:rPr>
        <w:t xml:space="preserve">Working name: </w:t>
      </w:r>
      <w:r>
        <w:rPr>
          <w:rFonts w:ascii="Times New Roman" w:cs="Times New Roman" w:eastAsia="Times New Roman" w:hAnsi="Times New Roman"/>
          <w:sz w:val="24"/>
          <w:szCs w:val="24"/>
        </w:rPr>
        <w:t xml:space="preserve">miRPanel (placeholder, set in src/config.py). </w:t>
      </w:r>
      <w:r>
        <w:rPr>
          <w:rFonts w:ascii="Times New Roman" w:cs="Times New Roman" w:eastAsia="Times New Roman" w:hAnsi="Times New Roman"/>
          <w:b/>
          <w:bCs/>
          <w:sz w:val="24"/>
          <w:szCs w:val="24"/>
        </w:rPr>
        <w:t xml:space="preserve">Repository: </w:t>
      </w:r>
      <w:r>
        <w:rPr>
          <w:rFonts w:ascii="Times New Roman" w:cs="Times New Roman" w:eastAsia="Times New Roman" w:hAnsi="Times New Roman"/>
          <w:sz w:val="24"/>
          <w:szCs w:val="24"/>
        </w:rPr>
        <w:t xml:space="preserve">github.com/aungshuman02-blip/mirna-tool. </w:t>
      </w:r>
      <w:r>
        <w:rPr>
          <w:rFonts w:ascii="Times New Roman" w:cs="Times New Roman" w:eastAsia="Times New Roman" w:hAnsi="Times New Roman"/>
          <w:b/>
          <w:bCs/>
          <w:sz w:val="24"/>
          <w:szCs w:val="24"/>
        </w:rPr>
        <w:t xml:space="preserve">Platform: </w:t>
      </w:r>
      <w:r>
        <w:rPr>
          <w:rFonts w:ascii="Times New Roman" w:cs="Times New Roman" w:eastAsia="Times New Roman" w:hAnsi="Times New Roman"/>
          <w:sz w:val="24"/>
          <w:szCs w:val="24"/>
        </w:rPr>
        <w:t xml:space="preserve">Debian Linux. </w:t>
      </w:r>
      <w:r>
        <w:rPr>
          <w:rFonts w:ascii="Times New Roman" w:cs="Times New Roman" w:eastAsia="Times New Roman" w:hAnsi="Times New Roman"/>
          <w:b/>
          <w:bCs/>
          <w:sz w:val="24"/>
          <w:szCs w:val="24"/>
        </w:rPr>
        <w:t xml:space="preserve">Scope: </w:t>
      </w:r>
      <w:r>
        <w:rPr>
          <w:rFonts w:ascii="Times New Roman" w:cs="Times New Roman" w:eastAsia="Times New Roman" w:hAnsi="Times New Roman"/>
          <w:sz w:val="24"/>
          <w:szCs w:val="24"/>
        </w:rPr>
        <w:t xml:space="preserve">human (Homo sapiens) only.</w:t>
      </w:r>
    </w:p>
    <w:p>
      <w:pPr>
        <w:pStyle w:val="Heading1"/>
        <w:spacing w:after="160" w:before="360" w:line="360"/>
      </w:pPr>
      <w:r>
        <w:rPr>
          <w:rFonts w:ascii="Times New Roman" w:cs="Times New Roman" w:eastAsia="Times New Roman" w:hAnsi="Times New Roman"/>
          <w:b/>
          <w:bCs/>
          <w:color w:val="1F3864"/>
          <w:sz w:val="32"/>
          <w:szCs w:val="32"/>
        </w:rPr>
        <w:t xml:space="preserve">Contents</w:t>
      </w:r>
    </w:p>
    <w:p>
      <w:pPr>
        <w:spacing w:after="40" w:line="360"/>
      </w:pPr>
      <w:r>
        <w:rPr>
          <w:rFonts w:ascii="Times New Roman" w:cs="Times New Roman" w:eastAsia="Times New Roman" w:hAnsi="Times New Roman"/>
          <w:sz w:val="24"/>
          <w:szCs w:val="24"/>
        </w:rPr>
        <w:t xml:space="preserve">1. Project overview and current state</w:t>
      </w:r>
    </w:p>
    <w:p>
      <w:pPr>
        <w:spacing w:after="40" w:line="360"/>
      </w:pPr>
      <w:r>
        <w:rPr>
          <w:rFonts w:ascii="Times New Roman" w:cs="Times New Roman" w:eastAsia="Times New Roman" w:hAnsi="Times New Roman"/>
          <w:sz w:val="24"/>
          <w:szCs w:val="24"/>
        </w:rPr>
        <w:t xml:space="preserve">2. Scope: what is included, what was cut, and why</w:t>
      </w:r>
    </w:p>
    <w:p>
      <w:pPr>
        <w:spacing w:after="40" w:line="360"/>
      </w:pPr>
      <w:r>
        <w:rPr>
          <w:rFonts w:ascii="Times New Roman" w:cs="Times New Roman" w:eastAsia="Times New Roman" w:hAnsi="Times New Roman"/>
          <w:sz w:val="24"/>
          <w:szCs w:val="24"/>
        </w:rPr>
        <w:t xml:space="preserve">3. Technology stack and exact versions</w:t>
      </w:r>
    </w:p>
    <w:p>
      <w:pPr>
        <w:spacing w:after="40" w:line="360"/>
      </w:pPr>
      <w:r>
        <w:rPr>
          <w:rFonts w:ascii="Times New Roman" w:cs="Times New Roman" w:eastAsia="Times New Roman" w:hAnsi="Times New Roman"/>
          <w:sz w:val="24"/>
          <w:szCs w:val="24"/>
        </w:rPr>
        <w:t xml:space="preserve">4. Data sources: loading, reconciliation and the problems each one raised</w:t>
      </w:r>
    </w:p>
    <w:p>
      <w:pPr>
        <w:spacing w:after="40" w:line="360"/>
      </w:pPr>
      <w:r>
        <w:rPr>
          <w:rFonts w:ascii="Times New Roman" w:cs="Times New Roman" w:eastAsia="Times New Roman" w:hAnsi="Times New Roman"/>
          <w:sz w:val="24"/>
          <w:szCs w:val="24"/>
        </w:rPr>
        <w:t xml:space="preserve">5. Database design</w:t>
      </w:r>
    </w:p>
    <w:p>
      <w:pPr>
        <w:spacing w:after="40" w:line="360"/>
      </w:pPr>
      <w:r>
        <w:rPr>
          <w:rFonts w:ascii="Times New Roman" w:cs="Times New Roman" w:eastAsia="Times New Roman" w:hAnsi="Times New Roman"/>
          <w:sz w:val="24"/>
          <w:szCs w:val="24"/>
        </w:rPr>
        <w:t xml:space="preserve">6. The tool contract: how a prediction method plugs in</w:t>
      </w:r>
    </w:p>
    <w:p>
      <w:pPr>
        <w:spacing w:after="40" w:line="360"/>
      </w:pPr>
      <w:r>
        <w:rPr>
          <w:rFonts w:ascii="Times New Roman" w:cs="Times New Roman" w:eastAsia="Times New Roman" w:hAnsi="Times New Roman"/>
          <w:sz w:val="24"/>
          <w:szCs w:val="24"/>
        </w:rPr>
        <w:t xml:space="preserve">7. The four analysis tools in detail</w:t>
      </w:r>
    </w:p>
    <w:p>
      <w:pPr>
        <w:spacing w:after="40" w:line="360"/>
      </w:pPr>
      <w:r>
        <w:rPr>
          <w:rFonts w:ascii="Times New Roman" w:cs="Times New Roman" w:eastAsia="Times New Roman" w:hAnsi="Times New Roman"/>
          <w:sz w:val="24"/>
          <w:szCs w:val="24"/>
        </w:rPr>
        <w:t xml:space="preserve">8. The orchestrator and the job model</w:t>
      </w:r>
    </w:p>
    <w:p>
      <w:pPr>
        <w:spacing w:after="40" w:line="360"/>
      </w:pPr>
      <w:r>
        <w:rPr>
          <w:rFonts w:ascii="Times New Roman" w:cs="Times New Roman" w:eastAsia="Times New Roman" w:hAnsi="Times New Roman"/>
          <w:sz w:val="24"/>
          <w:szCs w:val="24"/>
        </w:rPr>
        <w:t xml:space="preserve">9. The HTTP API</w:t>
      </w:r>
    </w:p>
    <w:p>
      <w:pPr>
        <w:spacing w:after="40" w:line="360"/>
      </w:pPr>
      <w:r>
        <w:rPr>
          <w:rFonts w:ascii="Times New Roman" w:cs="Times New Roman" w:eastAsia="Times New Roman" w:hAnsi="Times New Roman"/>
          <w:sz w:val="24"/>
          <w:szCs w:val="24"/>
        </w:rPr>
        <w:t xml:space="preserve">10. The web interface</w:t>
      </w:r>
    </w:p>
    <w:p>
      <w:pPr>
        <w:spacing w:after="40" w:line="360"/>
      </w:pPr>
      <w:r>
        <w:rPr>
          <w:rFonts w:ascii="Times New Roman" w:cs="Times New Roman" w:eastAsia="Times New Roman" w:hAnsi="Times New Roman"/>
          <w:sz w:val="24"/>
          <w:szCs w:val="24"/>
        </w:rPr>
        <w:t xml:space="preserve">11. Pathway analysis (GO and KEGG)</w:t>
      </w:r>
    </w:p>
    <w:p>
      <w:pPr>
        <w:spacing w:after="40" w:line="360"/>
      </w:pPr>
      <w:r>
        <w:rPr>
          <w:rFonts w:ascii="Times New Roman" w:cs="Times New Roman" w:eastAsia="Times New Roman" w:hAnsi="Times New Roman"/>
          <w:sz w:val="24"/>
          <w:szCs w:val="24"/>
        </w:rPr>
        <w:t xml:space="preserve">12. The target network</w:t>
      </w:r>
    </w:p>
    <w:p>
      <w:pPr>
        <w:spacing w:after="40" w:line="360"/>
      </w:pPr>
      <w:r>
        <w:rPr>
          <w:rFonts w:ascii="Times New Roman" w:cs="Times New Roman" w:eastAsia="Times New Roman" w:hAnsi="Times New Roman"/>
          <w:sz w:val="24"/>
          <w:szCs w:val="24"/>
        </w:rPr>
        <w:t xml:space="preserve">13. The export layer</w:t>
      </w:r>
    </w:p>
    <w:p>
      <w:pPr>
        <w:spacing w:after="40" w:line="360"/>
      </w:pPr>
      <w:r>
        <w:rPr>
          <w:rFonts w:ascii="Times New Roman" w:cs="Times New Roman" w:eastAsia="Times New Roman" w:hAnsi="Times New Roman"/>
          <w:sz w:val="24"/>
          <w:szCs w:val="24"/>
        </w:rPr>
        <w:t xml:space="preserve">14. Validation against the published literature</w:t>
      </w:r>
    </w:p>
    <w:p>
      <w:pPr>
        <w:spacing w:after="40" w:line="360"/>
      </w:pPr>
      <w:r>
        <w:rPr>
          <w:rFonts w:ascii="Times New Roman" w:cs="Times New Roman" w:eastAsia="Times New Roman" w:hAnsi="Times New Roman"/>
          <w:sz w:val="24"/>
          <w:szCs w:val="24"/>
        </w:rPr>
        <w:t xml:space="preserve">15. Measured performance</w:t>
      </w:r>
    </w:p>
    <w:p>
      <w:pPr>
        <w:spacing w:after="40" w:line="360"/>
      </w:pPr>
      <w:r>
        <w:rPr>
          <w:rFonts w:ascii="Times New Roman" w:cs="Times New Roman" w:eastAsia="Times New Roman" w:hAnsi="Times New Roman"/>
          <w:sz w:val="24"/>
          <w:szCs w:val="24"/>
        </w:rPr>
        <w:t xml:space="preserve">16. Problems faced at each stage, and how each was solved</w:t>
      </w:r>
    </w:p>
    <w:p>
      <w:pPr>
        <w:spacing w:after="40" w:line="360"/>
      </w:pPr>
      <w:r>
        <w:rPr>
          <w:rFonts w:ascii="Times New Roman" w:cs="Times New Roman" w:eastAsia="Times New Roman" w:hAnsi="Times New Roman"/>
          <w:sz w:val="24"/>
          <w:szCs w:val="24"/>
        </w:rPr>
        <w:t xml:space="preserve">17. Design decisions and the reasoning behind them</w:t>
      </w:r>
    </w:p>
    <w:p>
      <w:pPr>
        <w:spacing w:after="40" w:line="360"/>
      </w:pPr>
      <w:r>
        <w:rPr>
          <w:rFonts w:ascii="Times New Roman" w:cs="Times New Roman" w:eastAsia="Times New Roman" w:hAnsi="Times New Roman"/>
          <w:sz w:val="24"/>
          <w:szCs w:val="24"/>
        </w:rPr>
        <w:t xml:space="preserve">18. Known limitations, stated plainly</w:t>
      </w:r>
    </w:p>
    <w:p>
      <w:pPr>
        <w:spacing w:after="40" w:line="360"/>
      </w:pPr>
      <w:r>
        <w:rPr>
          <w:rFonts w:ascii="Times New Roman" w:cs="Times New Roman" w:eastAsia="Times New Roman" w:hAnsi="Times New Roman"/>
          <w:sz w:val="24"/>
          <w:szCs w:val="24"/>
        </w:rPr>
        <w:t xml:space="preserve">19. What is not built yet</w:t>
      </w:r>
    </w:p>
    <w:p>
      <w:pPr>
        <w:spacing w:after="40" w:line="360"/>
      </w:pPr>
      <w:r>
        <w:rPr>
          <w:rFonts w:ascii="Times New Roman" w:cs="Times New Roman" w:eastAsia="Times New Roman" w:hAnsi="Times New Roman"/>
          <w:sz w:val="24"/>
          <w:szCs w:val="24"/>
        </w:rPr>
        <w:t xml:space="preserve">20. How to reproduce every result in this document</w:t>
      </w:r>
    </w:p>
    <w:p>
      <w:pPr>
        <w:spacing w:after="40" w:line="360"/>
      </w:pPr>
      <w:r>
        <w:rPr>
          <w:rFonts w:ascii="Times New Roman" w:cs="Times New Roman" w:eastAsia="Times New Roman" w:hAnsi="Times New Roman"/>
          <w:sz w:val="24"/>
          <w:szCs w:val="24"/>
        </w:rPr>
        <w:t xml:space="preserve">21. Anticipated questions and short answers</w:t>
      </w:r>
    </w:p>
    <w:p>
      <w:r>
        <w:br w:type="page"/>
      </w:r>
    </w:p>
    <w:p>
      <w:pPr>
        <w:pStyle w:val="Heading1"/>
        <w:spacing w:after="160" w:before="360" w:line="360"/>
      </w:pPr>
      <w:r>
        <w:rPr>
          <w:rFonts w:ascii="Times New Roman" w:cs="Times New Roman" w:eastAsia="Times New Roman" w:hAnsi="Times New Roman"/>
          <w:b/>
          <w:bCs/>
          <w:color w:val="1F3864"/>
          <w:sz w:val="32"/>
          <w:szCs w:val="32"/>
        </w:rPr>
        <w:t xml:space="preserve">1. Project overview and current state</w:t>
      </w:r>
    </w:p>
    <w:p>
      <w:pPr>
        <w:spacing w:after="120" w:line="360"/>
      </w:pPr>
      <w:r>
        <w:rPr>
          <w:rFonts w:ascii="Times New Roman" w:cs="Times New Roman" w:eastAsia="Times New Roman" w:hAnsi="Times New Roman"/>
          <w:sz w:val="24"/>
          <w:szCs w:val="24"/>
        </w:rPr>
        <w:t xml:space="preserve">miRPanel answers one question end to end: given a human microRNA, which messenger RNAs is it likely to target, what is the evidence for each, and what biology do those targets add up to.</w:t>
      </w:r>
    </w:p>
    <w:p>
      <w:pPr>
        <w:spacing w:after="120" w:line="360"/>
      </w:pPr>
      <w:r>
        <w:rPr>
          <w:rFonts w:ascii="Times New Roman" w:cs="Times New Roman" w:eastAsia="Times New Roman" w:hAnsi="Times New Roman"/>
          <w:sz w:val="24"/>
          <w:szCs w:val="24"/>
        </w:rPr>
        <w:t xml:space="preserve">The user supplies a miRNA by name or accession, optionally restricts the search to particular genes, and selects which analysis methods to run. The system scans transcripts, collects the results of every selected method, and presents them as one table in which each method keeps its own column, its own units and its own direction. From that table the user can run gene-set enrichment (GO and KEGG), view the targets as a network, and export everything as a tab-separated file for scripting, an Excel workbook for reading, or a printable HTML report.</w:t>
      </w:r>
    </w:p>
    <w:p>
      <w:pPr>
        <w:pStyle w:val="Heading2"/>
        <w:spacing w:after="120" w:before="260" w:line="360"/>
      </w:pPr>
      <w:r>
        <w:rPr>
          <w:rFonts w:ascii="Times New Roman" w:cs="Times New Roman" w:eastAsia="Times New Roman" w:hAnsi="Times New Roman"/>
          <w:b/>
          <w:bCs/>
          <w:color w:val="2E5496"/>
          <w:sz w:val="26"/>
          <w:szCs w:val="26"/>
        </w:rPr>
        <w:t xml:space="preserve">Design principle that governs everything else</w:t>
      </w:r>
    </w:p>
    <w:p>
      <w:pPr>
        <w:spacing w:after="120" w:line="360"/>
      </w:pPr>
      <w:r>
        <w:rPr>
          <w:rFonts w:ascii="Times New Roman" w:cs="Times New Roman" w:eastAsia="Times New Roman" w:hAnsi="Times New Roman"/>
          <w:b/>
          <w:bCs/>
          <w:sz w:val="24"/>
          <w:szCs w:val="24"/>
        </w:rPr>
        <w:t xml:space="preserve">Four tools answer four different questions, and no single number can carry four answers.</w:t>
      </w:r>
      <w:r>
        <w:rPr>
          <w:rFonts w:ascii="Times New Roman" w:cs="Times New Roman" w:eastAsia="Times New Roman" w:hAnsi="Times New Roman"/>
          <w:sz w:val="24"/>
          <w:szCs w:val="24"/>
        </w:rPr>
        <w:t xml:space="preserve"> The seed analyser asks whether a canonical Watson–Crick match exists. RNAhybrid asks whether a duplex could physically form. TargetScan asks how much repression is expected given the sequence context, and separately whether evolution has preserved the site. miRTarBase asks whether anyone has tested the pair experimentally.</w:t>
      </w:r>
    </w:p>
    <w:p>
      <w:pPr>
        <w:spacing w:after="120" w:line="360"/>
      </w:pPr>
      <w:r>
        <w:rPr>
          <w:rFonts w:ascii="Times New Roman" w:cs="Times New Roman" w:eastAsia="Times New Roman" w:hAnsi="Times New Roman"/>
          <w:sz w:val="24"/>
          <w:szCs w:val="24"/>
        </w:rPr>
        <w:t xml:space="preserve">Their scores are measured in different units on different scales: a context++ score of −0.503 and a folding energy of −18.5 kcal/mol are not comparable quantities, and averaging them would invent a number that means nothing. The tool therefore never produces a combined score and never ranks genes across tools. Section 14 gives the concrete case where combining would have destroyed the most important result in the data set.</w:t>
      </w:r>
    </w:p>
    <w:p>
      <w:pPr>
        <w:pStyle w:val="Heading2"/>
        <w:spacing w:after="120" w:before="260" w:line="360"/>
      </w:pPr>
      <w:r>
        <w:rPr>
          <w:rFonts w:ascii="Times New Roman" w:cs="Times New Roman" w:eastAsia="Times New Roman" w:hAnsi="Times New Roman"/>
          <w:b/>
          <w:bCs/>
          <w:color w:val="2E5496"/>
          <w:sz w:val="26"/>
          <w:szCs w:val="26"/>
        </w:rPr>
        <w:t xml:space="preserve">Current state</w:t>
      </w:r>
    </w:p>
    <w:p>
      <w:pPr>
        <w:spacing w:after="120" w:line="360"/>
      </w:pPr>
      <w:r>
        <w:rPr>
          <w:rFonts w:ascii="Times New Roman" w:cs="Times New Roman" w:eastAsia="Times New Roman" w:hAnsi="Times New Roman"/>
          <w:sz w:val="24"/>
          <w:szCs w:val="24"/>
        </w:rPr>
        <w:t xml:space="preserve">The following are complete and in use:</w:t>
      </w:r>
    </w:p>
    <w:p>
      <w:pPr>
        <w:pStyle w:val="ListParagraph"/>
        <w:numPr>
          <w:ilvl w:val="0"/>
          <w:numId w:val="2"/>
        </w:numPr>
        <w:spacing w:after="80" w:line="360"/>
      </w:pPr>
      <w:r>
        <w:rPr>
          <w:rFonts w:ascii="Times New Roman" w:cs="Times New Roman" w:eastAsia="Times New Roman" w:hAnsi="Times New Roman"/>
          <w:sz w:val="24"/>
          <w:szCs w:val="24"/>
        </w:rPr>
        <w:t xml:space="preserve">Data layer: four external resources loaded, reconciled and version-stamped</w:t>
      </w:r>
    </w:p>
    <w:p>
      <w:pPr>
        <w:pStyle w:val="ListParagraph"/>
        <w:numPr>
          <w:ilvl w:val="0"/>
          <w:numId w:val="2"/>
        </w:numPr>
        <w:spacing w:after="80" w:line="360"/>
      </w:pPr>
      <w:r>
        <w:rPr>
          <w:rFonts w:ascii="Times New Roman" w:cs="Times New Roman" w:eastAsia="Times New Roman" w:hAnsi="Times New Roman"/>
          <w:sz w:val="24"/>
          <w:szCs w:val="24"/>
        </w:rPr>
        <w:t xml:space="preserve">Four analysis tools: seed analyser, RNAhybrid, TargetScan lookup, miRTarBase evidence</w:t>
      </w:r>
    </w:p>
    <w:p>
      <w:pPr>
        <w:pStyle w:val="ListParagraph"/>
        <w:numPr>
          <w:ilvl w:val="0"/>
          <w:numId w:val="2"/>
        </w:numPr>
        <w:spacing w:after="80" w:line="360"/>
      </w:pPr>
      <w:r>
        <w:rPr>
          <w:rFonts w:ascii="Times New Roman" w:cs="Times New Roman" w:eastAsia="Times New Roman" w:hAnsi="Times New Roman"/>
          <w:sz w:val="24"/>
          <w:szCs w:val="24"/>
        </w:rPr>
        <w:t xml:space="preserve">Job orchestration with a background worker and three queues</w:t>
      </w:r>
    </w:p>
    <w:p>
      <w:pPr>
        <w:pStyle w:val="ListParagraph"/>
        <w:numPr>
          <w:ilvl w:val="0"/>
          <w:numId w:val="2"/>
        </w:numPr>
        <w:spacing w:after="80" w:line="360"/>
      </w:pPr>
      <w:r>
        <w:rPr>
          <w:rFonts w:ascii="Times New Roman" w:cs="Times New Roman" w:eastAsia="Times New Roman" w:hAnsi="Times New Roman"/>
          <w:sz w:val="24"/>
          <w:szCs w:val="24"/>
        </w:rPr>
        <w:t xml:space="preserve">HTTP API (FastAPI) with a 21-assertion test suite</w:t>
      </w:r>
    </w:p>
    <w:p>
      <w:pPr>
        <w:pStyle w:val="ListParagraph"/>
        <w:numPr>
          <w:ilvl w:val="0"/>
          <w:numId w:val="2"/>
        </w:numPr>
        <w:spacing w:after="80" w:line="360"/>
      </w:pPr>
      <w:r>
        <w:rPr>
          <w:rFonts w:ascii="Times New Roman" w:cs="Times New Roman" w:eastAsia="Times New Roman" w:hAnsi="Times New Roman"/>
          <w:sz w:val="24"/>
          <w:szCs w:val="24"/>
        </w:rPr>
        <w:t xml:space="preserve">Web interface served from the same process, no build step</w:t>
      </w:r>
    </w:p>
    <w:p>
      <w:pPr>
        <w:pStyle w:val="ListParagraph"/>
        <w:numPr>
          <w:ilvl w:val="0"/>
          <w:numId w:val="2"/>
        </w:numPr>
        <w:spacing w:after="80" w:line="360"/>
      </w:pPr>
      <w:r>
        <w:rPr>
          <w:rFonts w:ascii="Times New Roman" w:cs="Times New Roman" w:eastAsia="Times New Roman" w:hAnsi="Times New Roman"/>
          <w:sz w:val="24"/>
          <w:szCs w:val="24"/>
        </w:rPr>
        <w:t xml:space="preserve">Gene-set enrichment through R and clusterProfiler, stored and reproducible</w:t>
      </w:r>
    </w:p>
    <w:p>
      <w:pPr>
        <w:pStyle w:val="ListParagraph"/>
        <w:numPr>
          <w:ilvl w:val="0"/>
          <w:numId w:val="2"/>
        </w:numPr>
        <w:spacing w:after="80" w:line="360"/>
      </w:pPr>
      <w:r>
        <w:rPr>
          <w:rFonts w:ascii="Times New Roman" w:cs="Times New Roman" w:eastAsia="Times New Roman" w:hAnsi="Times New Roman"/>
          <w:sz w:val="24"/>
          <w:szCs w:val="24"/>
        </w:rPr>
        <w:t xml:space="preserve">Target network view, interactive on the page and as a static figure in the report</w:t>
      </w:r>
    </w:p>
    <w:p>
      <w:pPr>
        <w:pStyle w:val="ListParagraph"/>
        <w:numPr>
          <w:ilvl w:val="0"/>
          <w:numId w:val="2"/>
        </w:numPr>
        <w:spacing w:after="80" w:line="360"/>
      </w:pPr>
      <w:r>
        <w:rPr>
          <w:rFonts w:ascii="Times New Roman" w:cs="Times New Roman" w:eastAsia="Times New Roman" w:hAnsi="Times New Roman"/>
          <w:sz w:val="24"/>
          <w:szCs w:val="24"/>
        </w:rPr>
        <w:t xml:space="preserve">Export in three formats, all carrying identical provenance</w:t>
      </w:r>
    </w:p>
    <w:p>
      <w:pPr>
        <w:spacing w:after="120" w:line="360"/>
      </w:pPr>
      <w:r>
        <w:rPr>
          <w:rFonts w:ascii="Times New Roman" w:cs="Times New Roman" w:eastAsia="Times New Roman" w:hAnsi="Times New Roman"/>
          <w:sz w:val="24"/>
          <w:szCs w:val="24"/>
        </w:rPr>
        <w:t xml:space="preserve">Not yet built: the benchmark (scripts written, not run), the machine-learning model (awaiting supervisory decision on features and training data), differential expression analysis, and deployment. Section 19 covers each.</w:t>
      </w:r>
    </w:p>
    <w:p>
      <w:pPr>
        <w:pStyle w:val="Heading1"/>
        <w:spacing w:after="160" w:before="360" w:line="360"/>
      </w:pPr>
      <w:r>
        <w:rPr>
          <w:rFonts w:ascii="Times New Roman" w:cs="Times New Roman" w:eastAsia="Times New Roman" w:hAnsi="Times New Roman"/>
          <w:b/>
          <w:bCs/>
          <w:color w:val="1F3864"/>
          <w:sz w:val="32"/>
          <w:szCs w:val="32"/>
        </w:rPr>
        <w:t xml:space="preserve">2. Scope: what is included, what was cut, and why</w:t>
      </w:r>
    </w:p>
    <w:p>
      <w:pPr>
        <w:spacing w:after="120" w:line="360"/>
      </w:pPr>
      <w:r>
        <w:rPr>
          <w:rFonts w:ascii="Times New Roman" w:cs="Times New Roman" w:eastAsia="Times New Roman" w:hAnsi="Times New Roman"/>
          <w:sz w:val="24"/>
          <w:szCs w:val="24"/>
        </w:rPr>
        <w:t xml:space="preserve">The project originally planned three species and five prediction methods. Both were narrowed on 9 September 2026 as a deliberate decision, not as a response to time pressure.</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1758"/>
        <w:gridCol w:w="1407"/>
        <w:gridCol w:w="5861"/>
      </w:tblGrid>
      <w:tr>
        <w:trPr>
          <w:tblHeader/>
        </w:trPr>
        <w:tc>
          <w:tcPr>
            <w:tcW w:type="dxa" w:w="1758"/>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Item</w:t>
            </w:r>
          </w:p>
        </w:tc>
        <w:tc>
          <w:tcPr>
            <w:tcW w:type="dxa" w:w="1407"/>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Decision</w:t>
            </w:r>
          </w:p>
        </w:tc>
        <w:tc>
          <w:tcPr>
            <w:tcW w:type="dxa" w:w="5861"/>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Reason</w:t>
            </w:r>
          </w:p>
        </w:tc>
      </w:tr>
      <w:tr>
        <w:tc>
          <w:tcPr>
            <w:tcW w:type="dxa" w:w="175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Mouse and rat</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Removed</w:t>
            </w:r>
          </w:p>
        </w:tc>
        <w:tc>
          <w:tcPr>
            <w:tcW w:type="dxa" w:w="5861"/>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MANE Select is human-only; mouse would need Ensembl Canonical instead, and no TargetScan release exists for rat. Two different transcript backbones in one tool would make positions incomparable.</w:t>
            </w:r>
          </w:p>
        </w:tc>
      </w:tr>
      <w:tr>
        <w:tc>
          <w:tcPr>
            <w:tcW w:type="dxa" w:w="175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miRanda</w:t>
            </w:r>
          </w:p>
        </w:tc>
        <w:tc>
          <w:tcPr>
            <w:tcW w:type="dxa" w:w="140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Removed</w:t>
            </w:r>
          </w:p>
        </w:tc>
        <w:tc>
          <w:tcPr>
            <w:tcW w:type="dxa" w:w="5861"/>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Not packaged in Debian, and it answers a question RNAhybrid already answers (alignment plus energy). A second opinion of the same kind was judged not worth a hand-built binary.</w:t>
            </w:r>
          </w:p>
        </w:tc>
      </w:tr>
      <w:tr>
        <w:tc>
          <w:tcPr>
            <w:tcW w:type="dxa" w:w="175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3′UTR-only scanning</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Extended to all regions</w:t>
            </w:r>
          </w:p>
        </w:tc>
        <w:tc>
          <w:tcPr>
            <w:tcW w:type="dxa" w:w="5861"/>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Validated sites occur in the CDS. BCL2's strongest canonical miR-21 site is a 7mer-m8 in coding sequence, which a 3′UTR-only tool cannot see at all.</w:t>
            </w:r>
          </w:p>
        </w:tc>
      </w:tr>
      <w:tr>
        <w:tc>
          <w:tcPr>
            <w:tcW w:type="dxa" w:w="175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Precomputed seed table</w:t>
            </w:r>
          </w:p>
        </w:tc>
        <w:tc>
          <w:tcPr>
            <w:tcW w:type="dxa" w:w="140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Rejected</w:t>
            </w:r>
          </w:p>
        </w:tc>
        <w:tc>
          <w:tcPr>
            <w:tcW w:type="dxa" w:w="5861"/>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Measured: 72 Mnt of transcript sequence loads from SQLite in 0.06 s and a full transcriptome seed scan takes 0.17 s. Storing a miRNA × transcript matrix would be large, stale and unnecessary.</w:t>
            </w:r>
          </w:p>
        </w:tc>
      </w:tr>
    </w:tbl>
    <w:p>
      <w:pPr>
        <w:spacing w:after="120"/>
      </w:pPr>
    </w:p>
    <w:p>
      <w:pPr>
        <w:spacing w:after="120" w:line="360"/>
      </w:pPr>
      <w:r>
        <w:rPr>
          <w:rFonts w:ascii="Times New Roman" w:cs="Times New Roman" w:eastAsia="Times New Roman" w:hAnsi="Times New Roman"/>
          <w:b/>
          <w:bCs/>
          <w:sz w:val="24"/>
          <w:szCs w:val="24"/>
        </w:rPr>
        <w:t xml:space="preserve">Governing storage principle: </w:t>
      </w:r>
      <w:r>
        <w:rPr>
          <w:rFonts w:ascii="Times New Roman" w:cs="Times New Roman" w:eastAsia="Times New Roman" w:hAnsi="Times New Roman"/>
          <w:sz w:val="24"/>
          <w:szCs w:val="24"/>
        </w:rPr>
        <w:t xml:space="preserve">store what cannot be recomputed, compute what can. </w:t>
      </w:r>
      <w:r>
        <w:rPr>
          <w:rFonts w:ascii="Times New Roman" w:cs="Times New Roman" w:eastAsia="Times New Roman" w:hAnsi="Times New Roman"/>
          <w:sz w:val="24"/>
          <w:szCs w:val="24"/>
        </w:rPr>
        <w:t xml:space="preserve">Sequences, published evidence and precomputed third-party predictions are stored because they come from outside. Seed matches are computed live because they are fast and deterministic. RNAhybrid results are cached after computation because they are slow.</w:t>
      </w:r>
    </w:p>
    <w:p>
      <w:pPr>
        <w:pStyle w:val="Heading1"/>
        <w:spacing w:after="160" w:before="360" w:line="360"/>
      </w:pPr>
      <w:r>
        <w:rPr>
          <w:rFonts w:ascii="Times New Roman" w:cs="Times New Roman" w:eastAsia="Times New Roman" w:hAnsi="Times New Roman"/>
          <w:b/>
          <w:bCs/>
          <w:color w:val="1F3864"/>
          <w:sz w:val="32"/>
          <w:szCs w:val="32"/>
        </w:rPr>
        <w:t xml:space="preserve">3. Technology stack and exact versions</w:t>
      </w:r>
    </w:p>
    <w:p>
      <w:pPr>
        <w:spacing w:after="120" w:line="360"/>
      </w:pPr>
      <w:r>
        <w:rPr>
          <w:rFonts w:ascii="Times New Roman" w:cs="Times New Roman" w:eastAsia="Times New Roman" w:hAnsi="Times New Roman"/>
          <w:sz w:val="24"/>
          <w:szCs w:val="24"/>
        </w:rPr>
        <w:t xml:space="preserve">Every version below is recorded in the database and printed on every export, so a result can always be traced to the software that produced it.</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2206"/>
        <w:gridCol w:w="1805"/>
        <w:gridCol w:w="5014"/>
      </w:tblGrid>
      <w:tr>
        <w:trPr>
          <w:tblHeader/>
        </w:trPr>
        <w:tc>
          <w:tcPr>
            <w:tcW w:type="dxa" w:w="2206"/>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Component</w:t>
            </w:r>
          </w:p>
        </w:tc>
        <w:tc>
          <w:tcPr>
            <w:tcW w:type="dxa" w:w="1805"/>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Version</w:t>
            </w:r>
          </w:p>
        </w:tc>
        <w:tc>
          <w:tcPr>
            <w:tcW w:type="dxa" w:w="5014"/>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Role</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Python</w:t>
            </w:r>
          </w:p>
        </w:tc>
        <w:tc>
          <w:tcPr>
            <w:tcW w:type="dxa" w:w="18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3.13.5</w:t>
            </w:r>
          </w:p>
        </w:tc>
        <w:tc>
          <w:tcPr>
            <w:tcW w:type="dxa" w:w="50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Backend, orchestration, all four tool wrappers</w:t>
            </w:r>
          </w:p>
        </w:tc>
      </w:tr>
      <w:tr>
        <w:tc>
          <w:tcPr>
            <w:tcW w:type="dxa" w:w="22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FastAPI</w:t>
            </w:r>
          </w:p>
        </w:tc>
        <w:tc>
          <w:tcPr>
            <w:tcW w:type="dxa" w:w="18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0.141.1</w:t>
            </w:r>
          </w:p>
        </w:tc>
        <w:tc>
          <w:tcPr>
            <w:tcW w:type="dxa" w:w="50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HTTP API</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Starlette</w:t>
            </w:r>
          </w:p>
        </w:tc>
        <w:tc>
          <w:tcPr>
            <w:tcW w:type="dxa" w:w="18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1.6.0</w:t>
            </w:r>
          </w:p>
        </w:tc>
        <w:tc>
          <w:tcPr>
            <w:tcW w:type="dxa" w:w="50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ASGI layer beneath FastAPI</w:t>
            </w:r>
          </w:p>
        </w:tc>
      </w:tr>
      <w:tr>
        <w:tc>
          <w:tcPr>
            <w:tcW w:type="dxa" w:w="22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Pydantic</w:t>
            </w:r>
          </w:p>
        </w:tc>
        <w:tc>
          <w:tcPr>
            <w:tcW w:type="dxa" w:w="18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2.13.5</w:t>
            </w:r>
          </w:p>
        </w:tc>
        <w:tc>
          <w:tcPr>
            <w:tcW w:type="dxa" w:w="50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Request validation</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Uvicorn</w:t>
            </w:r>
          </w:p>
        </w:tc>
        <w:tc>
          <w:tcPr>
            <w:tcW w:type="dxa" w:w="18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0.52.4</w:t>
            </w:r>
          </w:p>
        </w:tc>
        <w:tc>
          <w:tcPr>
            <w:tcW w:type="dxa" w:w="50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ASGI server</w:t>
            </w:r>
          </w:p>
        </w:tc>
      </w:tr>
      <w:tr>
        <w:tc>
          <w:tcPr>
            <w:tcW w:type="dxa" w:w="22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httpx</w:t>
            </w:r>
          </w:p>
        </w:tc>
        <w:tc>
          <w:tcPr>
            <w:tcW w:type="dxa" w:w="18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0.28.1</w:t>
            </w:r>
          </w:p>
        </w:tc>
        <w:tc>
          <w:tcPr>
            <w:tcW w:type="dxa" w:w="50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In-process API testing</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SQLite</w:t>
            </w:r>
          </w:p>
        </w:tc>
        <w:tc>
          <w:tcPr>
            <w:tcW w:type="dxa" w:w="18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3.46.1</w:t>
            </w:r>
          </w:p>
        </w:tc>
        <w:tc>
          <w:tcPr>
            <w:tcW w:type="dxa" w:w="50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Single-file database, WAL mode</w:t>
            </w:r>
          </w:p>
        </w:tc>
      </w:tr>
      <w:tr>
        <w:tc>
          <w:tcPr>
            <w:tcW w:type="dxa" w:w="22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openpyxl</w:t>
            </w:r>
          </w:p>
        </w:tc>
        <w:tc>
          <w:tcPr>
            <w:tcW w:type="dxa" w:w="18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current</w:t>
            </w:r>
          </w:p>
        </w:tc>
        <w:tc>
          <w:tcPr>
            <w:tcW w:type="dxa" w:w="50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Excel export (added 13 Sep 2026)</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w:t>
            </w:r>
          </w:p>
        </w:tc>
        <w:tc>
          <w:tcPr>
            <w:tcW w:type="dxa" w:w="18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4.5.0</w:t>
            </w:r>
          </w:p>
        </w:tc>
        <w:tc>
          <w:tcPr>
            <w:tcW w:type="dxa" w:w="50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Enrichment analysis</w:t>
            </w:r>
          </w:p>
        </w:tc>
      </w:tr>
      <w:tr>
        <w:tc>
          <w:tcPr>
            <w:tcW w:type="dxa" w:w="22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Bioconductor</w:t>
            </w:r>
          </w:p>
        </w:tc>
        <w:tc>
          <w:tcPr>
            <w:tcW w:type="dxa" w:w="18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3.22</w:t>
            </w:r>
          </w:p>
        </w:tc>
        <w:tc>
          <w:tcPr>
            <w:tcW w:type="dxa" w:w="50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 package repository</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clusterProfiler</w:t>
            </w:r>
          </w:p>
        </w:tc>
        <w:tc>
          <w:tcPr>
            <w:tcW w:type="dxa" w:w="18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4.18.4</w:t>
            </w:r>
          </w:p>
        </w:tc>
        <w:tc>
          <w:tcPr>
            <w:tcW w:type="dxa" w:w="50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GO and KEGG over-representation testing</w:t>
            </w:r>
          </w:p>
        </w:tc>
      </w:tr>
      <w:tr>
        <w:tc>
          <w:tcPr>
            <w:tcW w:type="dxa" w:w="22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org.Hs.eg.db</w:t>
            </w:r>
          </w:p>
        </w:tc>
        <w:tc>
          <w:tcPr>
            <w:tcW w:type="dxa" w:w="18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3.22.0</w:t>
            </w:r>
          </w:p>
        </w:tc>
        <w:tc>
          <w:tcPr>
            <w:tcW w:type="dxa" w:w="50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Human gene annotation</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miRBaseConverter</w:t>
            </w:r>
          </w:p>
        </w:tc>
        <w:tc>
          <w:tcPr>
            <w:tcW w:type="dxa" w:w="18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1.34.0</w:t>
            </w:r>
          </w:p>
        </w:tc>
        <w:tc>
          <w:tcPr>
            <w:tcW w:type="dxa" w:w="50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Historical miRNA name export</w:t>
            </w:r>
          </w:p>
        </w:tc>
      </w:tr>
      <w:tr>
        <w:tc>
          <w:tcPr>
            <w:tcW w:type="dxa" w:w="22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RNAhybrid</w:t>
            </w:r>
          </w:p>
        </w:tc>
        <w:tc>
          <w:tcPr>
            <w:tcW w:type="dxa" w:w="18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2.1.2-8 (Debian)</w:t>
            </w:r>
          </w:p>
        </w:tc>
        <w:tc>
          <w:tcPr>
            <w:tcW w:type="dxa" w:w="50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RNA–RNA duplex folding</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vis-network</w:t>
            </w:r>
          </w:p>
        </w:tc>
        <w:tc>
          <w:tcPr>
            <w:tcW w:type="dxa" w:w="18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10.1.2</w:t>
            </w:r>
          </w:p>
        </w:tc>
        <w:tc>
          <w:tcPr>
            <w:tcW w:type="dxa" w:w="50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Network rendering in the browser (vendored)</w:t>
            </w:r>
          </w:p>
        </w:tc>
      </w:tr>
    </w:tbl>
    <w:p>
      <w:pPr>
        <w:spacing w:after="120"/>
      </w:pPr>
    </w:p>
    <w:p>
      <w:pPr>
        <w:spacing w:after="120" w:line="360"/>
      </w:pPr>
      <w:r>
        <w:rPr>
          <w:rFonts w:ascii="Times New Roman" w:cs="Times New Roman" w:eastAsia="Times New Roman" w:hAnsi="Times New Roman"/>
          <w:sz w:val="24"/>
          <w:szCs w:val="24"/>
        </w:rPr>
        <w:t xml:space="preserve">Phases 1 to 5 — the seed analyser, the RNAhybrid wrapper, the data layer and the orchestrator — use the Python standard library alone. No third-party Python package is required to reproduce the core science.</w:t>
      </w:r>
    </w:p>
    <w:p>
      <w:pPr>
        <w:pStyle w:val="Heading2"/>
        <w:spacing w:after="120" w:before="260" w:line="360"/>
      </w:pPr>
      <w:r>
        <w:rPr>
          <w:rFonts w:ascii="Times New Roman" w:cs="Times New Roman" w:eastAsia="Times New Roman" w:hAnsi="Times New Roman"/>
          <w:b/>
          <w:bCs/>
          <w:color w:val="2E5496"/>
          <w:sz w:val="26"/>
          <w:szCs w:val="26"/>
        </w:rPr>
        <w:t xml:space="preserve">Why RNAhybrid comes from the Debian archive</w:t>
      </w:r>
    </w:p>
    <w:p>
      <w:pPr>
        <w:spacing w:after="120" w:line="360"/>
      </w:pPr>
      <w:r>
        <w:rPr>
          <w:rFonts w:ascii="Times New Roman" w:cs="Times New Roman" w:eastAsia="Times New Roman" w:hAnsi="Times New Roman"/>
          <w:sz w:val="24"/>
          <w:szCs w:val="24"/>
        </w:rPr>
        <w:t xml:space="preserve">RNAhybrid is a 2006-era C program. Building it by hand produces a binary whose provenance cannot be stated in a methods section. The Debian package rnahybrid 2.1.2-8 installs /usr/bin/RNAhybrid, RNAcalibrate and RNAeffective, is version-pinned by the distribution, and is reproducible by anyone on the same release. This also removed the need for the Docker container originally planned for it.</w:t>
      </w:r>
    </w:p>
    <w:p>
      <w:pPr>
        <w:pStyle w:val="Heading2"/>
        <w:spacing w:after="120" w:before="260" w:line="360"/>
      </w:pPr>
      <w:r>
        <w:rPr>
          <w:rFonts w:ascii="Times New Roman" w:cs="Times New Roman" w:eastAsia="Times New Roman" w:hAnsi="Times New Roman"/>
          <w:b/>
          <w:bCs/>
          <w:color w:val="2E5496"/>
          <w:sz w:val="26"/>
          <w:szCs w:val="26"/>
        </w:rPr>
        <w:t xml:space="preserve">Why the browser library is vendored, not loaded from a CDN</w:t>
      </w:r>
    </w:p>
    <w:p>
      <w:pPr>
        <w:spacing w:after="120" w:line="360"/>
      </w:pPr>
      <w:r>
        <w:rPr>
          <w:rFonts w:ascii="Times New Roman" w:cs="Times New Roman" w:eastAsia="Times New Roman" w:hAnsi="Times New Roman"/>
          <w:sz w:val="24"/>
          <w:szCs w:val="24"/>
        </w:rPr>
        <w:t xml:space="preserve">vis-network is stored in web/vendor/ and served by the application's own server rather than fetched from a content delivery network. Three reasons: the tool must work on a machine with no internet access; a CDN outage must not break a page that is otherwise entirely self-hosted; and a pinned local copy is the only version claim that stays true. Its MIT and Apache-2.0 licences are stored beside it.</w:t>
      </w:r>
    </w:p>
    <w:p>
      <w:r>
        <w:br w:type="page"/>
      </w:r>
    </w:p>
    <w:p>
      <w:pPr>
        <w:pStyle w:val="Heading1"/>
        <w:spacing w:after="160" w:before="360" w:line="360"/>
      </w:pPr>
      <w:r>
        <w:rPr>
          <w:rFonts w:ascii="Times New Roman" w:cs="Times New Roman" w:eastAsia="Times New Roman" w:hAnsi="Times New Roman"/>
          <w:b/>
          <w:bCs/>
          <w:color w:val="1F3864"/>
          <w:sz w:val="32"/>
          <w:szCs w:val="32"/>
        </w:rPr>
        <w:t xml:space="preserve">4. Data sources: loading, reconciliation and the problems each one raised</w:t>
      </w:r>
    </w:p>
    <w:p>
      <w:pPr>
        <w:spacing w:after="120" w:line="360"/>
      </w:pPr>
      <w:r>
        <w:rPr>
          <w:rFonts w:ascii="Times New Roman" w:cs="Times New Roman" w:eastAsia="Times New Roman" w:hAnsi="Times New Roman"/>
          <w:sz w:val="24"/>
          <w:szCs w:val="24"/>
        </w:rPr>
        <w:t xml:space="preserve">Four external resources are loaded. Each was version-checked, reconciled against the others, and every input row accounted for. The raw downloads are kept in data/raw/ so the database can always be rebuilt from scratch.</w:t>
      </w:r>
    </w:p>
    <w:p>
      <w:pPr>
        <w:pStyle w:val="Heading2"/>
        <w:spacing w:after="120" w:before="260" w:line="360"/>
      </w:pPr>
      <w:r>
        <w:rPr>
          <w:rFonts w:ascii="Times New Roman" w:cs="Times New Roman" w:eastAsia="Times New Roman" w:hAnsi="Times New Roman"/>
          <w:b/>
          <w:bCs/>
          <w:color w:val="2E5496"/>
          <w:sz w:val="26"/>
          <w:szCs w:val="26"/>
        </w:rPr>
        <w:t xml:space="preserve">4.1 MANE Select v1.5 — the transcript backbone</w:t>
      </w:r>
    </w:p>
    <w:p>
      <w:pPr>
        <w:spacing w:after="120" w:line="360"/>
      </w:pPr>
      <w:r>
        <w:rPr>
          <w:rFonts w:ascii="Times New Roman" w:cs="Times New Roman" w:eastAsia="Times New Roman" w:hAnsi="Times New Roman"/>
          <w:sz w:val="24"/>
          <w:szCs w:val="24"/>
        </w:rPr>
        <w:t xml:space="preserve">MANE (Matched Annotation from NCBI and EMBL-EBI) is a set of transcripts on which RefSeq and Ensembl agree exactly, one per gene. It is the coordinate system everything else is anchored to.</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3009"/>
        <w:gridCol w:w="6017"/>
      </w:tblGrid>
      <w:tr>
        <w:trPr>
          <w:tblHeader/>
        </w:trPr>
        <w:tc>
          <w:tcPr>
            <w:tcW w:type="dxa" w:w="3009"/>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Loaded</w:t>
            </w:r>
          </w:p>
        </w:tc>
        <w:tc>
          <w:tcPr>
            <w:tcW w:type="dxa" w:w="6017"/>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Count</w:t>
            </w:r>
          </w:p>
        </w:tc>
      </w:tr>
      <w:tr>
        <w:tc>
          <w:tcPr>
            <w:tcW w:type="dxa" w:w="300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Genes</w:t>
            </w:r>
          </w:p>
        </w:tc>
        <w:tc>
          <w:tcPr>
            <w:tcW w:type="dxa" w:w="601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19,363</w:t>
            </w:r>
          </w:p>
        </w:tc>
      </w:tr>
      <w:tr>
        <w:tc>
          <w:tcPr>
            <w:tcW w:type="dxa" w:w="300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Transcripts</w:t>
            </w:r>
          </w:p>
        </w:tc>
        <w:tc>
          <w:tcPr>
            <w:tcW w:type="dxa" w:w="601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19,437 (19,363 MANE Select + 74 MANE Plus Clinical)</w:t>
            </w:r>
          </w:p>
        </w:tc>
      </w:tr>
      <w:tr>
        <w:tc>
          <w:tcPr>
            <w:tcW w:type="dxa" w:w="300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Regions (5′UTR, CDS, 3′UTR)</w:t>
            </w:r>
          </w:p>
        </w:tc>
        <w:tc>
          <w:tcPr>
            <w:tcW w:type="dxa" w:w="601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57,460</w:t>
            </w:r>
          </w:p>
        </w:tc>
      </w:tr>
      <w:tr>
        <w:tc>
          <w:tcPr>
            <w:tcW w:type="dxa" w:w="300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Gene aliases</w:t>
            </w:r>
          </w:p>
        </w:tc>
        <w:tc>
          <w:tcPr>
            <w:tcW w:type="dxa" w:w="601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76,673</w:t>
            </w:r>
          </w:p>
        </w:tc>
      </w:tr>
    </w:tbl>
    <w:p>
      <w:pPr>
        <w:spacing w:after="120"/>
      </w:pPr>
    </w:p>
    <w:p>
      <w:pPr>
        <w:spacing w:after="120" w:line="360"/>
      </w:pPr>
      <w:r>
        <w:rPr>
          <w:rFonts w:ascii="Times New Roman" w:cs="Times New Roman" w:eastAsia="Times New Roman" w:hAnsi="Times New Roman"/>
          <w:b/>
          <w:bCs/>
          <w:sz w:val="24"/>
          <w:szCs w:val="24"/>
        </w:rPr>
        <w:t xml:space="preserve">Decision: scans use the 19,363 MANE Select transcripts only. </w:t>
      </w:r>
      <w:r>
        <w:rPr>
          <w:rFonts w:ascii="Times New Roman" w:cs="Times New Roman" w:eastAsia="Times New Roman" w:hAnsi="Times New Roman"/>
          <w:sz w:val="24"/>
          <w:szCs w:val="24"/>
        </w:rPr>
        <w:t xml:space="preserve">Each of the 74 MANE Plus Clinical transcripts belongs to a gene that already has a Select transcript, so including them would list 74 genes twice with different coordinates. Verified: hsa-miR-21-5p gives 4,365 sites of 7mer or better across MANE Select, and the 74 extra transcripts contribute exactly 28 more, reproducing the 4,393 measured before the orchestrator existed.</w:t>
      </w:r>
    </w:p>
    <w:p>
      <w:pPr>
        <w:spacing w:after="120" w:line="360"/>
      </w:pPr>
      <w:r>
        <w:rPr>
          <w:rFonts w:ascii="Times New Roman" w:cs="Times New Roman" w:eastAsia="Times New Roman" w:hAnsi="Times New Roman"/>
          <w:b/>
          <w:bCs/>
          <w:sz w:val="24"/>
          <w:szCs w:val="24"/>
        </w:rPr>
        <w:t xml:space="preserve">Why one transcript per gene matters: </w:t>
      </w:r>
      <w:r>
        <w:rPr>
          <w:rFonts w:ascii="Times New Roman" w:cs="Times New Roman" w:eastAsia="Times New Roman" w:hAnsi="Times New Roman"/>
          <w:sz w:val="24"/>
          <w:szCs w:val="24"/>
        </w:rPr>
        <w:t xml:space="preserve">a binding site position is only meaningful against the sequence it was measured on. Anchoring everything to a single agreed transcript per gene is what makes the seed analyser's position and RNAhybrid's position directly comparable.</w:t>
      </w:r>
    </w:p>
    <w:p>
      <w:pPr>
        <w:pStyle w:val="Heading2"/>
        <w:spacing w:after="120" w:before="260" w:line="360"/>
      </w:pPr>
      <w:r>
        <w:rPr>
          <w:rFonts w:ascii="Times New Roman" w:cs="Times New Roman" w:eastAsia="Times New Roman" w:hAnsi="Times New Roman"/>
          <w:b/>
          <w:bCs/>
          <w:color w:val="2E5496"/>
          <w:sz w:val="26"/>
          <w:szCs w:val="26"/>
        </w:rPr>
        <w:t xml:space="preserve">4.2 miRBase Release 23 — the miRNA namespace</w:t>
      </w:r>
    </w:p>
    <w:p>
      <w:pPr>
        <w:spacing w:after="120" w:line="360"/>
      </w:pPr>
      <w:r>
        <w:rPr>
          <w:rFonts w:ascii="Times New Roman" w:cs="Times New Roman" w:eastAsia="Times New Roman" w:hAnsi="Times New Roman"/>
          <w:sz w:val="24"/>
          <w:szCs w:val="24"/>
        </w:rPr>
        <w:t xml:space="preserve">miRBase Release 23 (August 2026) provides 69,020 mature miRNAs. The tool keys miRNAs by accession (MIMAT…), never by name.</w:t>
      </w:r>
    </w:p>
    <w:p>
      <w:pPr>
        <w:pStyle w:val="Heading3"/>
        <w:spacing w:after="100" w:before="200" w:line="360"/>
      </w:pPr>
      <w:r>
        <w:rPr>
          <w:rFonts w:ascii="Times New Roman" w:cs="Times New Roman" w:eastAsia="Times New Roman" w:hAnsi="Times New Roman"/>
          <w:b/>
          <w:bCs/>
          <w:i/>
          <w:iCs/>
          <w:sz w:val="24"/>
          <w:szCs w:val="24"/>
        </w:rPr>
        <w:t xml:space="preserve">Problem: seeds move between releases</w:t>
      </w:r>
    </w:p>
    <w:p>
      <w:pPr>
        <w:spacing w:after="120" w:line="360"/>
      </w:pPr>
      <w:r>
        <w:rPr>
          <w:rFonts w:ascii="Times New Roman" w:cs="Times New Roman" w:eastAsia="Times New Roman" w:hAnsi="Times New Roman"/>
          <w:sz w:val="24"/>
          <w:szCs w:val="24"/>
        </w:rPr>
        <w:t xml:space="preserve">243 of 2,594 human miRNAs had their seed sequence change between miRBase 22 and 23. The cause is not a different miRNA but 5′ end re-annotation: the same window slid one nucleotide along the sequence. Because the seed is defined as positions 2–8, trimming or extending the 5′ end renumbers every position.</w:t>
      </w:r>
    </w:p>
    <w:p>
      <w:pPr>
        <w:spacing w:after="120"/>
      </w:pPr>
    </w:p>
    <w:p>
      <w:pPr>
        <w:shd w:fill="F4F4F4" w:val="clear"/>
        <w:spacing w:after="0" w:before="100" w:line="240"/>
        <w:ind w:left="240"/>
      </w:pPr>
      <w:r>
        <w:rPr>
          <w:rFonts w:ascii="Consolas" w:cs="Consolas" w:eastAsia="Consolas" w:hAnsi="Consolas"/>
          <w:sz w:val="19"/>
          <w:szCs w:val="19"/>
        </w:rPr>
        <w:t xml:space="preserve">hsa-miR-146b-3p (MIMAT0004766)</w:t>
      </w:r>
    </w:p>
    <w:p>
      <w:pPr>
        <w:shd w:fill="F4F4F4" w:val="clear"/>
        <w:spacing w:after="0" w:before="0" w:line="240"/>
        <w:ind w:left="240"/>
      </w:pPr>
      <w:r>
        <w:rPr>
          <w:rFonts w:ascii="Consolas" w:cs="Consolas" w:eastAsia="Consolas" w:hAnsi="Consolas"/>
          <w:sz w:val="19"/>
          <w:szCs w:val="19"/>
        </w:rPr>
        <w:t xml:space="preserve">  TargetScan (v22 era)   GCCCTGT</w:t>
      </w:r>
    </w:p>
    <w:p>
      <w:pPr>
        <w:shd w:fill="F4F4F4" w:val="clear"/>
        <w:spacing w:after="140" w:before="0" w:line="240"/>
        <w:ind w:left="240"/>
      </w:pPr>
      <w:r>
        <w:rPr>
          <w:rFonts w:ascii="Consolas" w:cs="Consolas" w:eastAsia="Consolas" w:hAnsi="Consolas"/>
          <w:sz w:val="19"/>
          <w:szCs w:val="19"/>
        </w:rPr>
        <w:t xml:space="preserve">  miRBase R23            CCCTGTG</w:t>
      </w:r>
    </w:p>
    <w:p>
      <w:pPr>
        <w:spacing w:after="120" w:line="360"/>
      </w:pPr>
      <w:r>
        <w:rPr>
          <w:rFonts w:ascii="Times New Roman" w:cs="Times New Roman" w:eastAsia="Times New Roman" w:hAnsi="Times New Roman"/>
          <w:b/>
          <w:bCs/>
          <w:sz w:val="24"/>
          <w:szCs w:val="24"/>
        </w:rPr>
        <w:t xml:space="preserve">Solution: </w:t>
      </w:r>
      <w:r>
        <w:rPr>
          <w:rFonts w:ascii="Times New Roman" w:cs="Times New Roman" w:eastAsia="Times New Roman" w:hAnsi="Times New Roman"/>
          <w:sz w:val="24"/>
          <w:szCs w:val="24"/>
        </w:rPr>
        <w:t xml:space="preserve">miRNAs are keyed by accession, which is stable across releases, and TargetScan is joined on seed family rather than on miRNA identity. Where a seed has changed, the row is flagged seed_matches_current = 0 and the interface marks it rather than hiding the discrepancy.</w:t>
      </w:r>
    </w:p>
    <w:p>
      <w:pPr>
        <w:pStyle w:val="Heading3"/>
        <w:spacing w:after="100" w:before="200" w:line="360"/>
      </w:pPr>
      <w:r>
        <w:rPr>
          <w:rFonts w:ascii="Times New Roman" w:cs="Times New Roman" w:eastAsia="Times New Roman" w:hAnsi="Times New Roman"/>
          <w:b/>
          <w:bCs/>
          <w:i/>
          <w:iCs/>
          <w:sz w:val="24"/>
          <w:szCs w:val="24"/>
        </w:rPr>
        <w:t xml:space="preserve">Problem: old names cannot be resolved from current data</w:t>
      </w:r>
    </w:p>
    <w:p>
      <w:pPr>
        <w:spacing w:after="120" w:line="360"/>
      </w:pPr>
      <w:r>
        <w:rPr>
          <w:rFonts w:ascii="Times New Roman" w:cs="Times New Roman" w:eastAsia="Times New Roman" w:hAnsi="Times New Roman"/>
          <w:sz w:val="24"/>
          <w:szCs w:val="24"/>
        </w:rPr>
        <w:t xml:space="preserve">miRTarBase identifies miRNAs by name, and much of its CLIP-seq data comes from 2010–2013 papers using pre-suffix names such as hsa-miR-122 rather than hsa-miR-122-5p. miRBase serves only releases 20–22 directly, and 299 of these bare names have both arms annotated in Release 23, so the arm cannot be inferred.</w:t>
      </w:r>
    </w:p>
    <w:p>
      <w:pPr>
        <w:spacing w:after="120" w:line="360"/>
      </w:pPr>
      <w:r>
        <w:rPr>
          <w:rFonts w:ascii="Times New Roman" w:cs="Times New Roman" w:eastAsia="Times New Roman" w:hAnsi="Times New Roman"/>
          <w:b/>
          <w:bCs/>
          <w:sz w:val="24"/>
          <w:szCs w:val="24"/>
        </w:rPr>
        <w:t xml:space="preserve">Solution: </w:t>
      </w:r>
      <w:r>
        <w:rPr>
          <w:rFonts w:ascii="Times New Roman" w:cs="Times New Roman" w:eastAsia="Times New Roman" w:hAnsi="Times New Roman"/>
          <w:sz w:val="24"/>
          <w:szCs w:val="24"/>
        </w:rPr>
        <w:t xml:space="preserve">historical name-to-accession pairs were exported from miRBaseConverter 1.34.0, covering 22 miRBase releases from v6 (2005) to v22 (2018) — 3,486 unique human pairs, 774 of them not obtainable any other way. The effect on the miRTarBase load is quantified in section 4.4.</w:t>
      </w:r>
    </w:p>
    <w:p>
      <w:pPr>
        <w:pStyle w:val="Heading2"/>
        <w:spacing w:after="120" w:before="260" w:line="360"/>
      </w:pPr>
      <w:r>
        <w:rPr>
          <w:rFonts w:ascii="Times New Roman" w:cs="Times New Roman" w:eastAsia="Times New Roman" w:hAnsi="Times New Roman"/>
          <w:b/>
          <w:bCs/>
          <w:color w:val="2E5496"/>
          <w:sz w:val="26"/>
          <w:szCs w:val="26"/>
        </w:rPr>
        <w:t xml:space="preserve">4.3 TargetScan v8.0 — precomputed predictions</w:t>
      </w:r>
    </w:p>
    <w:p>
      <w:pPr>
        <w:spacing w:after="120" w:line="360"/>
      </w:pPr>
      <w:r>
        <w:rPr>
          <w:rFonts w:ascii="Times New Roman" w:cs="Times New Roman" w:eastAsia="Times New Roman" w:hAnsi="Times New Roman"/>
          <w:sz w:val="24"/>
          <w:szCs w:val="24"/>
        </w:rPr>
        <w:t xml:space="preserve">TargetScan 8.0 (September 2021) contributes 7,501,712 human predictions across 2,064 seed families. It is used as a local lookup and never queried live.</w:t>
      </w:r>
    </w:p>
    <w:p>
      <w:pPr>
        <w:pStyle w:val="Heading3"/>
        <w:spacing w:after="100" w:before="200" w:line="360"/>
      </w:pPr>
      <w:r>
        <w:rPr>
          <w:rFonts w:ascii="Times New Roman" w:cs="Times New Roman" w:eastAsia="Times New Roman" w:hAnsi="Times New Roman"/>
          <w:b/>
          <w:bCs/>
          <w:i/>
          <w:iCs/>
          <w:sz w:val="24"/>
          <w:szCs w:val="24"/>
        </w:rPr>
        <w:t xml:space="preserve">Problem: which miRBase release is TargetScan built on?</w:t>
      </w:r>
    </w:p>
    <w:p>
      <w:pPr>
        <w:spacing w:after="120" w:line="360"/>
      </w:pPr>
      <w:r>
        <w:rPr>
          <w:rFonts w:ascii="Times New Roman" w:cs="Times New Roman" w:eastAsia="Times New Roman" w:hAnsi="Times New Roman"/>
          <w:sz w:val="24"/>
          <w:szCs w:val="24"/>
        </w:rPr>
        <w:t xml:space="preserve">This had to be established rather than assumed, because a mismatch would silently join the wrong predictions to the wrong miRNA.</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3139"/>
        <w:gridCol w:w="1962"/>
        <w:gridCol w:w="1962"/>
        <w:gridCol w:w="1962"/>
      </w:tblGrid>
      <w:tr>
        <w:trPr>
          <w:tblHeader/>
        </w:trPr>
        <w:tc>
          <w:tcPr>
            <w:tcW w:type="dxa" w:w="3139"/>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Compared against</w:t>
            </w:r>
          </w:p>
        </w:tc>
        <w:tc>
          <w:tcPr>
            <w:tcW w:type="dxa" w:w="1962"/>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Seeds identical</w:t>
            </w:r>
          </w:p>
        </w:tc>
        <w:tc>
          <w:tcPr>
            <w:tcW w:type="dxa" w:w="1962"/>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Seeds different</w:t>
            </w:r>
          </w:p>
        </w:tc>
        <w:tc>
          <w:tcPr>
            <w:tcW w:type="dxa" w:w="1962"/>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Accession absent</w:t>
            </w:r>
          </w:p>
        </w:tc>
      </w:tr>
      <w:tr>
        <w:tc>
          <w:tcPr>
            <w:tcW w:type="dxa" w:w="313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miRBase R22 (2,656 human)</w:t>
            </w:r>
          </w:p>
        </w:tc>
        <w:tc>
          <w:tcPr>
            <w:tcW w:type="dxa" w:w="196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2,550</w:t>
            </w:r>
          </w:p>
        </w:tc>
        <w:tc>
          <w:tcPr>
            <w:tcW w:type="dxa" w:w="196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4</w:t>
            </w:r>
          </w:p>
        </w:tc>
        <w:tc>
          <w:tcPr>
            <w:tcW w:type="dxa" w:w="196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52</w:t>
            </w:r>
          </w:p>
        </w:tc>
      </w:tr>
      <w:tr>
        <w:tc>
          <w:tcPr>
            <w:tcW w:type="dxa" w:w="313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miRBase R23 (2,789 human)</w:t>
            </w:r>
          </w:p>
        </w:tc>
        <w:tc>
          <w:tcPr>
            <w:tcW w:type="dxa" w:w="196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2,264</w:t>
            </w:r>
          </w:p>
        </w:tc>
        <w:tc>
          <w:tcPr>
            <w:tcW w:type="dxa" w:w="196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238</w:t>
            </w:r>
          </w:p>
        </w:tc>
        <w:tc>
          <w:tcPr>
            <w:tcW w:type="dxa" w:w="196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104</w:t>
            </w:r>
          </w:p>
        </w:tc>
      </w:tr>
    </w:tbl>
    <w:p>
      <w:pPr>
        <w:spacing w:after="120"/>
      </w:pPr>
    </w:p>
    <w:p>
      <w:pPr>
        <w:spacing w:after="120" w:line="360"/>
      </w:pPr>
      <w:r>
        <w:rPr>
          <w:rFonts w:ascii="Times New Roman" w:cs="Times New Roman" w:eastAsia="Times New Roman" w:hAnsi="Times New Roman"/>
          <w:sz w:val="24"/>
          <w:szCs w:val="24"/>
        </w:rPr>
        <w:t xml:space="preserve">Agreement with R22 is 2,550/2,554 = 99.84% where comparable. TargetScan v8.0 is a miRBase v22-era resource. Joining it to R23 by accession resolves 2,502 of 2,606 (96.0%); 104 accessions no longer exist in R23, of which 31 are recoverable through their seed family and 73 (2.8%) are not.</w:t>
      </w:r>
    </w:p>
    <w:p>
      <w:pPr>
        <w:pStyle w:val="Heading3"/>
        <w:spacing w:after="100" w:before="200" w:line="360"/>
      </w:pPr>
      <w:r>
        <w:rPr>
          <w:rFonts w:ascii="Times New Roman" w:cs="Times New Roman" w:eastAsia="Times New Roman" w:hAnsi="Times New Roman"/>
          <w:b/>
          <w:bCs/>
          <w:i/>
          <w:iCs/>
          <w:sz w:val="24"/>
          <w:szCs w:val="24"/>
        </w:rPr>
        <w:t xml:space="preserve">Problem: gene identifiers do not match</w:t>
      </w:r>
    </w:p>
    <w:p>
      <w:pPr>
        <w:spacing w:after="120" w:line="360"/>
      </w:pPr>
      <w:r>
        <w:rPr>
          <w:rFonts w:ascii="Times New Roman" w:cs="Times New Roman" w:eastAsia="Times New Roman" w:hAnsi="Times New Roman"/>
          <w:sz w:val="24"/>
          <w:szCs w:val="24"/>
        </w:rPr>
        <w:t xml:space="preserve">TargetScan's Gene_info file lists 28,352 human transcripts across 19,474 genes using versioned Ensembl identifiers. Three candidate join keys were measured before one was chosen:</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3209"/>
        <w:gridCol w:w="5817"/>
      </w:tblGrid>
      <w:tr>
        <w:trPr>
          <w:tblHeader/>
        </w:trPr>
        <w:tc>
          <w:tcPr>
            <w:tcW w:type="dxa" w:w="3209"/>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Join key</w:t>
            </w:r>
          </w:p>
        </w:tc>
        <w:tc>
          <w:tcPr>
            <w:tcW w:type="dxa" w:w="5817"/>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Distinct TargetScan entries finding a MANE match</w:t>
            </w:r>
          </w:p>
        </w:tc>
      </w:tr>
      <w:tr>
        <w:tc>
          <w:tcPr>
            <w:tcW w:type="dxa" w:w="320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Ensembl transcript</w:t>
            </w:r>
          </w:p>
        </w:tc>
        <w:tc>
          <w:tcPr>
            <w:tcW w:type="dxa" w:w="581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12,875</w:t>
            </w:r>
          </w:p>
        </w:tc>
      </w:tr>
      <w:tr>
        <w:tc>
          <w:tcPr>
            <w:tcW w:type="dxa" w:w="320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Ensembl gene</w:t>
            </w:r>
          </w:p>
        </w:tc>
        <w:tc>
          <w:tcPr>
            <w:tcW w:type="dxa" w:w="581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18,187</w:t>
            </w:r>
          </w:p>
        </w:tc>
      </w:tr>
      <w:tr>
        <w:tc>
          <w:tcPr>
            <w:tcW w:type="dxa" w:w="320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Gene symbol</w:t>
            </w:r>
          </w:p>
        </w:tc>
        <w:tc>
          <w:tcPr>
            <w:tcW w:type="dxa" w:w="581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17,212</w:t>
            </w:r>
          </w:p>
        </w:tc>
      </w:tr>
    </w:tbl>
    <w:p>
      <w:pPr>
        <w:spacing w:after="120"/>
      </w:pPr>
    </w:p>
    <w:p>
      <w:pPr>
        <w:spacing w:after="120" w:line="360"/>
      </w:pPr>
      <w:r>
        <w:rPr>
          <w:rFonts w:ascii="Times New Roman" w:cs="Times New Roman" w:eastAsia="Times New Roman" w:hAnsi="Times New Roman"/>
          <w:b/>
          <w:bCs/>
          <w:sz w:val="24"/>
          <w:szCs w:val="24"/>
        </w:rPr>
        <w:t xml:space="preserve">Solution: </w:t>
      </w:r>
      <w:r>
        <w:rPr>
          <w:rFonts w:ascii="Times New Roman" w:cs="Times New Roman" w:eastAsia="Times New Roman" w:hAnsi="Times New Roman"/>
          <w:sz w:val="24"/>
          <w:szCs w:val="24"/>
        </w:rPr>
        <w:t xml:space="preserve">a resolver cascade — Ensembl gene, then gene symbol, then gene alias — reaching 18,593 of 19,474 (95.5%). Version suffixes are stripped before joining. Where 110 Entrez ids received more than one Ensembl gene id, the Ensembl gene whose representative transcript is the MANE transcript was kept, with ties broken by sorted Ensembl id so the load is reproducible.</w:t>
      </w:r>
    </w:p>
    <w:p>
      <w:pPr>
        <w:pStyle w:val="Heading3"/>
        <w:spacing w:after="100" w:before="200" w:line="360"/>
      </w:pPr>
      <w:r>
        <w:rPr>
          <w:rFonts w:ascii="Times New Roman" w:cs="Times New Roman" w:eastAsia="Times New Roman" w:hAnsi="Times New Roman"/>
          <w:b/>
          <w:bCs/>
          <w:i/>
          <w:iCs/>
          <w:sz w:val="24"/>
          <w:szCs w:val="24"/>
        </w:rPr>
        <w:t xml:space="preserve">Problem: TargetScan scores a different transcript</w:t>
      </w:r>
    </w:p>
    <w:p>
      <w:pPr>
        <w:spacing w:after="120" w:line="360"/>
      </w:pPr>
      <w:r>
        <w:rPr>
          <w:rFonts w:ascii="Times New Roman" w:cs="Times New Roman" w:eastAsia="Times New Roman" w:hAnsi="Times New Roman"/>
          <w:sz w:val="24"/>
          <w:szCs w:val="24"/>
        </w:rPr>
        <w:t xml:space="preserve">TargetScan predicts on its own representative transcript per gene, chosen by 3P-seq support. For the resolved genes, that representative is the MANE transcript for 11,372 (61.2%) and a different transcript for 7,189 (38.7%).</w:t>
      </w:r>
    </w:p>
    <w:p>
      <w:pPr>
        <w:spacing w:after="120" w:line="360"/>
      </w:pPr>
      <w:r>
        <w:rPr>
          <w:rFonts w:ascii="Times New Roman" w:cs="Times New Roman" w:eastAsia="Times New Roman" w:hAnsi="Times New Roman"/>
          <w:b/>
          <w:bCs/>
          <w:sz w:val="24"/>
          <w:szCs w:val="24"/>
        </w:rPr>
        <w:t xml:space="preserve">Solution: </w:t>
      </w:r>
      <w:r>
        <w:rPr>
          <w:rFonts w:ascii="Times New Roman" w:cs="Times New Roman" w:eastAsia="Times New Roman" w:hAnsi="Times New Roman"/>
          <w:sz w:val="24"/>
          <w:szCs w:val="24"/>
        </w:rPr>
        <w:t xml:space="preserve">TargetScan results are joined and displayed at </w:t>
      </w:r>
      <w:r>
        <w:rPr>
          <w:rFonts w:ascii="Times New Roman" w:cs="Times New Roman" w:eastAsia="Times New Roman" w:hAnsi="Times New Roman"/>
          <w:b/>
          <w:bCs/>
          <w:sz w:val="24"/>
          <w:szCs w:val="24"/>
        </w:rPr>
        <w:t xml:space="preserve">gene level, never transcript level</w:t>
      </w:r>
      <w:r>
        <w:rPr>
          <w:rFonts w:ascii="Times New Roman" w:cs="Times New Roman" w:eastAsia="Times New Roman" w:hAnsi="Times New Roman"/>
          <w:sz w:val="24"/>
          <w:szCs w:val="24"/>
        </w:rPr>
        <w:t xml:space="preserve">, and no TargetScan site position is ever shown. For the 38.7% the underlying 3′UTR sequence differs from the one the other tools scan, so a position would not be comparable. TargetScan's hg19 genome-coordinate files are never used. Section 14 shows this 38.7% landing on a validated target and explains a result that would otherwise look like a false negative.</w:t>
      </w:r>
    </w:p>
    <w:p>
      <w:pPr>
        <w:pStyle w:val="Heading3"/>
        <w:spacing w:after="100" w:before="200" w:line="360"/>
      </w:pPr>
      <w:r>
        <w:rPr>
          <w:rFonts w:ascii="Times New Roman" w:cs="Times New Roman" w:eastAsia="Times New Roman" w:hAnsi="Times New Roman"/>
          <w:b/>
          <w:bCs/>
          <w:i/>
          <w:iCs/>
          <w:sz w:val="24"/>
          <w:szCs w:val="24"/>
        </w:rPr>
        <w:t xml:space="preserve">Load accounting</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4613"/>
        <w:gridCol w:w="4413"/>
      </w:tblGrid>
      <w:tr>
        <w:trPr>
          <w:tblHeader/>
        </w:trPr>
        <w:tc>
          <w:tcPr>
            <w:tcW w:type="dxa" w:w="4613"/>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Outcome</w:t>
            </w:r>
          </w:p>
        </w:tc>
        <w:tc>
          <w:tcPr>
            <w:tcW w:type="dxa" w:w="4413"/>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Rows</w:t>
            </w:r>
          </w:p>
        </w:tc>
      </w:tr>
      <w:tr>
        <w:tc>
          <w:tcPr>
            <w:tcW w:type="dxa" w:w="4613"/>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Loaded</w:t>
            </w:r>
          </w:p>
        </w:tc>
        <w:tc>
          <w:tcPr>
            <w:tcW w:type="dxa" w:w="4413"/>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7,501,712</w:t>
            </w:r>
          </w:p>
        </w:tc>
      </w:tr>
      <w:tr>
        <w:tc>
          <w:tcPr>
            <w:tcW w:type="dxa" w:w="4613"/>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Dropped — gene not in MANE</w:t>
            </w:r>
          </w:p>
        </w:tc>
        <w:tc>
          <w:tcPr>
            <w:tcW w:type="dxa" w:w="4413"/>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226,824</w:t>
            </w:r>
          </w:p>
        </w:tc>
      </w:tr>
      <w:tr>
        <w:tc>
          <w:tcPr>
            <w:tcW w:type="dxa" w:w="4613"/>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Dropped — duplicate Ensembl gene for one Entrez</w:t>
            </w:r>
          </w:p>
        </w:tc>
        <w:tc>
          <w:tcPr>
            <w:tcW w:type="dxa" w:w="4413"/>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36,529</w:t>
            </w:r>
          </w:p>
        </w:tc>
      </w:tr>
      <w:tr>
        <w:tc>
          <w:tcPr>
            <w:tcW w:type="dxa" w:w="4613"/>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Input total (Summary_Counts.all_predictions, human)</w:t>
            </w:r>
          </w:p>
        </w:tc>
        <w:tc>
          <w:tcPr>
            <w:tcW w:type="dxa" w:w="4413"/>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7,765,065</w:t>
            </w:r>
          </w:p>
        </w:tc>
      </w:tr>
    </w:tbl>
    <w:p>
      <w:pPr>
        <w:spacing w:after="120"/>
      </w:pPr>
    </w:p>
    <w:p>
      <w:pPr>
        <w:spacing w:after="120" w:line="360"/>
      </w:pPr>
      <w:r>
        <w:rPr>
          <w:rFonts w:ascii="Times New Roman" w:cs="Times New Roman" w:eastAsia="Times New Roman" w:hAnsi="Times New Roman"/>
          <w:sz w:val="24"/>
          <w:szCs w:val="24"/>
        </w:rPr>
        <w:t xml:space="preserve">The three outcomes sum exactly to the input. Every row is accounted for; nothing is silently discarded.</w:t>
      </w:r>
    </w:p>
    <w:p>
      <w:pPr>
        <w:pStyle w:val="Heading2"/>
        <w:spacing w:after="120" w:before="260" w:line="360"/>
      </w:pPr>
      <w:r>
        <w:rPr>
          <w:rFonts w:ascii="Times New Roman" w:cs="Times New Roman" w:eastAsia="Times New Roman" w:hAnsi="Times New Roman"/>
          <w:b/>
          <w:bCs/>
          <w:color w:val="2E5496"/>
          <w:sz w:val="26"/>
          <w:szCs w:val="26"/>
        </w:rPr>
        <w:t xml:space="preserve">4.4 miRTarBase 10.0 — experimental evidence</w:t>
      </w:r>
    </w:p>
    <w:p>
      <w:pPr>
        <w:spacing w:after="120" w:line="360"/>
      </w:pPr>
      <w:r>
        <w:rPr>
          <w:rFonts w:ascii="Times New Roman" w:cs="Times New Roman" w:eastAsia="Times New Roman" w:hAnsi="Times New Roman"/>
          <w:sz w:val="24"/>
          <w:szCs w:val="24"/>
        </w:rPr>
        <w:t xml:space="preserve">miRTarBase supplies the experimental record: 4,004,479 human interaction rows. It is classified as evidence, not prediction, and is never presented as a predictor.</w:t>
      </w:r>
    </w:p>
    <w:p>
      <w:pPr>
        <w:pStyle w:val="Heading3"/>
        <w:spacing w:after="100" w:before="200" w:line="360"/>
      </w:pPr>
      <w:r>
        <w:rPr>
          <w:rFonts w:ascii="Times New Roman" w:cs="Times New Roman" w:eastAsia="Times New Roman" w:hAnsi="Times New Roman"/>
          <w:b/>
          <w:bCs/>
          <w:i/>
          <w:iCs/>
          <w:sz w:val="24"/>
          <w:szCs w:val="24"/>
        </w:rPr>
        <w:t xml:space="preserve">A version trap worth noting</w:t>
      </w:r>
    </w:p>
    <w:p>
      <w:pPr>
        <w:spacing w:after="120" w:line="360"/>
      </w:pPr>
      <w:r>
        <w:rPr>
          <w:rFonts w:ascii="Times New Roman" w:cs="Times New Roman" w:eastAsia="Times New Roman" w:hAnsi="Times New Roman"/>
          <w:sz w:val="24"/>
          <w:szCs w:val="24"/>
        </w:rPr>
        <w:t xml:space="preserve">The download page is headed "Release 11.0", but every link serves /10.0/ files and /11.0/ returns 404. The database therefore records 10.0, which is what is actually loaded. A methods section quoting 11.0 from the page heading would be wrong.</w:t>
      </w:r>
    </w:p>
    <w:p>
      <w:pPr>
        <w:pStyle w:val="Heading3"/>
        <w:spacing w:after="100" w:before="200" w:line="360"/>
      </w:pPr>
      <w:r>
        <w:rPr>
          <w:rFonts w:ascii="Times New Roman" w:cs="Times New Roman" w:eastAsia="Times New Roman" w:hAnsi="Times New Roman"/>
          <w:b/>
          <w:bCs/>
          <w:i/>
          <w:iCs/>
          <w:sz w:val="24"/>
          <w:szCs w:val="24"/>
        </w:rPr>
        <w:t xml:space="preserve">Evidence tiers, and why one of them is not validation</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4613"/>
        <w:gridCol w:w="4413"/>
      </w:tblGrid>
      <w:tr>
        <w:trPr>
          <w:tblHeader/>
        </w:trPr>
        <w:tc>
          <w:tcPr>
            <w:tcW w:type="dxa" w:w="4613"/>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Support type</w:t>
            </w:r>
          </w:p>
        </w:tc>
        <w:tc>
          <w:tcPr>
            <w:tcW w:type="dxa" w:w="4413"/>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Rows</w:t>
            </w:r>
          </w:p>
        </w:tc>
      </w:tr>
      <w:tr>
        <w:tc>
          <w:tcPr>
            <w:tcW w:type="dxa" w:w="4613"/>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Functional MTI (Weak)</w:t>
            </w:r>
          </w:p>
        </w:tc>
        <w:tc>
          <w:tcPr>
            <w:tcW w:type="dxa" w:w="4413"/>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3,981,769</w:t>
            </w:r>
          </w:p>
        </w:tc>
      </w:tr>
      <w:tr>
        <w:tc>
          <w:tcPr>
            <w:tcW w:type="dxa" w:w="4613"/>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Functional MTI</w:t>
            </w:r>
          </w:p>
        </w:tc>
        <w:tc>
          <w:tcPr>
            <w:tcW w:type="dxa" w:w="4413"/>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18,044</w:t>
            </w:r>
          </w:p>
        </w:tc>
      </w:tr>
      <w:tr>
        <w:tc>
          <w:tcPr>
            <w:tcW w:type="dxa" w:w="4613"/>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Non-Functional MTI</w:t>
            </w:r>
          </w:p>
        </w:tc>
        <w:tc>
          <w:tcPr>
            <w:tcW w:type="dxa" w:w="4413"/>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4,236</w:t>
            </w:r>
          </w:p>
        </w:tc>
      </w:tr>
      <w:tr>
        <w:tc>
          <w:tcPr>
            <w:tcW w:type="dxa" w:w="4613"/>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Non-Functional MTI (Weak)</w:t>
            </w:r>
          </w:p>
        </w:tc>
        <w:tc>
          <w:tcPr>
            <w:tcW w:type="dxa" w:w="4413"/>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430</w:t>
            </w:r>
          </w:p>
        </w:tc>
      </w:tr>
    </w:tbl>
    <w:p>
      <w:pPr>
        <w:spacing w:after="120"/>
      </w:pPr>
    </w:p>
    <w:p>
      <w:pPr>
        <w:spacing w:after="120" w:line="360"/>
      </w:pPr>
      <w:r>
        <w:rPr>
          <w:rFonts w:ascii="Times New Roman" w:cs="Times New Roman" w:eastAsia="Times New Roman" w:hAnsi="Times New Roman"/>
          <w:sz w:val="24"/>
          <w:szCs w:val="24"/>
        </w:rPr>
        <w:t xml:space="preserve">Non-Functional MTI records a published finding that the miRNA does </w:t>
      </w:r>
      <w:r>
        <w:rPr>
          <w:rFonts w:ascii="Times New Roman" w:cs="Times New Roman" w:eastAsia="Times New Roman" w:hAnsi="Times New Roman"/>
          <w:i/>
          <w:iCs/>
          <w:sz w:val="24"/>
          <w:szCs w:val="24"/>
        </w:rPr>
        <w:t xml:space="preserve">not</w:t>
      </w:r>
      <w:r>
        <w:rPr>
          <w:rFonts w:ascii="Times New Roman" w:cs="Times New Roman" w:eastAsia="Times New Roman" w:hAnsi="Times New Roman"/>
          <w:sz w:val="24"/>
          <w:szCs w:val="24"/>
        </w:rPr>
        <w:t xml:space="preserve"> regulate the gene. It is stored and counted but never displayed as validation. The loader refuses to run if any support type outside these four appears, so a future release that adds a category cannot be loaded silently.</w:t>
      </w:r>
    </w:p>
    <w:p>
      <w:pPr>
        <w:pStyle w:val="Heading3"/>
        <w:spacing w:after="100" w:before="200" w:line="360"/>
      </w:pPr>
      <w:r>
        <w:rPr>
          <w:rFonts w:ascii="Times New Roman" w:cs="Times New Roman" w:eastAsia="Times New Roman" w:hAnsi="Times New Roman"/>
          <w:b/>
          <w:bCs/>
          <w:i/>
          <w:iCs/>
          <w:sz w:val="24"/>
          <w:szCs w:val="24"/>
        </w:rPr>
        <w:t xml:space="preserve">Problem: 22.5% of evidence rows could not be resolved</w:t>
      </w:r>
    </w:p>
    <w:p>
      <w:pPr>
        <w:spacing w:after="120" w:line="360"/>
      </w:pPr>
      <w:r>
        <w:rPr>
          <w:rFonts w:ascii="Times New Roman" w:cs="Times New Roman" w:eastAsia="Times New Roman" w:hAnsi="Times New Roman"/>
          <w:sz w:val="24"/>
          <w:szCs w:val="24"/>
        </w:rPr>
        <w:t xml:space="preserve">Progressive reconciliation using the historical alias export from section 4.2:</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4613"/>
        <w:gridCol w:w="4413"/>
      </w:tblGrid>
      <w:tr>
        <w:trPr>
          <w:tblHeader/>
        </w:trPr>
        <w:tc>
          <w:tcPr>
            <w:tcW w:type="dxa" w:w="4613"/>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Stage</w:t>
            </w:r>
          </w:p>
        </w:tc>
        <w:tc>
          <w:tcPr>
            <w:tcW w:type="dxa" w:w="4413"/>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Unresolved evidence rows</w:t>
            </w:r>
          </w:p>
        </w:tc>
      </w:tr>
      <w:tr>
        <w:tc>
          <w:tcPr>
            <w:tcW w:type="dxa" w:w="4613"/>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miRBase 22 aliases only</w:t>
            </w:r>
          </w:p>
        </w:tc>
        <w:tc>
          <w:tcPr>
            <w:tcW w:type="dxa" w:w="4413"/>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899,902 (22.5%)</w:t>
            </w:r>
          </w:p>
        </w:tc>
      </w:tr>
      <w:tr>
        <w:tc>
          <w:tcPr>
            <w:tcW w:type="dxa" w:w="4613"/>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Plus releases 21 and 20</w:t>
            </w:r>
          </w:p>
        </w:tc>
        <w:tc>
          <w:tcPr>
            <w:tcW w:type="dxa" w:w="4413"/>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899,902 (no improvement)</w:t>
            </w:r>
          </w:p>
        </w:tc>
      </w:tr>
      <w:tr>
        <w:tc>
          <w:tcPr>
            <w:tcW w:type="dxa" w:w="4613"/>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Plus miRBaseConverter v6–v22</w:t>
            </w:r>
          </w:p>
        </w:tc>
        <w:tc>
          <w:tcPr>
            <w:tcW w:type="dxa" w:w="4413"/>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184,409 (4.6%)</w:t>
            </w:r>
          </w:p>
        </w:tc>
      </w:tr>
    </w:tbl>
    <w:p>
      <w:pPr>
        <w:spacing w:after="120"/>
      </w:pPr>
    </w:p>
    <w:p>
      <w:pPr>
        <w:spacing w:after="120" w:line="360"/>
      </w:pPr>
      <w:r>
        <w:rPr>
          <w:rFonts w:ascii="Times New Roman" w:cs="Times New Roman" w:eastAsia="Times New Roman" w:hAnsi="Times New Roman"/>
          <w:sz w:val="24"/>
          <w:szCs w:val="24"/>
        </w:rPr>
        <w:t xml:space="preserve">Of the 184,409 residual rows, 149,049 (83 miRNAs) are miRNAs </w:t>
      </w:r>
      <w:r>
        <w:rPr>
          <w:rFonts w:ascii="Times New Roman" w:cs="Times New Roman" w:eastAsia="Times New Roman" w:hAnsi="Times New Roman"/>
          <w:i/>
          <w:iCs/>
          <w:sz w:val="24"/>
          <w:szCs w:val="24"/>
        </w:rPr>
        <w:t xml:space="preserve">deleted</w:t>
      </w:r>
      <w:r>
        <w:rPr>
          <w:rFonts w:ascii="Times New Roman" w:cs="Times New Roman" w:eastAsia="Times New Roman" w:hAnsi="Times New Roman"/>
          <w:sz w:val="24"/>
          <w:szCs w:val="24"/>
        </w:rPr>
        <w:t xml:space="preserve"> in miRBase Release 23. These are correctly unresolvable and are reported as retired rather than as absent — a meaningful distinction, because "retired" is a fact about the namespace and "absent" would be a fact about the data. A further 18 human aliases map to more than one accession across releases; the resolver reports these as ambiguous and refuses to guess.</w:t>
      </w:r>
    </w:p>
    <w:p>
      <w:pPr>
        <w:pStyle w:val="Heading3"/>
        <w:spacing w:after="100" w:before="200" w:line="360"/>
      </w:pPr>
      <w:r>
        <w:rPr>
          <w:rFonts w:ascii="Times New Roman" w:cs="Times New Roman" w:eastAsia="Times New Roman" w:hAnsi="Times New Roman"/>
          <w:b/>
          <w:bCs/>
          <w:i/>
          <w:iCs/>
          <w:sz w:val="24"/>
          <w:szCs w:val="24"/>
        </w:rPr>
        <w:t xml:space="preserve">Loaded</w:t>
      </w:r>
    </w:p>
    <w:p>
      <w:pPr>
        <w:pStyle w:val="ListParagraph"/>
        <w:numPr>
          <w:ilvl w:val="0"/>
          <w:numId w:val="2"/>
        </w:numPr>
        <w:spacing w:after="80" w:line="360"/>
      </w:pPr>
      <w:r>
        <w:rPr>
          <w:rFonts w:ascii="Times New Roman" w:cs="Times New Roman" w:eastAsia="Times New Roman" w:hAnsi="Times New Roman"/>
          <w:sz w:val="24"/>
          <w:szCs w:val="24"/>
        </w:rPr>
        <w:t xml:space="preserve">mirtarbase_evidence — 4,004,479 rows</w:t>
      </w:r>
    </w:p>
    <w:p>
      <w:pPr>
        <w:pStyle w:val="ListParagraph"/>
        <w:numPr>
          <w:ilvl w:val="0"/>
          <w:numId w:val="2"/>
        </w:numPr>
        <w:spacing w:after="80" w:line="360"/>
      </w:pPr>
      <w:r>
        <w:rPr>
          <w:rFonts w:ascii="Times New Roman" w:cs="Times New Roman" w:eastAsia="Times New Roman" w:hAnsi="Times New Roman"/>
          <w:sz w:val="24"/>
          <w:szCs w:val="24"/>
        </w:rPr>
        <w:t xml:space="preserve">mirtarbase_sites — 669,164 rows (target sites are sequences, not coordinates)</w:t>
      </w:r>
    </w:p>
    <w:p>
      <w:pPr>
        <w:pStyle w:val="ListParagraph"/>
        <w:numPr>
          <w:ilvl w:val="0"/>
          <w:numId w:val="2"/>
        </w:numPr>
        <w:spacing w:after="80" w:line="360"/>
      </w:pPr>
      <w:r>
        <w:rPr>
          <w:rFonts w:ascii="Times New Roman" w:cs="Times New Roman" w:eastAsia="Times New Roman" w:hAnsi="Times New Roman"/>
          <w:sz w:val="24"/>
          <w:szCs w:val="24"/>
        </w:rPr>
        <w:t xml:space="preserve">mirtarbase — 1,612,045 summary pairs: 8,575 with strong functional support, 2,120 with contradicting strong evidence, 278,452 carrying a curated site</w:t>
      </w:r>
    </w:p>
    <w:p>
      <w:r>
        <w:br w:type="page"/>
      </w:r>
    </w:p>
    <w:p>
      <w:pPr>
        <w:pStyle w:val="Heading1"/>
        <w:spacing w:after="160" w:before="360" w:line="360"/>
      </w:pPr>
      <w:r>
        <w:rPr>
          <w:rFonts w:ascii="Times New Roman" w:cs="Times New Roman" w:eastAsia="Times New Roman" w:hAnsi="Times New Roman"/>
          <w:b/>
          <w:bCs/>
          <w:color w:val="1F3864"/>
          <w:sz w:val="32"/>
          <w:szCs w:val="32"/>
        </w:rPr>
        <w:t xml:space="preserve">5. Database design</w:t>
      </w:r>
    </w:p>
    <w:p>
      <w:pPr>
        <w:spacing w:after="120" w:line="360"/>
      </w:pPr>
      <w:r>
        <w:rPr>
          <w:rFonts w:ascii="Times New Roman" w:cs="Times New Roman" w:eastAsia="Times New Roman" w:hAnsi="Times New Roman"/>
          <w:sz w:val="24"/>
          <w:szCs w:val="24"/>
        </w:rPr>
        <w:t xml:space="preserve">A single SQLite file, data/processed/mirna.db, approximately 1.6 GB. Opened in WAL (write-ahead logging) mode with busy_timeout = 15000 milliseconds, so readers never block the background worker and a brief lock contention waits rather than failing.</w:t>
      </w:r>
    </w:p>
    <w:p>
      <w:pPr>
        <w:spacing w:after="120" w:line="360"/>
      </w:pPr>
      <w:r>
        <w:rPr>
          <w:rFonts w:ascii="Times New Roman" w:cs="Times New Roman" w:eastAsia="Times New Roman" w:hAnsi="Times New Roman"/>
          <w:sz w:val="24"/>
          <w:szCs w:val="24"/>
        </w:rPr>
        <w:t xml:space="preserve">The schema is applied on every connection through src/db.py, which means a new table appears automatically without a migration step, and the worker can be started before the API has ever run.</w:t>
      </w:r>
    </w:p>
    <w:p>
      <w:pPr>
        <w:pStyle w:val="Heading2"/>
        <w:spacing w:after="120" w:before="260" w:line="360"/>
      </w:pPr>
      <w:r>
        <w:rPr>
          <w:rFonts w:ascii="Times New Roman" w:cs="Times New Roman" w:eastAsia="Times New Roman" w:hAnsi="Times New Roman"/>
          <w:b/>
          <w:bCs/>
          <w:color w:val="2E5496"/>
          <w:sz w:val="26"/>
          <w:szCs w:val="26"/>
        </w:rPr>
        <w:t xml:space="preserve">Reference tables</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1705"/>
        <w:gridCol w:w="3009"/>
        <w:gridCol w:w="4312"/>
      </w:tblGrid>
      <w:tr>
        <w:trPr>
          <w:tblHeader/>
        </w:trPr>
        <w:tc>
          <w:tcPr>
            <w:tcW w:type="dxa" w:w="1705"/>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Table</w:t>
            </w:r>
          </w:p>
        </w:tc>
        <w:tc>
          <w:tcPr>
            <w:tcW w:type="dxa" w:w="3009"/>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Holds</w:t>
            </w:r>
          </w:p>
        </w:tc>
        <w:tc>
          <w:tcPr>
            <w:tcW w:type="dxa" w:w="4312"/>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Key design point</w:t>
            </w:r>
          </w:p>
        </w:tc>
      </w:tr>
      <w:tr>
        <w:tc>
          <w:tcPr>
            <w:tcW w:type="dxa" w:w="17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data_sources</w:t>
            </w:r>
          </w:p>
        </w:tc>
        <w:tc>
          <w:tcPr>
            <w:tcW w:type="dxa" w:w="300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One row per downloaded file: version, URL, date, size, SHA-256</w:t>
            </w:r>
          </w:p>
        </w:tc>
        <w:tc>
          <w:tcPr>
            <w:tcW w:type="dxa" w:w="43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The single source of truth for versions. Every export and the page footer read from here, so a file and the page that produced it can never claim different releases.</w:t>
            </w:r>
          </w:p>
        </w:tc>
      </w:tr>
      <w:tr>
        <w:tc>
          <w:tcPr>
            <w:tcW w:type="dxa" w:w="17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genes</w:t>
            </w:r>
          </w:p>
        </w:tc>
        <w:tc>
          <w:tcPr>
            <w:tcW w:type="dxa" w:w="300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19,363 genes: Entrez, symbol, Ensembl, HGNC</w:t>
            </w:r>
          </w:p>
        </w:tc>
        <w:tc>
          <w:tcPr>
            <w:tcW w:type="dxa" w:w="431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Entrez id is the primary key throughout the system</w:t>
            </w:r>
          </w:p>
        </w:tc>
      </w:tr>
      <w:tr>
        <w:tc>
          <w:tcPr>
            <w:tcW w:type="dxa" w:w="17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transcripts</w:t>
            </w:r>
          </w:p>
        </w:tc>
        <w:tc>
          <w:tcPr>
            <w:tcW w:type="dxa" w:w="300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19,437 transcripts including full sequence</w:t>
            </w:r>
          </w:p>
        </w:tc>
        <w:tc>
          <w:tcPr>
            <w:tcW w:type="dxa" w:w="43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Sequence stored in the database, not on disk, so a scan is one query</w:t>
            </w:r>
          </w:p>
        </w:tc>
      </w:tr>
      <w:tr>
        <w:tc>
          <w:tcPr>
            <w:tcW w:type="dxa" w:w="17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regions</w:t>
            </w:r>
          </w:p>
        </w:tc>
        <w:tc>
          <w:tcPr>
            <w:tcW w:type="dxa" w:w="300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57,460 rows: 5′UTR, CDS, 3′UTR bounds per transcript</w:t>
            </w:r>
          </w:p>
        </w:tc>
        <w:tc>
          <w:tcPr>
            <w:tcW w:type="dxa" w:w="431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Lets any position be labelled with its region without re-deriving CDS bounds</w:t>
            </w:r>
          </w:p>
        </w:tc>
      </w:tr>
      <w:tr>
        <w:tc>
          <w:tcPr>
            <w:tcW w:type="dxa" w:w="17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gene_aliases</w:t>
            </w:r>
          </w:p>
        </w:tc>
        <w:tc>
          <w:tcPr>
            <w:tcW w:type="dxa" w:w="300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76,673 alternative gene names</w:t>
            </w:r>
          </w:p>
        </w:tc>
        <w:tc>
          <w:tcPr>
            <w:tcW w:type="dxa" w:w="43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So a user typing an obsolete symbol still finds the gene</w:t>
            </w:r>
          </w:p>
        </w:tc>
      </w:tr>
      <w:tr>
        <w:tc>
          <w:tcPr>
            <w:tcW w:type="dxa" w:w="17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mirnas</w:t>
            </w:r>
          </w:p>
        </w:tc>
        <w:tc>
          <w:tcPr>
            <w:tcW w:type="dxa" w:w="300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69,020 mature miRNAs with sequence and seed</w:t>
            </w:r>
          </w:p>
        </w:tc>
        <w:tc>
          <w:tcPr>
            <w:tcW w:type="dxa" w:w="431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Keyed by MIMAT accession</w:t>
            </w:r>
          </w:p>
        </w:tc>
      </w:tr>
      <w:tr>
        <w:tc>
          <w:tcPr>
            <w:tcW w:type="dxa" w:w="17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mirna_aliases</w:t>
            </w:r>
          </w:p>
        </w:tc>
        <w:tc>
          <w:tcPr>
            <w:tcW w:type="dxa" w:w="300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91,657 aliases spanning miRBase v6 to v23</w:t>
            </w:r>
          </w:p>
        </w:tc>
        <w:tc>
          <w:tcPr>
            <w:tcW w:type="dxa" w:w="43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The historical bridge described in section 4.2</w:t>
            </w:r>
          </w:p>
        </w:tc>
      </w:tr>
    </w:tbl>
    <w:p>
      <w:pPr>
        <w:pStyle w:val="Heading2"/>
        <w:spacing w:after="120" w:before="260" w:line="360"/>
      </w:pPr>
      <w:r>
        <w:rPr>
          <w:rFonts w:ascii="Times New Roman" w:cs="Times New Roman" w:eastAsia="Times New Roman" w:hAnsi="Times New Roman"/>
          <w:b/>
          <w:bCs/>
          <w:color w:val="2E5496"/>
          <w:sz w:val="26"/>
          <w:szCs w:val="26"/>
        </w:rPr>
        <w:t xml:space="preserve">Third-party prediction and evidence tables</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2407"/>
        <w:gridCol w:w="1605"/>
        <w:gridCol w:w="5014"/>
      </w:tblGrid>
      <w:tr>
        <w:trPr>
          <w:tblHeader/>
        </w:trPr>
        <w:tc>
          <w:tcPr>
            <w:tcW w:type="dxa" w:w="2407"/>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Table</w:t>
            </w:r>
          </w:p>
        </w:tc>
        <w:tc>
          <w:tcPr>
            <w:tcW w:type="dxa" w:w="1605"/>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Rows</w:t>
            </w:r>
          </w:p>
        </w:tc>
        <w:tc>
          <w:tcPr>
            <w:tcW w:type="dxa" w:w="5014"/>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Note</w:t>
            </w:r>
          </w:p>
        </w:tc>
      </w:tr>
      <w:tr>
        <w:tc>
          <w:tcPr>
            <w:tcW w:type="dxa" w:w="240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targetscan_mirnas</w:t>
            </w:r>
          </w:p>
        </w:tc>
        <w:tc>
          <w:tcPr>
            <w:tcW w:type="dxa" w:w="16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2,580</w:t>
            </w:r>
          </w:p>
        </w:tc>
        <w:tc>
          <w:tcPr>
            <w:tcW w:type="dxa" w:w="50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26 TargetScan 5′ isoform entries skipped: no miRBase accession, so unbridgeable</w:t>
            </w:r>
          </w:p>
        </w:tc>
      </w:tr>
      <w:tr>
        <w:tc>
          <w:tcPr>
            <w:tcW w:type="dxa" w:w="240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targetscan_genes</w:t>
            </w:r>
          </w:p>
        </w:tc>
        <w:tc>
          <w:tcPr>
            <w:tcW w:type="dxa" w:w="16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18,357</w:t>
            </w:r>
          </w:p>
        </w:tc>
        <w:tc>
          <w:tcPr>
            <w:tcW w:type="dxa" w:w="50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11,320 (61.7%) sit on the MANE transcript</w:t>
            </w:r>
          </w:p>
        </w:tc>
      </w:tr>
      <w:tr>
        <w:tc>
          <w:tcPr>
            <w:tcW w:type="dxa" w:w="240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targetscan</w:t>
            </w:r>
          </w:p>
        </w:tc>
        <w:tc>
          <w:tcPr>
            <w:tcW w:type="dxa" w:w="16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7,501,712</w:t>
            </w:r>
          </w:p>
        </w:tc>
        <w:tc>
          <w:tcPr>
            <w:tcW w:type="dxa" w:w="50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2,064 distinct seeds; 107,790 flagged in TargetScan's default set</w:t>
            </w:r>
          </w:p>
        </w:tc>
      </w:tr>
      <w:tr>
        <w:tc>
          <w:tcPr>
            <w:tcW w:type="dxa" w:w="240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mirtarbase_evidence</w:t>
            </w:r>
          </w:p>
        </w:tc>
        <w:tc>
          <w:tcPr>
            <w:tcW w:type="dxa" w:w="16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4,004,479</w:t>
            </w:r>
          </w:p>
        </w:tc>
        <w:tc>
          <w:tcPr>
            <w:tcW w:type="dxa" w:w="50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Row-level published evidence</w:t>
            </w:r>
          </w:p>
        </w:tc>
      </w:tr>
      <w:tr>
        <w:tc>
          <w:tcPr>
            <w:tcW w:type="dxa" w:w="240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mirtarbase_sites</w:t>
            </w:r>
          </w:p>
        </w:tc>
        <w:tc>
          <w:tcPr>
            <w:tcW w:type="dxa" w:w="16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669,164</w:t>
            </w:r>
          </w:p>
        </w:tc>
        <w:tc>
          <w:tcPr>
            <w:tcW w:type="dxa" w:w="50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Curated target site sequences</w:t>
            </w:r>
          </w:p>
        </w:tc>
      </w:tr>
      <w:tr>
        <w:tc>
          <w:tcPr>
            <w:tcW w:type="dxa" w:w="240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mirtarbase</w:t>
            </w:r>
          </w:p>
        </w:tc>
        <w:tc>
          <w:tcPr>
            <w:tcW w:type="dxa" w:w="16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1,612,045</w:t>
            </w:r>
          </w:p>
        </w:tc>
        <w:tc>
          <w:tcPr>
            <w:tcW w:type="dxa" w:w="50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Summary pair table used at query time</w:t>
            </w:r>
          </w:p>
        </w:tc>
      </w:tr>
    </w:tbl>
    <w:p>
      <w:pPr>
        <w:pStyle w:val="Heading2"/>
        <w:spacing w:after="120" w:before="260" w:line="360"/>
      </w:pPr>
      <w:r>
        <w:rPr>
          <w:rFonts w:ascii="Times New Roman" w:cs="Times New Roman" w:eastAsia="Times New Roman" w:hAnsi="Times New Roman"/>
          <w:b/>
          <w:bCs/>
          <w:color w:val="2E5496"/>
          <w:sz w:val="26"/>
          <w:szCs w:val="26"/>
        </w:rPr>
        <w:t xml:space="preserve">Analysis tables</w:t>
      </w:r>
    </w:p>
    <w:p>
      <w:pPr>
        <w:spacing w:after="120" w:line="360"/>
      </w:pPr>
      <w:r>
        <w:rPr>
          <w:rFonts w:ascii="Times New Roman" w:cs="Times New Roman" w:eastAsia="Times New Roman" w:hAnsi="Times New Roman"/>
          <w:sz w:val="24"/>
          <w:szCs w:val="24"/>
        </w:rPr>
        <w:t xml:space="preserve">Three analysis subsystems — jobs, enrichment runs and reports — all follow the same shape: one row describing the analysis, many rows of output. The shape is deliberate and repeated so a new analysis type has an obvious template.</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1905"/>
        <w:gridCol w:w="2407"/>
        <w:gridCol w:w="4714"/>
      </w:tblGrid>
      <w:tr>
        <w:trPr>
          <w:tblHeader/>
        </w:trPr>
        <w:tc>
          <w:tcPr>
            <w:tcW w:type="dxa" w:w="1905"/>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Table</w:t>
            </w:r>
          </w:p>
        </w:tc>
        <w:tc>
          <w:tcPr>
            <w:tcW w:type="dxa" w:w="2407"/>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Purpose</w:t>
            </w:r>
          </w:p>
        </w:tc>
        <w:tc>
          <w:tcPr>
            <w:tcW w:type="dxa" w:w="4714"/>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Notable columns</w:t>
            </w:r>
          </w:p>
        </w:tc>
      </w:tr>
      <w:tr>
        <w:tc>
          <w:tcPr>
            <w:tcW w:type="dxa" w:w="19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jobs</w:t>
            </w:r>
          </w:p>
        </w:tc>
        <w:tc>
          <w:tcPr>
            <w:tcW w:type="dxa" w:w="240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One miRNA against one target set</w:t>
            </w:r>
          </w:p>
        </w:tc>
        <w:tc>
          <w:tcPr>
            <w:tcW w:type="dxa" w:w="47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params (JSON: miRNA, tools, genes), status, batch_id for grouping several miRNAs</w:t>
            </w:r>
          </w:p>
        </w:tc>
      </w:tr>
      <w:tr>
        <w:tc>
          <w:tcPr>
            <w:tcW w:type="dxa" w:w="19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tool_runs</w:t>
            </w:r>
          </w:p>
        </w:tc>
        <w:tc>
          <w:tcPr>
            <w:tcW w:type="dxa" w:w="240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One row per tool per job</w:t>
            </w:r>
          </w:p>
        </w:tc>
        <w:tc>
          <w:tcPr>
            <w:tcW w:type="dxa" w:w="47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status, n_results, seconds, provenance, message — records a failed tool rather than losing it</w:t>
            </w:r>
          </w:p>
        </w:tc>
      </w:tr>
      <w:tr>
        <w:tc>
          <w:tcPr>
            <w:tcW w:type="dxa" w:w="19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results</w:t>
            </w:r>
          </w:p>
        </w:tc>
        <w:tc>
          <w:tcPr>
            <w:tcW w:type="dxa" w:w="240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One row per binding site or evidence record</w:t>
            </w:r>
          </w:p>
        </w:tc>
        <w:tc>
          <w:tcPr>
            <w:tcW w:type="dxa" w:w="47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tool, site_type, pos_start, pos_end, score, score_type, low_confidence, extra (JSON)</w:t>
            </w:r>
          </w:p>
        </w:tc>
      </w:tr>
      <w:tr>
        <w:tc>
          <w:tcPr>
            <w:tcW w:type="dxa" w:w="19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enrichment_runs</w:t>
            </w:r>
          </w:p>
        </w:tc>
        <w:tc>
          <w:tcPr>
            <w:tcW w:type="dxa" w:w="240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One row per enrichment analysis</w:t>
            </w:r>
          </w:p>
        </w:tc>
        <w:tc>
          <w:tcPr>
            <w:tcW w:type="dxa" w:w="47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gene_ids actually tested, background source and version, correction method, cutoffs, R and package versions, kegg_fetched_at</w:t>
            </w:r>
          </w:p>
        </w:tc>
      </w:tr>
      <w:tr>
        <w:tc>
          <w:tcPr>
            <w:tcW w:type="dxa" w:w="19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enrichment_terms</w:t>
            </w:r>
          </w:p>
        </w:tc>
        <w:tc>
          <w:tcPr>
            <w:tcW w:type="dxa" w:w="240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One row per enriched term</w:t>
            </w:r>
          </w:p>
        </w:tc>
        <w:tc>
          <w:tcPr>
            <w:tcW w:type="dxa" w:w="47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k, n, K, N — the four hypergeometric integers — plus p, adjusted p, q, and member genes</w:t>
            </w:r>
          </w:p>
        </w:tc>
      </w:tr>
      <w:tr>
        <w:tc>
          <w:tcPr>
            <w:tcW w:type="dxa" w:w="19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reports</w:t>
            </w:r>
          </w:p>
        </w:tc>
        <w:tc>
          <w:tcPr>
            <w:tcW w:type="dxa" w:w="240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One row per generated HTML report</w:t>
            </w:r>
          </w:p>
        </w:tc>
        <w:tc>
          <w:tcPr>
            <w:tcW w:type="dxa" w:w="47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spec (sort and limits), the rendered document, job_finished_at for staleness</w:t>
            </w:r>
          </w:p>
        </w:tc>
      </w:tr>
    </w:tbl>
    <w:p>
      <w:pPr>
        <w:pStyle w:val="Heading2"/>
        <w:spacing w:after="120" w:before="260" w:line="360"/>
      </w:pPr>
      <w:r>
        <w:rPr>
          <w:rFonts w:ascii="Times New Roman" w:cs="Times New Roman" w:eastAsia="Times New Roman" w:hAnsi="Times New Roman"/>
          <w:b/>
          <w:bCs/>
          <w:color w:val="2E5496"/>
          <w:sz w:val="26"/>
          <w:szCs w:val="26"/>
        </w:rPr>
        <w:t xml:space="preserve">Three principles the schema enforces</w:t>
      </w:r>
    </w:p>
    <w:p>
      <w:pPr>
        <w:pStyle w:val="Heading3"/>
        <w:spacing w:after="100" w:before="200" w:line="360"/>
      </w:pPr>
      <w:r>
        <w:rPr>
          <w:rFonts w:ascii="Times New Roman" w:cs="Times New Roman" w:eastAsia="Times New Roman" w:hAnsi="Times New Roman"/>
          <w:b/>
          <w:bCs/>
          <w:i/>
          <w:iCs/>
          <w:sz w:val="24"/>
          <w:szCs w:val="24"/>
        </w:rPr>
        <w:t xml:space="preserve">1. Every position is 1-based on the MANE transcript</w:t>
      </w:r>
    </w:p>
    <w:p>
      <w:pPr>
        <w:spacing w:after="120" w:line="360"/>
      </w:pPr>
      <w:r>
        <w:rPr>
          <w:rFonts w:ascii="Times New Roman" w:cs="Times New Roman" w:eastAsia="Times New Roman" w:hAnsi="Times New Roman"/>
          <w:sz w:val="24"/>
          <w:szCs w:val="24"/>
        </w:rPr>
        <w:t xml:space="preserve">A tool working on a sub-sequence converts inside its own wrapper before the record is stored. This is checked rather than trusted: all 45,034 RNAhybrid records from a transcriptome-wide run were verified by rebuilding the target strand from the alignment rows and comparing it against transcript[pos_start−1 : pos_end]. Zero mismatches.</w:t>
      </w:r>
    </w:p>
    <w:p>
      <w:pPr>
        <w:pStyle w:val="Heading3"/>
        <w:spacing w:after="100" w:before="200" w:line="360"/>
      </w:pPr>
      <w:r>
        <w:rPr>
          <w:rFonts w:ascii="Times New Roman" w:cs="Times New Roman" w:eastAsia="Times New Roman" w:hAnsi="Times New Roman"/>
          <w:b/>
          <w:bCs/>
          <w:i/>
          <w:iCs/>
          <w:sz w:val="24"/>
          <w:szCs w:val="24"/>
        </w:rPr>
        <w:t xml:space="preserve">2. Nothing is deleted when an analysis is re-run</w:t>
      </w:r>
    </w:p>
    <w:p>
      <w:pPr>
        <w:spacing w:after="120" w:line="360"/>
      </w:pPr>
      <w:r>
        <w:rPr>
          <w:rFonts w:ascii="Times New Roman" w:cs="Times New Roman" w:eastAsia="Times New Roman" w:hAnsi="Times New Roman"/>
          <w:sz w:val="24"/>
          <w:szCs w:val="24"/>
        </w:rPr>
        <w:t xml:space="preserve">An enrichment run stores the gene ids it actually tested, so it remains valid for those genes forever. job_finished_at records what the job looked like at the time, and the interface derives staleness by comparison rather than by destruction. A historical scientific result stays readable. The same rule now applies to generated reports.</w:t>
      </w:r>
    </w:p>
    <w:p>
      <w:pPr>
        <w:pStyle w:val="Heading3"/>
        <w:spacing w:after="100" w:before="200" w:line="360"/>
      </w:pPr>
      <w:r>
        <w:rPr>
          <w:rFonts w:ascii="Times New Roman" w:cs="Times New Roman" w:eastAsia="Times New Roman" w:hAnsi="Times New Roman"/>
          <w:b/>
          <w:bCs/>
          <w:i/>
          <w:iCs/>
          <w:sz w:val="24"/>
          <w:szCs w:val="24"/>
        </w:rPr>
        <w:t xml:space="preserve">3. Every p-value is recomputable without R</w:t>
      </w:r>
    </w:p>
    <w:p>
      <w:pPr>
        <w:spacing w:after="120" w:line="360"/>
      </w:pPr>
      <w:r>
        <w:rPr>
          <w:rFonts w:ascii="Times New Roman" w:cs="Times New Roman" w:eastAsia="Times New Roman" w:hAnsi="Times New Roman"/>
          <w:sz w:val="24"/>
          <w:szCs w:val="24"/>
        </w:rPr>
        <w:t xml:space="preserve">Each enriched term stores k (your genes in the term), n (your genes annotated in that ontology), K (background genes in the term) and N (background genes annotated in that ontology). Anyone can recompute the hypergeometric p-value in any language from the row alone. Section 11 explains why these four numbers are stored per term rather than once per run.</w:t>
      </w:r>
    </w:p>
    <w:p>
      <w:r>
        <w:br w:type="page"/>
      </w:r>
    </w:p>
    <w:p>
      <w:pPr>
        <w:pStyle w:val="Heading1"/>
        <w:spacing w:after="160" w:before="360" w:line="360"/>
      </w:pPr>
      <w:r>
        <w:rPr>
          <w:rFonts w:ascii="Times New Roman" w:cs="Times New Roman" w:eastAsia="Times New Roman" w:hAnsi="Times New Roman"/>
          <w:b/>
          <w:bCs/>
          <w:color w:val="1F3864"/>
          <w:sz w:val="32"/>
          <w:szCs w:val="32"/>
        </w:rPr>
        <w:t xml:space="preserve">6. The tool contract: how a prediction method plugs in</w:t>
      </w:r>
    </w:p>
    <w:p>
      <w:pPr>
        <w:spacing w:after="120" w:line="360"/>
      </w:pPr>
      <w:r>
        <w:rPr>
          <w:rFonts w:ascii="Times New Roman" w:cs="Times New Roman" w:eastAsia="Times New Roman" w:hAnsi="Times New Roman"/>
          <w:sz w:val="24"/>
          <w:szCs w:val="24"/>
        </w:rPr>
        <w:t xml:space="preserve">Adding a fifth prediction method requires no change to the orchestrator, the API or the frontend. Every tool is a Python module in src/tools/ that defines three things.</w:t>
      </w:r>
    </w:p>
    <w:p>
      <w:pPr>
        <w:spacing w:after="120"/>
      </w:pPr>
    </w:p>
    <w:p>
      <w:pPr>
        <w:shd w:fill="F4F4F4" w:val="clear"/>
        <w:spacing w:after="0" w:before="100" w:line="240"/>
        <w:ind w:left="240"/>
      </w:pPr>
      <w:r>
        <w:rPr>
          <w:rFonts w:ascii="Consolas" w:cs="Consolas" w:eastAsia="Consolas" w:hAnsi="Consolas"/>
          <w:sz w:val="19"/>
          <w:szCs w:val="19"/>
        </w:rPr>
        <w:t xml:space="preserve">META                  name, version, kind, score_type, better,</w:t>
      </w:r>
    </w:p>
    <w:p>
      <w:pPr>
        <w:shd w:fill="F4F4F4" w:val="clear"/>
        <w:spacing w:after="0" w:before="0" w:line="240"/>
        <w:ind w:left="240"/>
      </w:pPr>
      <w:r>
        <w:rPr>
          <w:rFonts w:ascii="Consolas" w:cs="Consolas" w:eastAsia="Consolas" w:hAnsi="Consolas"/>
          <w:sz w:val="19"/>
          <w:szCs w:val="19"/>
        </w:rPr>
        <w:t xml:space="preserve">                      gives_position, needs_sequence, slow</w:t>
      </w:r>
    </w:p>
    <w:p>
      <w:pPr>
        <w:shd w:fill="F4F4F4" w:val="clear"/>
        <w:spacing w:after="0" w:before="0" w:line="240"/>
        <w:ind w:left="240"/>
      </w:pPr>
      <w:r>
        <w:rPr>
          <w:rFonts w:ascii="Consolas" w:cs="Consolas" w:eastAsia="Consolas" w:hAnsi="Consolas"/>
          <w:sz w:val="19"/>
          <w:szCs w:val="19"/>
        </w:rPr>
        <w:t xml:space="preserve"> </w:t>
      </w:r>
    </w:p>
    <w:p>
      <w:pPr>
        <w:shd w:fill="F4F4F4" w:val="clear"/>
        <w:spacing w:after="0" w:before="0" w:line="240"/>
        <w:ind w:left="240"/>
      </w:pPr>
      <w:r>
        <w:rPr>
          <w:rFonts w:ascii="Consolas" w:cs="Consolas" w:eastAsia="Consolas" w:hAnsi="Consolas"/>
          <w:sz w:val="19"/>
          <w:szCs w:val="19"/>
        </w:rPr>
        <w:t xml:space="preserve">covers(con, entrez)   can this tool say anything about this gene at all</w:t>
      </w:r>
    </w:p>
    <w:p>
      <w:pPr>
        <w:shd w:fill="F4F4F4" w:val="clear"/>
        <w:spacing w:after="0" w:before="0" w:line="240"/>
        <w:ind w:left="240"/>
      </w:pPr>
      <w:r>
        <w:rPr>
          <w:rFonts w:ascii="Consolas" w:cs="Consolas" w:eastAsia="Consolas" w:hAnsi="Consolas"/>
          <w:sz w:val="19"/>
          <w:szCs w:val="19"/>
        </w:rPr>
        <w:t xml:space="preserve"> </w:t>
      </w:r>
    </w:p>
    <w:p>
      <w:pPr>
        <w:shd w:fill="F4F4F4" w:val="clear"/>
        <w:spacing w:after="0" w:before="0" w:line="240"/>
        <w:ind w:left="240"/>
      </w:pPr>
      <w:r>
        <w:rPr>
          <w:rFonts w:ascii="Consolas" w:cs="Consolas" w:eastAsia="Consolas" w:hAnsi="Consolas"/>
          <w:sz w:val="19"/>
          <w:szCs w:val="19"/>
        </w:rPr>
        <w:t xml:space="preserve">run(con, mirna, targets, opts, progress)</w:t>
      </w:r>
    </w:p>
    <w:p>
      <w:pPr>
        <w:shd w:fill="F4F4F4" w:val="clear"/>
        <w:spacing w:after="140" w:before="0" w:line="240"/>
        <w:ind w:left="240"/>
      </w:pPr>
      <w:r>
        <w:rPr>
          <w:rFonts w:ascii="Consolas" w:cs="Consolas" w:eastAsia="Consolas" w:hAnsi="Consolas"/>
          <w:sz w:val="19"/>
          <w:szCs w:val="19"/>
        </w:rPr>
        <w:t xml:space="preserve">                      -&gt; {records, provenance, warnings}</w:t>
      </w:r>
    </w:p>
    <w:p>
      <w:pPr>
        <w:spacing w:after="120" w:line="360"/>
      </w:pPr>
      <w:r>
        <w:rPr>
          <w:rFonts w:ascii="Times New Roman" w:cs="Times New Roman" w:eastAsia="Times New Roman" w:hAnsi="Times New Roman"/>
          <w:sz w:val="24"/>
          <w:szCs w:val="24"/>
        </w:rPr>
        <w:t xml:space="preserve">META is validated at import time by check_meta(), so a tool with an incomplete or contradictory description cannot be registered at all.</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1605"/>
        <w:gridCol w:w="2608"/>
        <w:gridCol w:w="4814"/>
      </w:tblGrid>
      <w:tr>
        <w:trPr>
          <w:tblHeader/>
        </w:trPr>
        <w:tc>
          <w:tcPr>
            <w:tcW w:type="dxa" w:w="1605"/>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Field</w:t>
            </w:r>
          </w:p>
        </w:tc>
        <w:tc>
          <w:tcPr>
            <w:tcW w:type="dxa" w:w="2608"/>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Meaning</w:t>
            </w:r>
          </w:p>
        </w:tc>
        <w:tc>
          <w:tcPr>
            <w:tcW w:type="dxa" w:w="4814"/>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Why it is mandatory</w:t>
            </w:r>
          </w:p>
        </w:tc>
      </w:tr>
      <w:tr>
        <w:tc>
          <w:tcPr>
            <w:tcW w:type="dxa" w:w="16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kind</w:t>
            </w:r>
          </w:p>
        </w:tc>
        <w:tc>
          <w:tcPr>
            <w:tcW w:type="dxa" w:w="26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prediction or evidence</w:t>
            </w:r>
          </w:p>
        </w:tc>
        <w:tc>
          <w:tcPr>
            <w:tcW w:type="dxa" w:w="48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miRTarBase is evidence and must never be presented as a predictor</w:t>
            </w:r>
          </w:p>
        </w:tc>
      </w:tr>
      <w:tr>
        <w:tc>
          <w:tcPr>
            <w:tcW w:type="dxa" w:w="16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score_type</w:t>
            </w:r>
          </w:p>
        </w:tc>
        <w:tc>
          <w:tcPr>
            <w:tcW w:type="dxa" w:w="26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The units, in words</w:t>
            </w:r>
          </w:p>
        </w:tc>
        <w:tc>
          <w:tcPr>
            <w:tcW w:type="dxa" w:w="48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Printed in the interface so a number is never unlabelled</w:t>
            </w:r>
          </w:p>
        </w:tc>
      </w:tr>
      <w:tr>
        <w:tc>
          <w:tcPr>
            <w:tcW w:type="dxa" w:w="16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better</w:t>
            </w:r>
          </w:p>
        </w:tc>
        <w:tc>
          <w:tcPr>
            <w:tcW w:type="dxa" w:w="26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lower, higher, or None</w:t>
            </w:r>
          </w:p>
        </w:tc>
        <w:tc>
          <w:tcPr>
            <w:tcW w:type="dxa" w:w="48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Tells the results page which direction is stronger. Without it a column would silently sort backwards: context++ and ΔG are better when lower, an ML probability when higher</w:t>
            </w:r>
          </w:p>
        </w:tc>
      </w:tr>
      <w:tr>
        <w:tc>
          <w:tcPr>
            <w:tcW w:type="dxa" w:w="16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categories</w:t>
            </w:r>
          </w:p>
        </w:tc>
        <w:tc>
          <w:tcPr>
            <w:tcW w:type="dxa" w:w="26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Required when better is None</w:t>
            </w:r>
          </w:p>
        </w:tc>
        <w:tc>
          <w:tcPr>
            <w:tcW w:type="dxa" w:w="48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 categorical tool must publish its own ranking, best first. The seed analyser publishes 8mer &gt; 7mer-m8 &gt; 7mer-A1 &gt; 6mer, so no frontend has to invent an order</w:t>
            </w:r>
          </w:p>
        </w:tc>
      </w:tr>
      <w:tr>
        <w:tc>
          <w:tcPr>
            <w:tcW w:type="dxa" w:w="16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gives_position</w:t>
            </w:r>
          </w:p>
        </w:tc>
        <w:tc>
          <w:tcPr>
            <w:tcW w:type="dxa" w:w="26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Does it report a coordinate</w:t>
            </w:r>
          </w:p>
        </w:tc>
        <w:tc>
          <w:tcPr>
            <w:tcW w:type="dxa" w:w="48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TargetScan and miRTarBase report none, which is why they have no lane in the binding map</w:t>
            </w:r>
          </w:p>
        </w:tc>
      </w:tr>
      <w:tr>
        <w:tc>
          <w:tcPr>
            <w:tcW w:type="dxa" w:w="16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slow</w:t>
            </w:r>
          </w:p>
        </w:tc>
        <w:tc>
          <w:tcPr>
            <w:tcW w:type="dxa" w:w="26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Should it be excluded by default</w:t>
            </w:r>
          </w:p>
        </w:tc>
        <w:tc>
          <w:tcPr>
            <w:tcW w:type="dxa" w:w="48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RNAhybrid is 99.9% of a transcriptome-wide job's runtime</w:t>
            </w:r>
          </w:p>
        </w:tc>
      </w:tr>
    </w:tbl>
    <w:p>
      <w:pPr>
        <w:pStyle w:val="Heading2"/>
        <w:spacing w:after="120" w:before="260" w:line="360"/>
      </w:pPr>
      <w:r>
        <w:rPr>
          <w:rFonts w:ascii="Times New Roman" w:cs="Times New Roman" w:eastAsia="Times New Roman" w:hAnsi="Times New Roman"/>
          <w:b/>
          <w:bCs/>
          <w:color w:val="2E5496"/>
          <w:sz w:val="26"/>
          <w:szCs w:val="26"/>
        </w:rPr>
        <w:t xml:space="preserve">Three empty-cell states, which are not the same thing</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1705"/>
        <w:gridCol w:w="3310"/>
        <w:gridCol w:w="4012"/>
      </w:tblGrid>
      <w:tr>
        <w:trPr>
          <w:tblHeader/>
        </w:trPr>
        <w:tc>
          <w:tcPr>
            <w:tcW w:type="dxa" w:w="1705"/>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State</w:t>
            </w:r>
          </w:p>
        </w:tc>
        <w:tc>
          <w:tcPr>
            <w:tcW w:type="dxa" w:w="3310"/>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Meaning</w:t>
            </w:r>
          </w:p>
        </w:tc>
        <w:tc>
          <w:tcPr>
            <w:tcW w:type="dxa" w:w="4012"/>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How it is determined</w:t>
            </w:r>
          </w:p>
        </w:tc>
      </w:tr>
      <w:tr>
        <w:tc>
          <w:tcPr>
            <w:tcW w:type="dxa" w:w="17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not run</w:t>
            </w:r>
          </w:p>
        </w:tc>
        <w:tc>
          <w:tcPr>
            <w:tcW w:type="dxa" w:w="33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The tool was not selected for this job</w:t>
            </w:r>
          </w:p>
        </w:tc>
        <w:tc>
          <w:tcPr>
            <w:tcW w:type="dxa" w:w="40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 row in tool_runs for that tool</w:t>
            </w:r>
          </w:p>
        </w:tc>
      </w:tr>
      <w:tr>
        <w:tc>
          <w:tcPr>
            <w:tcW w:type="dxa" w:w="17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not covered</w:t>
            </w:r>
          </w:p>
        </w:tc>
        <w:tc>
          <w:tcPr>
            <w:tcW w:type="dxa" w:w="33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The tool ran but cannot assess this gene</w:t>
            </w:r>
          </w:p>
        </w:tc>
        <w:tc>
          <w:tcPr>
            <w:tcW w:type="dxa" w:w="401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covers() returned false — e.g. TargetScan has no entry for the gene</w:t>
            </w:r>
          </w:p>
        </w:tc>
      </w:tr>
      <w:tr>
        <w:tc>
          <w:tcPr>
            <w:tcW w:type="dxa" w:w="17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 site</w:t>
            </w:r>
          </w:p>
        </w:tc>
        <w:tc>
          <w:tcPr>
            <w:tcW w:type="dxa" w:w="33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The tool ran, covers the gene, and found nothing</w:t>
            </w:r>
          </w:p>
        </w:tc>
        <w:tc>
          <w:tcPr>
            <w:tcW w:type="dxa" w:w="40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covers() true, no record produced</w:t>
            </w:r>
          </w:p>
        </w:tc>
      </w:tr>
    </w:tbl>
    <w:p>
      <w:pPr>
        <w:spacing w:after="120"/>
      </w:pPr>
    </w:p>
    <w:p>
      <w:pPr>
        <w:spacing w:after="120" w:line="360"/>
      </w:pPr>
      <w:r>
        <w:rPr>
          <w:rFonts w:ascii="Times New Roman" w:cs="Times New Roman" w:eastAsia="Times New Roman" w:hAnsi="Times New Roman"/>
          <w:b/>
          <w:bCs/>
          <w:sz w:val="24"/>
          <w:szCs w:val="24"/>
        </w:rPr>
        <w:t xml:space="preserve">A blank cell must never be read as "no target". </w:t>
      </w:r>
      <w:r>
        <w:rPr>
          <w:rFonts w:ascii="Times New Roman" w:cs="Times New Roman" w:eastAsia="Times New Roman" w:hAnsi="Times New Roman"/>
          <w:sz w:val="24"/>
          <w:szCs w:val="24"/>
        </w:rPr>
        <w:t xml:space="preserve">In the interface these render as "not run", "N.A." and "—" respectively, and the distinction is explained in the report's legend.</w:t>
      </w:r>
    </w:p>
    <w:p>
      <w:pPr>
        <w:pStyle w:val="Heading1"/>
        <w:spacing w:after="160" w:before="360" w:line="360"/>
      </w:pPr>
      <w:r>
        <w:rPr>
          <w:rFonts w:ascii="Times New Roman" w:cs="Times New Roman" w:eastAsia="Times New Roman" w:hAnsi="Times New Roman"/>
          <w:b/>
          <w:bCs/>
          <w:color w:val="1F3864"/>
          <w:sz w:val="32"/>
          <w:szCs w:val="32"/>
        </w:rPr>
        <w:t xml:space="preserve">7. The four analysis tools in detail</w:t>
      </w:r>
    </w:p>
    <w:p>
      <w:pPr>
        <w:pStyle w:val="Heading2"/>
        <w:spacing w:after="120" w:before="260" w:line="360"/>
      </w:pPr>
      <w:r>
        <w:rPr>
          <w:rFonts w:ascii="Times New Roman" w:cs="Times New Roman" w:eastAsia="Times New Roman" w:hAnsi="Times New Roman"/>
          <w:b/>
          <w:bCs/>
          <w:color w:val="2E5496"/>
          <w:sz w:val="26"/>
          <w:szCs w:val="26"/>
        </w:rPr>
        <w:t xml:space="preserve">7.1 Seed analyser — written for this project</w:t>
      </w:r>
    </w:p>
    <w:p>
      <w:pPr>
        <w:spacing w:after="120" w:line="360"/>
      </w:pPr>
      <w:r>
        <w:rPr>
          <w:rFonts w:ascii="Times New Roman" w:cs="Times New Roman" w:eastAsia="Times New Roman" w:hAnsi="Times New Roman"/>
          <w:sz w:val="24"/>
          <w:szCs w:val="24"/>
        </w:rPr>
        <w:t xml:space="preserve">Source: src/tools/seed.py and src/tools/seed_tool.py. Version 1.0. Kind: prediction. Categorical, so it publishes categories rather than a numeric score.</w:t>
      </w:r>
    </w:p>
    <w:p>
      <w:pPr>
        <w:pStyle w:val="Heading3"/>
        <w:spacing w:after="100" w:before="200" w:line="360"/>
      </w:pPr>
      <w:r>
        <w:rPr>
          <w:rFonts w:ascii="Times New Roman" w:cs="Times New Roman" w:eastAsia="Times New Roman" w:hAnsi="Times New Roman"/>
          <w:b/>
          <w:bCs/>
          <w:i/>
          <w:iCs/>
          <w:sz w:val="24"/>
          <w:szCs w:val="24"/>
        </w:rPr>
        <w:t xml:space="preserve">Algorithm</w:t>
      </w:r>
    </w:p>
    <w:p>
      <w:pPr>
        <w:pStyle w:val="ListParagraph"/>
        <w:numPr>
          <w:ilvl w:val="0"/>
          <w:numId w:val="2"/>
        </w:numPr>
        <w:spacing w:after="80" w:line="360"/>
      </w:pPr>
      <w:r>
        <w:rPr>
          <w:rFonts w:ascii="Times New Roman" w:cs="Times New Roman" w:eastAsia="Times New Roman" w:hAnsi="Times New Roman"/>
          <w:sz w:val="24"/>
          <w:szCs w:val="24"/>
        </w:rPr>
        <w:t xml:space="preserve">Normalise the miRNA: uppercase, strip whitespace, convert RNA (U) to DNA (T).</w:t>
      </w:r>
    </w:p>
    <w:p>
      <w:pPr>
        <w:pStyle w:val="ListParagraph"/>
        <w:numPr>
          <w:ilvl w:val="0"/>
          <w:numId w:val="2"/>
        </w:numPr>
        <w:spacing w:after="80" w:line="360"/>
      </w:pPr>
      <w:r>
        <w:rPr>
          <w:rFonts w:ascii="Times New Roman" w:cs="Times New Roman" w:eastAsia="Times New Roman" w:hAnsi="Times New Roman"/>
          <w:sz w:val="24"/>
          <w:szCs w:val="24"/>
        </w:rPr>
        <w:t xml:space="preserve">Extract the seed: nucleotides 2–8 from the 5′ end (7 nt).</w:t>
      </w:r>
    </w:p>
    <w:p>
      <w:pPr>
        <w:pStyle w:val="ListParagraph"/>
        <w:numPr>
          <w:ilvl w:val="0"/>
          <w:numId w:val="2"/>
        </w:numPr>
        <w:spacing w:after="80" w:line="360"/>
      </w:pPr>
      <w:r>
        <w:rPr>
          <w:rFonts w:ascii="Times New Roman" w:cs="Times New Roman" w:eastAsia="Times New Roman" w:hAnsi="Times New Roman"/>
          <w:sz w:val="24"/>
          <w:szCs w:val="24"/>
        </w:rPr>
        <w:t xml:space="preserve">Build the 6mer target site: the reverse complement of miRNA positions 2–7.</w:t>
      </w:r>
    </w:p>
    <w:p>
      <w:pPr>
        <w:pStyle w:val="ListParagraph"/>
        <w:numPr>
          <w:ilvl w:val="0"/>
          <w:numId w:val="2"/>
        </w:numPr>
        <w:spacing w:after="80" w:line="360"/>
      </w:pPr>
      <w:r>
        <w:rPr>
          <w:rFonts w:ascii="Times New Roman" w:cs="Times New Roman" w:eastAsia="Times New Roman" w:hAnsi="Times New Roman"/>
          <w:sz w:val="24"/>
          <w:szCs w:val="24"/>
        </w:rPr>
        <w:t xml:space="preserve">Find every occurrence of that 6mer in the transcript, including overlapping ones.</w:t>
      </w:r>
    </w:p>
    <w:p>
      <w:pPr>
        <w:pStyle w:val="ListParagraph"/>
        <w:numPr>
          <w:ilvl w:val="0"/>
          <w:numId w:val="2"/>
        </w:numPr>
        <w:spacing w:after="80" w:line="360"/>
      </w:pPr>
      <w:r>
        <w:rPr>
          <w:rFonts w:ascii="Times New Roman" w:cs="Times New Roman" w:eastAsia="Times New Roman" w:hAnsi="Times New Roman"/>
          <w:sz w:val="24"/>
          <w:szCs w:val="24"/>
        </w:rPr>
        <w:t xml:space="preserve">Grade each hit by two extra conditions: m8 (the base before the 6mer complements miRNA position 8) and A1 (the base after the 6mer is an adenine).</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1805"/>
        <w:gridCol w:w="4212"/>
        <w:gridCol w:w="3009"/>
      </w:tblGrid>
      <w:tr>
        <w:trPr>
          <w:tblHeader/>
        </w:trPr>
        <w:tc>
          <w:tcPr>
            <w:tcW w:type="dxa" w:w="1805"/>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Site type</w:t>
            </w:r>
          </w:p>
        </w:tc>
        <w:tc>
          <w:tcPr>
            <w:tcW w:type="dxa" w:w="4212"/>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Conditions</w:t>
            </w:r>
          </w:p>
        </w:tc>
        <w:tc>
          <w:tcPr>
            <w:tcW w:type="dxa" w:w="3009"/>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Confidence</w:t>
            </w:r>
          </w:p>
        </w:tc>
      </w:tr>
      <w:tr>
        <w:tc>
          <w:tcPr>
            <w:tcW w:type="dxa" w:w="18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8mer</w:t>
            </w:r>
          </w:p>
        </w:tc>
        <w:tc>
          <w:tcPr>
            <w:tcW w:type="dxa" w:w="42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m8 match and A1 present</w:t>
            </w:r>
          </w:p>
        </w:tc>
        <w:tc>
          <w:tcPr>
            <w:tcW w:type="dxa" w:w="300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Highest</w:t>
            </w:r>
          </w:p>
        </w:tc>
      </w:tr>
      <w:tr>
        <w:tc>
          <w:tcPr>
            <w:tcW w:type="dxa" w:w="18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7mer-m8</w:t>
            </w:r>
          </w:p>
        </w:tc>
        <w:tc>
          <w:tcPr>
            <w:tcW w:type="dxa" w:w="421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m8 match only</w:t>
            </w:r>
          </w:p>
        </w:tc>
        <w:tc>
          <w:tcPr>
            <w:tcW w:type="dxa" w:w="300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High</w:t>
            </w:r>
          </w:p>
        </w:tc>
      </w:tr>
      <w:tr>
        <w:tc>
          <w:tcPr>
            <w:tcW w:type="dxa" w:w="18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7mer-A1</w:t>
            </w:r>
          </w:p>
        </w:tc>
        <w:tc>
          <w:tcPr>
            <w:tcW w:type="dxa" w:w="42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A1 only</w:t>
            </w:r>
          </w:p>
        </w:tc>
        <w:tc>
          <w:tcPr>
            <w:tcW w:type="dxa" w:w="300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Moderate</w:t>
            </w:r>
          </w:p>
        </w:tc>
      </w:tr>
      <w:tr>
        <w:tc>
          <w:tcPr>
            <w:tcW w:type="dxa" w:w="18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6mer</w:t>
            </w:r>
          </w:p>
        </w:tc>
        <w:tc>
          <w:tcPr>
            <w:tcW w:type="dxa" w:w="421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Neither</w:t>
            </w:r>
          </w:p>
        </w:tc>
        <w:tc>
          <w:tcPr>
            <w:tcW w:type="dxa" w:w="300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Flagged low_confidence, hidden by default</w:t>
            </w:r>
          </w:p>
        </w:tc>
      </w:tr>
    </w:tbl>
    <w:p>
      <w:pPr>
        <w:spacing w:after="120"/>
      </w:pPr>
    </w:p>
    <w:p>
      <w:pPr>
        <w:spacing w:after="120" w:line="360"/>
      </w:pPr>
      <w:r>
        <w:rPr>
          <w:rFonts w:ascii="Times New Roman" w:cs="Times New Roman" w:eastAsia="Times New Roman" w:hAnsi="Times New Roman"/>
          <w:b/>
          <w:bCs/>
          <w:sz w:val="24"/>
          <w:szCs w:val="24"/>
        </w:rPr>
        <w:t xml:space="preserve">Strictly Watson–Crick. </w:t>
      </w:r>
      <w:r>
        <w:rPr>
          <w:rFonts w:ascii="Times New Roman" w:cs="Times New Roman" w:eastAsia="Times New Roman" w:hAnsi="Times New Roman"/>
          <w:sz w:val="24"/>
          <w:szCs w:val="24"/>
        </w:rPr>
        <w:t xml:space="preserve">No G:U wobble pairs are permitted. This is what makes it a different measurement from RNAhybrid, which does allow them — see section 7.2.</w:t>
      </w:r>
    </w:p>
    <w:p>
      <w:pPr>
        <w:spacing w:after="120" w:line="360"/>
      </w:pPr>
      <w:r>
        <w:rPr>
          <w:rFonts w:ascii="Times New Roman" w:cs="Times New Roman" w:eastAsia="Times New Roman" w:hAnsi="Times New Roman"/>
          <w:sz w:val="24"/>
          <w:szCs w:val="24"/>
        </w:rPr>
        <w:t xml:space="preserve">Input validation rejects anything that is not DNA or RNA, strips a FASTA header if present, and raises rather than proceeding on an empty or malformed sequence. A miRNA shorter than 8 nt raises explicitly instead of producing a truncated seed.</w:t>
      </w:r>
    </w:p>
    <w:p>
      <w:pPr>
        <w:pStyle w:val="Heading2"/>
        <w:spacing w:after="120" w:before="260" w:line="360"/>
      </w:pPr>
      <w:r>
        <w:rPr>
          <w:rFonts w:ascii="Times New Roman" w:cs="Times New Roman" w:eastAsia="Times New Roman" w:hAnsi="Times New Roman"/>
          <w:b/>
          <w:bCs/>
          <w:color w:val="2E5496"/>
          <w:sz w:val="26"/>
          <w:szCs w:val="26"/>
        </w:rPr>
        <w:t xml:space="preserve">7.2 RNAhybrid 2.1.2-8 — thermodynamic duplex folding</w:t>
      </w:r>
    </w:p>
    <w:p>
      <w:pPr>
        <w:spacing w:after="120" w:line="360"/>
      </w:pPr>
      <w:r>
        <w:rPr>
          <w:rFonts w:ascii="Times New Roman" w:cs="Times New Roman" w:eastAsia="Times New Roman" w:hAnsi="Times New Roman"/>
          <w:sz w:val="24"/>
          <w:szCs w:val="24"/>
        </w:rPr>
        <w:t xml:space="preserve">Run live as an external process for every job. Kind: prediction. Score: minimum free energy in kcal/mol, better when lower. Marked slow, so it is excluded from the default tool set.</w:t>
      </w:r>
    </w:p>
    <w:p>
      <w:pPr>
        <w:spacing w:after="120" w:line="360"/>
      </w:pPr>
      <w:r>
        <w:rPr>
          <w:rFonts w:ascii="Times New Roman" w:cs="Times New Roman" w:eastAsia="Times New Roman" w:hAnsi="Times New Roman"/>
          <w:b/>
          <w:bCs/>
          <w:sz w:val="24"/>
          <w:szCs w:val="24"/>
        </w:rPr>
        <w:t xml:space="preserve">This tool required a dedicated investigation before the orchestrator could be designed around it. </w:t>
      </w:r>
      <w:r>
        <w:rPr>
          <w:rFonts w:ascii="Times New Roman" w:cs="Times New Roman" w:eastAsia="Times New Roman" w:hAnsi="Times New Roman"/>
          <w:sz w:val="24"/>
          <w:szCs w:val="24"/>
        </w:rPr>
        <w:t xml:space="preserve">Seven behaviours were found that would each have corrupted results silently. They are recorded in manifests/rnahybrid_spike.md and are summarised here because several are the kind of thing a supervisor will reasonably ask about.</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2006"/>
        <w:gridCol w:w="3610"/>
        <w:gridCol w:w="3410"/>
      </w:tblGrid>
      <w:tr>
        <w:trPr>
          <w:tblHeader/>
        </w:trPr>
        <w:tc>
          <w:tcPr>
            <w:tcW w:type="dxa" w:w="2006"/>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Finding</w:t>
            </w:r>
          </w:p>
        </w:tc>
        <w:tc>
          <w:tcPr>
            <w:tcW w:type="dxa" w:w="3610"/>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Consequence if ignored</w:t>
            </w:r>
          </w:p>
        </w:tc>
        <w:tc>
          <w:tcPr>
            <w:tcW w:type="dxa" w:w="3410"/>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Rule adopted</w:t>
            </w:r>
          </w:p>
        </w:tc>
      </w:tr>
      <w:tr>
        <w:tc>
          <w:tcPr>
            <w:tcW w:type="dxa" w:w="20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FASTA must be line-wrapped</w:t>
            </w:r>
          </w:p>
        </w:tc>
        <w:tc>
          <w:tcPr>
            <w:tcW w:type="dxa" w:w="36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 sequence on one long line loses a nucleotide: 1,918 nt reported as 1,917, 2,000 as 1,998. Every derived coordinate shifts</w:t>
            </w:r>
          </w:p>
        </w:tc>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Always write FASTA wrapped at 60 characters, and assert the reported length equals the length supplied</w:t>
            </w:r>
          </w:p>
        </w:tc>
      </w:tr>
      <w:tr>
        <w:tc>
          <w:tcPr>
            <w:tcW w:type="dxa" w:w="20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 must be passed</w:t>
            </w:r>
          </w:p>
        </w:tc>
        <w:tc>
          <w:tcPr>
            <w:tcW w:type="dxa" w:w="36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Targets beyond roughly 2,000 nt abort with "target too long" and produce no output at all. DICER1 is 10,384 nt</w:t>
            </w:r>
          </w:p>
        </w:tc>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Pass -m at least the length of the longest target</w:t>
            </w:r>
          </w:p>
        </w:tc>
      </w:tr>
      <w:tr>
        <w:tc>
          <w:tcPr>
            <w:tcW w:type="dxa" w:w="20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-f 2,7 is required</w:t>
            </w:r>
          </w:p>
        </w:tc>
        <w:tc>
          <w:tcPr>
            <w:tcW w:type="dxa" w:w="36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Without it RNAhybrid ranks by folding energy alone and GC-rich non-seed decoys outrank the real site. On PDCD4 the true 8mer ranked fifth behind four decoys reaching −23.1 kcal/mol</w:t>
            </w:r>
          </w:p>
        </w:tc>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Always pass -f 2,7. RNAhybrid is a scorer for seed-anchored candidates, not a finder</w:t>
            </w:r>
          </w:p>
        </w:tc>
      </w:tr>
      <w:tr>
        <w:tc>
          <w:tcPr>
            <w:tcW w:type="dxa" w:w="20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P-values are length-dependent</w:t>
            </w:r>
          </w:p>
        </w:tc>
        <w:tc>
          <w:tcPr>
            <w:tcW w:type="dxa" w:w="36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The same duplex gives p = 1.000 in a 1,918 nt target and p = 0.227 in a 30 nt fragment</w:t>
            </w:r>
          </w:p>
        </w:tc>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Store MFE, never the p-value, and never present p as confidence</w:t>
            </w:r>
          </w:p>
        </w:tc>
      </w:tr>
      <w:tr>
        <w:tc>
          <w:tcPr>
            <w:tcW w:type="dxa" w:w="20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 hit is reported as mfe 0.0 at position 0</w:t>
            </w:r>
          </w:p>
        </w:tc>
        <w:tc>
          <w:tcPr>
            <w:tcW w:type="dxa" w:w="36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 naive parser records absence as a perfect-energy hit</w:t>
            </w:r>
          </w:p>
        </w:tc>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Treat mfe 0.0 with position 0 as no hit</w:t>
            </w:r>
          </w:p>
        </w:tc>
      </w:tr>
      <w:tr>
        <w:tc>
          <w:tcPr>
            <w:tcW w:type="dxa" w:w="20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Errors go to stderr</w:t>
            </w:r>
          </w:p>
        </w:tc>
        <w:tc>
          <w:tcPr>
            <w:tcW w:type="dxa" w:w="36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"target too long" is invisible to a stdout-only reader</w:t>
            </w:r>
          </w:p>
        </w:tc>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Capture stderr as well as stdout</w:t>
            </w:r>
          </w:p>
        </w:tc>
      </w:tr>
      <w:tr>
        <w:tc>
          <w:tcPr>
            <w:tcW w:type="dxa" w:w="20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Positions are 1-based on the sequence supplied</w:t>
            </w:r>
          </w:p>
        </w:tc>
        <w:tc>
          <w:tcPr>
            <w:tcW w:type="dxa" w:w="36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Off-by-one on every coordinate</w:t>
            </w:r>
          </w:p>
        </w:tc>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Transcript coordinate = region start + reported position − 1</w:t>
            </w:r>
          </w:p>
        </w:tc>
      </w:tr>
    </w:tbl>
    <w:p>
      <w:pPr>
        <w:pStyle w:val="Heading3"/>
        <w:spacing w:after="100" w:before="200" w:line="360"/>
      </w:pPr>
      <w:r>
        <w:rPr>
          <w:rFonts w:ascii="Times New Roman" w:cs="Times New Roman" w:eastAsia="Times New Roman" w:hAnsi="Times New Roman"/>
          <w:b/>
          <w:bCs/>
          <w:i/>
          <w:iCs/>
          <w:sz w:val="24"/>
          <w:szCs w:val="24"/>
        </w:rPr>
        <w:t xml:space="preserve">G:U wobble pairs, and why they matter</w:t>
      </w:r>
    </w:p>
    <w:p>
      <w:pPr>
        <w:spacing w:after="120" w:line="360"/>
      </w:pPr>
      <w:r>
        <w:rPr>
          <w:rFonts w:ascii="Times New Roman" w:cs="Times New Roman" w:eastAsia="Times New Roman" w:hAnsi="Times New Roman"/>
          <w:sz w:val="24"/>
          <w:szCs w:val="24"/>
        </w:rPr>
        <w:t xml:space="preserve">The -f 2,7 flag forces a helix over query positions 2–7 but permits G:U wobble pairs inside it. RNAhybrid therefore reports seed-anchored sites that an exact Watson–Crick matcher rejects. This is a feature — non-canonical sites are part of why RNAhybrid is included — but it changes what "no seed site" means. A gene may carry an RNAhybrid hit and no seed hit, and that combination is informative rather than contradictory.</w:t>
      </w:r>
    </w:p>
    <w:p>
      <w:pPr>
        <w:spacing w:after="120" w:line="360"/>
      </w:pPr>
      <w:r>
        <w:rPr>
          <w:rFonts w:ascii="Times New Roman" w:cs="Times New Roman" w:eastAsia="Times New Roman" w:hAnsi="Times New Roman"/>
          <w:sz w:val="24"/>
          <w:szCs w:val="24"/>
        </w:rPr>
        <w:t xml:space="preserve">The worked example, for hsa-miR-21-5p:</w:t>
      </w:r>
    </w:p>
    <w:p>
      <w:pPr>
        <w:spacing w:after="120"/>
      </w:pPr>
    </w:p>
    <w:p>
      <w:pPr>
        <w:shd w:fill="F4F4F4" w:val="clear"/>
        <w:spacing w:after="0" w:before="100" w:line="240"/>
        <w:ind w:left="240"/>
      </w:pPr>
      <w:r>
        <w:rPr>
          <w:rFonts w:ascii="Consolas" w:cs="Consolas" w:eastAsia="Consolas" w:hAnsi="Consolas"/>
          <w:sz w:val="19"/>
          <w:szCs w:val="19"/>
        </w:rPr>
        <w:t xml:space="preserve">PDCD4  3'UTR 1790-1813  -18.5  target AUAAGCUA / miRNA UAUUCGAU</w:t>
      </w:r>
    </w:p>
    <w:p>
      <w:pPr>
        <w:shd w:fill="F4F4F4" w:val="clear"/>
        <w:spacing w:after="0" w:before="0" w:line="240"/>
        <w:ind w:left="240"/>
      </w:pPr>
      <w:r>
        <w:rPr>
          <w:rFonts w:ascii="Consolas" w:cs="Consolas" w:eastAsia="Consolas" w:hAnsi="Consolas"/>
          <w:sz w:val="19"/>
          <w:szCs w:val="19"/>
        </w:rPr>
        <w:t xml:space="preserve">                               all Watson-Crick, the canonical 8mer</w:t>
      </w:r>
    </w:p>
    <w:p>
      <w:pPr>
        <w:shd w:fill="F4F4F4" w:val="clear"/>
        <w:spacing w:after="0" w:before="0" w:line="240"/>
        <w:ind w:left="240"/>
      </w:pPr>
      <w:r>
        <w:rPr>
          <w:rFonts w:ascii="Consolas" w:cs="Consolas" w:eastAsia="Consolas" w:hAnsi="Consolas"/>
          <w:sz w:val="19"/>
          <w:szCs w:val="19"/>
        </w:rPr>
        <w:t xml:space="preserve"> </w:t>
      </w:r>
    </w:p>
    <w:p>
      <w:pPr>
        <w:shd w:fill="F4F4F4" w:val="clear"/>
        <w:spacing w:after="0" w:before="0" w:line="240"/>
        <w:ind w:left="240"/>
      </w:pPr>
      <w:r>
        <w:rPr>
          <w:rFonts w:ascii="Consolas" w:cs="Consolas" w:eastAsia="Consolas" w:hAnsi="Consolas"/>
          <w:sz w:val="19"/>
          <w:szCs w:val="19"/>
        </w:rPr>
        <w:t xml:space="preserve">GAPDH  CDS    724-749   -20.6  target UGAGCUG  / miRNA AUUCGAU</w:t>
      </w:r>
    </w:p>
    <w:p>
      <w:pPr>
        <w:shd w:fill="F4F4F4" w:val="clear"/>
        <w:spacing w:after="140" w:before="0" w:line="240"/>
        <w:ind w:left="240"/>
      </w:pPr>
      <w:r>
        <w:rPr>
          <w:rFonts w:ascii="Consolas" w:cs="Consolas" w:eastAsia="Consolas" w:hAnsi="Consolas"/>
          <w:sz w:val="19"/>
          <w:szCs w:val="19"/>
        </w:rPr>
        <w:t xml:space="preserve">                               two G:U wobbles in the seed helix</w:t>
      </w:r>
    </w:p>
    <w:p>
      <w:pPr>
        <w:spacing w:after="120" w:line="360"/>
      </w:pPr>
      <w:r>
        <w:rPr>
          <w:rFonts w:ascii="Times New Roman" w:cs="Times New Roman" w:eastAsia="Times New Roman" w:hAnsi="Times New Roman"/>
          <w:b/>
          <w:bCs/>
          <w:sz w:val="24"/>
          <w:szCs w:val="24"/>
        </w:rPr>
        <w:t xml:space="preserve">The wobble-paired site in a housekeeping gene scores stronger than the validated canonical site in the textbook miR-21 target. </w:t>
      </w:r>
      <w:r>
        <w:rPr>
          <w:rFonts w:ascii="Times New Roman" w:cs="Times New Roman" w:eastAsia="Times New Roman" w:hAnsi="Times New Roman"/>
          <w:sz w:val="24"/>
          <w:szCs w:val="24"/>
        </w:rPr>
        <w:t xml:space="preserve">Folding energy alone would rank GAPDH's coding region above PDCD4. This single observation is the concrete justification for per-tool columns and no unified score.</w:t>
      </w:r>
    </w:p>
    <w:p>
      <w:pPr>
        <w:pStyle w:val="Heading3"/>
        <w:spacing w:after="100" w:before="200" w:line="360"/>
      </w:pPr>
      <w:r>
        <w:rPr>
          <w:rFonts w:ascii="Times New Roman" w:cs="Times New Roman" w:eastAsia="Times New Roman" w:hAnsi="Times New Roman"/>
          <w:b/>
          <w:bCs/>
          <w:i/>
          <w:iCs/>
          <w:sz w:val="24"/>
          <w:szCs w:val="24"/>
        </w:rPr>
        <w:t xml:space="preserve">Choosing the energy threshold from the data</w:t>
      </w:r>
    </w:p>
    <w:p>
      <w:pPr>
        <w:spacing w:after="120" w:line="360"/>
      </w:pPr>
      <w:r>
        <w:rPr>
          <w:rFonts w:ascii="Times New Roman" w:cs="Times New Roman" w:eastAsia="Times New Roman" w:hAnsi="Times New Roman"/>
          <w:sz w:val="24"/>
          <w:szCs w:val="24"/>
        </w:rPr>
        <w:t xml:space="preserve">The low_confidence cutoff was not chosen by convention. Genes reached at each cutoff for hsa-miR-21-5p:</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2608"/>
        <w:gridCol w:w="3009"/>
        <w:gridCol w:w="3410"/>
      </w:tblGrid>
      <w:tr>
        <w:trPr>
          <w:tblHeader/>
        </w:trPr>
        <w:tc>
          <w:tcPr>
            <w:tcW w:type="dxa" w:w="2608"/>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Cutoff (kcal/mol)</w:t>
            </w:r>
          </w:p>
        </w:tc>
        <w:tc>
          <w:tcPr>
            <w:tcW w:type="dxa" w:w="3009"/>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Genes reached</w:t>
            </w:r>
          </w:p>
        </w:tc>
        <w:tc>
          <w:tcPr>
            <w:tcW w:type="dxa" w:w="3410"/>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Share of transcriptome</w:t>
            </w:r>
          </w:p>
        </w:tc>
      </w:tr>
      <w:tr>
        <w:tc>
          <w:tcPr>
            <w:tcW w:type="dxa" w:w="26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−15</w:t>
            </w:r>
          </w:p>
        </w:tc>
        <w:tc>
          <w:tcPr>
            <w:tcW w:type="dxa" w:w="300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17,643</w:t>
            </w:r>
          </w:p>
        </w:tc>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91%</w:t>
            </w:r>
          </w:p>
        </w:tc>
      </w:tr>
      <w:tr>
        <w:tc>
          <w:tcPr>
            <w:tcW w:type="dxa" w:w="26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−20</w:t>
            </w:r>
          </w:p>
        </w:tc>
        <w:tc>
          <w:tcPr>
            <w:tcW w:type="dxa" w:w="300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11,741</w:t>
            </w:r>
          </w:p>
        </w:tc>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61%</w:t>
            </w:r>
          </w:p>
        </w:tc>
      </w:tr>
      <w:tr>
        <w:tc>
          <w:tcPr>
            <w:tcW w:type="dxa" w:w="26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−25</w:t>
            </w:r>
          </w:p>
        </w:tc>
        <w:tc>
          <w:tcPr>
            <w:tcW w:type="dxa" w:w="300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1,696</w:t>
            </w:r>
          </w:p>
        </w:tc>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8.8%</w:t>
            </w:r>
          </w:p>
        </w:tc>
      </w:tr>
      <w:tr>
        <w:tc>
          <w:tcPr>
            <w:tcW w:type="dxa" w:w="26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−30</w:t>
            </w:r>
          </w:p>
        </w:tc>
        <w:tc>
          <w:tcPr>
            <w:tcW w:type="dxa" w:w="300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65</w:t>
            </w:r>
          </w:p>
        </w:tc>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0.3%</w:t>
            </w:r>
          </w:p>
        </w:tc>
      </w:tr>
    </w:tbl>
    <w:p>
      <w:pPr>
        <w:spacing w:after="120"/>
      </w:pPr>
    </w:p>
    <w:p>
      <w:pPr>
        <w:spacing w:after="120" w:line="360"/>
      </w:pPr>
      <w:r>
        <w:rPr>
          <w:rFonts w:ascii="Times New Roman" w:cs="Times New Roman" w:eastAsia="Times New Roman" w:hAnsi="Times New Roman"/>
          <w:sz w:val="24"/>
          <w:szCs w:val="24"/>
        </w:rPr>
        <w:t xml:space="preserve">At −15 RNAhybrid reports a site in 91% of human genes, which is not a prediction. low_confidence is therefore set at −25, where the gene count (1,696) is comparable to TargetScan (2,598) and the seed analyser (6,673). Weaker sites are still stored and still shown when asked for.</w:t>
      </w:r>
    </w:p>
    <w:p>
      <w:pPr>
        <w:spacing w:after="120" w:line="360"/>
      </w:pPr>
      <w:r>
        <w:rPr>
          <w:rFonts w:ascii="Times New Roman" w:cs="Times New Roman" w:eastAsia="Times New Roman" w:hAnsi="Times New Roman"/>
          <w:i/>
          <w:iCs/>
          <w:sz w:val="24"/>
          <w:szCs w:val="24"/>
        </w:rPr>
        <w:t xml:space="preserve">Stated caveat: </w:t>
      </w:r>
      <w:r>
        <w:rPr>
          <w:rFonts w:ascii="Times New Roman" w:cs="Times New Roman" w:eastAsia="Times New Roman" w:hAnsi="Times New Roman"/>
          <w:sz w:val="24"/>
          <w:szCs w:val="24"/>
        </w:rPr>
        <w:t xml:space="preserve">a fixed energy threshold favours long transcripts, which have more opportunities to contain a low-energy duplex. This is the same composition confound measured for seed matches (section 18), and it has not yet been quantified for MFE.</w:t>
      </w:r>
    </w:p>
    <w:p>
      <w:pPr>
        <w:pStyle w:val="Heading2"/>
        <w:spacing w:after="120" w:before="260" w:line="360"/>
      </w:pPr>
      <w:r>
        <w:rPr>
          <w:rFonts w:ascii="Times New Roman" w:cs="Times New Roman" w:eastAsia="Times New Roman" w:hAnsi="Times New Roman"/>
          <w:b/>
          <w:bCs/>
          <w:color w:val="2E5496"/>
          <w:sz w:val="26"/>
          <w:szCs w:val="26"/>
        </w:rPr>
        <w:t xml:space="preserve">7.3 TargetScan v8.0 — precomputed lookup</w:t>
      </w:r>
    </w:p>
    <w:p>
      <w:pPr>
        <w:spacing w:after="120" w:line="360"/>
      </w:pPr>
      <w:r>
        <w:rPr>
          <w:rFonts w:ascii="Times New Roman" w:cs="Times New Roman" w:eastAsia="Times New Roman" w:hAnsi="Times New Roman"/>
          <w:sz w:val="24"/>
          <w:szCs w:val="24"/>
        </w:rPr>
        <w:t xml:space="preserve">Kind: prediction. Score: context++, better when lower. gives_position is false.</w:t>
      </w:r>
    </w:p>
    <w:p>
      <w:pPr>
        <w:spacing w:after="120" w:line="360"/>
      </w:pPr>
      <w:r>
        <w:rPr>
          <w:rFonts w:ascii="Times New Roman" w:cs="Times New Roman" w:eastAsia="Times New Roman" w:hAnsi="Times New Roman"/>
          <w:sz w:val="24"/>
          <w:szCs w:val="24"/>
        </w:rPr>
        <w:t xml:space="preserve">At query time the tool looks up the miRNA's accession in targetscan_mirnas to obtain its seed family, then selects every prediction for that seed. It returns, per gene: context++ score, conserved and non-conserved site counts, aggregate PCT, whether the gene is in TargetScan's default set, whether TargetScan's representative transcript is the MANE one, and whether the seed still matches the current miRBase release.</w:t>
      </w:r>
    </w:p>
    <w:p>
      <w:pPr>
        <w:spacing w:after="120" w:line="360"/>
      </w:pPr>
      <w:r>
        <w:rPr>
          <w:rFonts w:ascii="Times New Roman" w:cs="Times New Roman" w:eastAsia="Times New Roman" w:hAnsi="Times New Roman"/>
          <w:sz w:val="24"/>
          <w:szCs w:val="24"/>
        </w:rPr>
        <w:t xml:space="preserve">If the seed has changed since v22 the tool emits a warning naming both seeds, which is surfaced in the job record rather than discarded. If the miRNA is absent from TargetScan entirely, it returns no records and a warning saying so — distinct from returning no records because there are no predictions.</w:t>
      </w:r>
    </w:p>
    <w:p>
      <w:pPr>
        <w:spacing w:after="120" w:line="360"/>
      </w:pPr>
      <w:r>
        <w:rPr>
          <w:rFonts w:ascii="Times New Roman" w:cs="Times New Roman" w:eastAsia="Times New Roman" w:hAnsi="Times New Roman"/>
          <w:sz w:val="24"/>
          <w:szCs w:val="24"/>
        </w:rPr>
        <w:t xml:space="preserve">A gene with zero conserved sites is flagged low_confidence, and aggregate PCT of exactly 0.000 is stored as null rather than zero, because 0.000 in TargetScan's files means "no conservation evidence" and not "probability zero".</w:t>
      </w:r>
    </w:p>
    <w:p>
      <w:pPr>
        <w:pStyle w:val="Heading2"/>
        <w:spacing w:after="120" w:before="260" w:line="360"/>
      </w:pPr>
      <w:r>
        <w:rPr>
          <w:rFonts w:ascii="Times New Roman" w:cs="Times New Roman" w:eastAsia="Times New Roman" w:hAnsi="Times New Roman"/>
          <w:b/>
          <w:bCs/>
          <w:color w:val="2E5496"/>
          <w:sz w:val="26"/>
          <w:szCs w:val="26"/>
        </w:rPr>
        <w:t xml:space="preserve">7.4 miRTarBase 10.0 — experimental evidence</w:t>
      </w:r>
    </w:p>
    <w:p>
      <w:pPr>
        <w:spacing w:after="120" w:line="360"/>
      </w:pPr>
      <w:r>
        <w:rPr>
          <w:rFonts w:ascii="Times New Roman" w:cs="Times New Roman" w:eastAsia="Times New Roman" w:hAnsi="Times New Roman"/>
          <w:sz w:val="24"/>
          <w:szCs w:val="24"/>
        </w:rPr>
        <w:t xml:space="preserve">Kind: evidence. Score: number of strong functional experiments, better when higher. covers() returns true for every gene, because the absence of a record is itself a meaningful answer — the pair is novel.</w:t>
      </w:r>
    </w:p>
    <w:p>
      <w:pPr>
        <w:spacing w:after="120" w:line="360"/>
      </w:pPr>
      <w:r>
        <w:rPr>
          <w:rFonts w:ascii="Times New Roman" w:cs="Times New Roman" w:eastAsia="Times New Roman" w:hAnsi="Times New Roman"/>
          <w:sz w:val="24"/>
          <w:szCs w:val="24"/>
        </w:rPr>
        <w:t xml:space="preserve">Each record carries a status derived from the evidence counts:</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2407"/>
        <w:gridCol w:w="3209"/>
        <w:gridCol w:w="3410"/>
      </w:tblGrid>
      <w:tr>
        <w:trPr>
          <w:tblHeader/>
        </w:trPr>
        <w:tc>
          <w:tcPr>
            <w:tcW w:type="dxa" w:w="2407"/>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Status</w:t>
            </w:r>
          </w:p>
        </w:tc>
        <w:tc>
          <w:tcPr>
            <w:tcW w:type="dxa" w:w="3209"/>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Condition</w:t>
            </w:r>
          </w:p>
        </w:tc>
        <w:tc>
          <w:tcPr>
            <w:tcW w:type="dxa" w:w="3410"/>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Rendered as</w:t>
            </w:r>
          </w:p>
        </w:tc>
      </w:tr>
      <w:tr>
        <w:tc>
          <w:tcPr>
            <w:tcW w:type="dxa" w:w="240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validated_strong</w:t>
            </w:r>
          </w:p>
        </w:tc>
        <w:tc>
          <w:tcPr>
            <w:tcW w:type="dxa" w:w="320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At least one strong functional experiment</w:t>
            </w:r>
          </w:p>
        </w:tc>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Validated (strong evidence)</w:t>
            </w:r>
          </w:p>
        </w:tc>
      </w:tr>
      <w:tr>
        <w:tc>
          <w:tcPr>
            <w:tcW w:type="dxa" w:w="240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reported_weak</w:t>
            </w:r>
          </w:p>
        </w:tc>
        <w:tc>
          <w:tcPr>
            <w:tcW w:type="dxa" w:w="320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Weak functional evidence only</w:t>
            </w:r>
          </w:p>
        </w:tc>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Reported (CLIP)</w:t>
            </w:r>
          </w:p>
        </w:tc>
      </w:tr>
      <w:tr>
        <w:tc>
          <w:tcPr>
            <w:tcW w:type="dxa" w:w="240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evidence_of_no_effect</w:t>
            </w:r>
          </w:p>
        </w:tc>
        <w:tc>
          <w:tcPr>
            <w:tcW w:type="dxa" w:w="320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Only non-functional records</w:t>
            </w:r>
          </w:p>
        </w:tc>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Reported: no effect</w:t>
            </w:r>
          </w:p>
        </w:tc>
      </w:tr>
    </w:tbl>
    <w:p>
      <w:pPr>
        <w:spacing w:after="120"/>
      </w:pPr>
    </w:p>
    <w:p>
      <w:pPr>
        <w:spacing w:after="120" w:line="360"/>
      </w:pPr>
      <w:r>
        <w:rPr>
          <w:rFonts w:ascii="Times New Roman" w:cs="Times New Roman" w:eastAsia="Times New Roman" w:hAnsi="Times New Roman"/>
          <w:sz w:val="24"/>
          <w:szCs w:val="24"/>
        </w:rPr>
        <w:t xml:space="preserve">Up to 20 PubMed identifiers are carried with each record so a claim can be followed to its source. A score of 0.0 means "no strong evidence, weak evidence exists" and must never render as a numeric zero — the information is in extra.status, and the interface reads it from there.</w:t>
      </w:r>
    </w:p>
    <w:p>
      <w:r>
        <w:br w:type="page"/>
      </w:r>
    </w:p>
    <w:p>
      <w:pPr>
        <w:pStyle w:val="Heading1"/>
        <w:spacing w:after="160" w:before="360" w:line="360"/>
      </w:pPr>
      <w:r>
        <w:rPr>
          <w:rFonts w:ascii="Times New Roman" w:cs="Times New Roman" w:eastAsia="Times New Roman" w:hAnsi="Times New Roman"/>
          <w:b/>
          <w:bCs/>
          <w:color w:val="1F3864"/>
          <w:sz w:val="32"/>
          <w:szCs w:val="32"/>
        </w:rPr>
        <w:t xml:space="preserve">8. The orchestrator and the job model</w:t>
      </w:r>
    </w:p>
    <w:p>
      <w:pPr>
        <w:pStyle w:val="Heading2"/>
        <w:spacing w:after="120" w:before="260" w:line="360"/>
      </w:pPr>
      <w:r>
        <w:rPr>
          <w:rFonts w:ascii="Times New Roman" w:cs="Times New Roman" w:eastAsia="Times New Roman" w:hAnsi="Times New Roman"/>
          <w:b/>
          <w:bCs/>
          <w:color w:val="2E5496"/>
          <w:sz w:val="26"/>
          <w:szCs w:val="26"/>
        </w:rPr>
        <w:t xml:space="preserve">A job is one miRNA</w:t>
      </w:r>
    </w:p>
    <w:p>
      <w:pPr>
        <w:spacing w:after="120" w:line="360"/>
      </w:pPr>
      <w:r>
        <w:rPr>
          <w:rFonts w:ascii="Times New Roman" w:cs="Times New Roman" w:eastAsia="Times New Roman" w:hAnsi="Times New Roman"/>
          <w:sz w:val="24"/>
          <w:szCs w:val="24"/>
        </w:rPr>
        <w:t xml:space="preserve">One job is one miRNA against one target set. Several miRNAs become several jobs sharing a batch_id. The consequences are practical: a failure costs one miRNA rather than a whole submission, retries are cheap, and progress is reportable per miRNA.</w:t>
      </w:r>
    </w:p>
    <w:p>
      <w:pPr>
        <w:pStyle w:val="Heading2"/>
        <w:spacing w:after="120" w:before="260" w:line="360"/>
      </w:pPr>
      <w:r>
        <w:rPr>
          <w:rFonts w:ascii="Times New Roman" w:cs="Times New Roman" w:eastAsia="Times New Roman" w:hAnsi="Times New Roman"/>
          <w:b/>
          <w:bCs/>
          <w:color w:val="2E5496"/>
          <w:sz w:val="26"/>
          <w:szCs w:val="26"/>
        </w:rPr>
        <w:t xml:space="preserve">Execution</w:t>
      </w:r>
    </w:p>
    <w:p>
      <w:pPr>
        <w:pStyle w:val="ListParagraph"/>
        <w:numPr>
          <w:ilvl w:val="0"/>
          <w:numId w:val="2"/>
        </w:numPr>
        <w:spacing w:after="80" w:line="360"/>
      </w:pPr>
      <w:r>
        <w:rPr>
          <w:rFonts w:ascii="Times New Roman" w:cs="Times New Roman" w:eastAsia="Times New Roman" w:hAnsi="Times New Roman"/>
          <w:sz w:val="24"/>
          <w:szCs w:val="24"/>
        </w:rPr>
        <w:t xml:space="preserve">create_job resolves the miRNA and every gene identifier, rejects unknown tools, and writes a queued row. It resolves at the gate so the API and the command line validate identically.</w:t>
      </w:r>
    </w:p>
    <w:p>
      <w:pPr>
        <w:pStyle w:val="ListParagraph"/>
        <w:numPr>
          <w:ilvl w:val="0"/>
          <w:numId w:val="2"/>
        </w:numPr>
        <w:spacing w:after="80" w:line="360"/>
      </w:pPr>
      <w:r>
        <w:rPr>
          <w:rFonts w:ascii="Times New Roman" w:cs="Times New Roman" w:eastAsia="Times New Roman" w:hAnsi="Times New Roman"/>
          <w:sz w:val="24"/>
          <w:szCs w:val="24"/>
        </w:rPr>
        <w:t xml:space="preserve">run_job clears any previous results for that job (so re-running is idempotent), then runs each selected tool in turn.</w:t>
      </w:r>
    </w:p>
    <w:p>
      <w:pPr>
        <w:pStyle w:val="ListParagraph"/>
        <w:numPr>
          <w:ilvl w:val="0"/>
          <w:numId w:val="2"/>
        </w:numPr>
        <w:spacing w:after="80" w:line="360"/>
      </w:pPr>
      <w:r>
        <w:rPr>
          <w:rFonts w:ascii="Times New Roman" w:cs="Times New Roman" w:eastAsia="Times New Roman" w:hAnsi="Times New Roman"/>
          <w:sz w:val="24"/>
          <w:szCs w:val="24"/>
        </w:rPr>
        <w:t xml:space="preserve">A tool that raises is recorded in tool_runs with status 'failed' and the exception text; the other tools still run and their results are stored.</w:t>
      </w:r>
    </w:p>
    <w:p>
      <w:pPr>
        <w:pStyle w:val="ListParagraph"/>
        <w:numPr>
          <w:ilvl w:val="0"/>
          <w:numId w:val="2"/>
        </w:numPr>
        <w:spacing w:after="80" w:line="360"/>
      </w:pPr>
      <w:r>
        <w:rPr>
          <w:rFonts w:ascii="Times New Roman" w:cs="Times New Roman" w:eastAsia="Times New Roman" w:hAnsi="Times New Roman"/>
          <w:sz w:val="24"/>
          <w:szCs w:val="24"/>
        </w:rPr>
        <w:t xml:space="preserve">run_job refuses to report 'ok' on an empty target set.</w:t>
      </w:r>
    </w:p>
    <w:p>
      <w:pPr>
        <w:pStyle w:val="Heading2"/>
        <w:spacing w:after="120" w:before="260" w:line="360"/>
      </w:pPr>
      <w:r>
        <w:rPr>
          <w:rFonts w:ascii="Times New Roman" w:cs="Times New Roman" w:eastAsia="Times New Roman" w:hAnsi="Times New Roman"/>
          <w:b/>
          <w:bCs/>
          <w:color w:val="2E5496"/>
          <w:sz w:val="26"/>
          <w:szCs w:val="26"/>
        </w:rPr>
        <w:t xml:space="preserve">The background worker</w:t>
      </w:r>
    </w:p>
    <w:p>
      <w:pPr>
        <w:spacing w:after="120" w:line="360"/>
      </w:pPr>
      <w:r>
        <w:rPr>
          <w:rFonts w:ascii="Times New Roman" w:cs="Times New Roman" w:eastAsia="Times New Roman" w:hAnsi="Times New Roman"/>
          <w:sz w:val="24"/>
          <w:szCs w:val="24"/>
        </w:rPr>
        <w:t xml:space="preserve">scripts/worker.py drains three queues in dependency order: jobs first, then enrichment runs, then reports. The order is not arbitrary — an enrichment reads a job's results and a report reads both, so finishing what a thing depends on first is never wrong.</w:t>
      </w:r>
    </w:p>
    <w:p>
      <w:pPr>
        <w:spacing w:after="120" w:line="360"/>
      </w:pPr>
      <w:r>
        <w:rPr>
          <w:rFonts w:ascii="Times New Roman" w:cs="Times New Roman" w:eastAsia="Times New Roman" w:hAnsi="Times New Roman"/>
          <w:sz w:val="24"/>
          <w:szCs w:val="24"/>
        </w:rPr>
        <w:t xml:space="preserve">next_queued() claims work atomically with a conditional UPDATE, so several workers would be safe. requeue_stale() returns anything left in 'running' by a crashed worker back to the queue on startup.</w:t>
      </w:r>
    </w:p>
    <w:p>
      <w:pPr>
        <w:pStyle w:val="Heading2"/>
        <w:spacing w:after="120" w:before="260" w:line="360"/>
      </w:pPr>
      <w:r>
        <w:rPr>
          <w:rFonts w:ascii="Times New Roman" w:cs="Times New Roman" w:eastAsia="Times New Roman" w:hAnsi="Times New Roman"/>
          <w:b/>
          <w:bCs/>
          <w:color w:val="2E5496"/>
          <w:sz w:val="26"/>
          <w:szCs w:val="26"/>
        </w:rPr>
        <w:t xml:space="preserve">Why everything slow is queued</w:t>
      </w:r>
    </w:p>
    <w:p>
      <w:pPr>
        <w:spacing w:after="120" w:line="360"/>
      </w:pPr>
      <w:r>
        <w:rPr>
          <w:rFonts w:ascii="Times New Roman" w:cs="Times New Roman" w:eastAsia="Times New Roman" w:hAnsi="Times New Roman"/>
          <w:sz w:val="24"/>
          <w:szCs w:val="24"/>
        </w:rPr>
        <w:t xml:space="preserve">A transcriptome-wide RNAhybrid job takes 13 minutes 24 seconds. An enrichment takes about two minutes, most of it waiting on the KEGG server. No HTTP request may hold a connection for that long, so job submission, enrichment and report generation all return 202 Accepted with an identifier to poll. There is one code path for every job, rather than a fast path that behaves differently.</w:t>
      </w:r>
    </w:p>
    <w:p>
      <w:pPr>
        <w:pStyle w:val="Heading1"/>
        <w:spacing w:after="160" w:before="360" w:line="360"/>
      </w:pPr>
      <w:r>
        <w:rPr>
          <w:rFonts w:ascii="Times New Roman" w:cs="Times New Roman" w:eastAsia="Times New Roman" w:hAnsi="Times New Roman"/>
          <w:b/>
          <w:bCs/>
          <w:color w:val="1F3864"/>
          <w:sz w:val="32"/>
          <w:szCs w:val="32"/>
        </w:rPr>
        <w:t xml:space="preserve">9. The HTTP API</w:t>
      </w:r>
    </w:p>
    <w:p>
      <w:pPr>
        <w:spacing w:after="120" w:line="360"/>
      </w:pPr>
      <w:r>
        <w:rPr>
          <w:rFonts w:ascii="Times New Roman" w:cs="Times New Roman" w:eastAsia="Times New Roman" w:hAnsi="Times New Roman"/>
          <w:sz w:val="24"/>
          <w:szCs w:val="24"/>
        </w:rPr>
        <w:t xml:space="preserve">FastAPI over the orchestrator. One SQLite connection per request, opened through a dependency and closed when the request ends. Interactive documentation at /docs.</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3410"/>
        <w:gridCol w:w="5616"/>
      </w:tblGrid>
      <w:tr>
        <w:trPr>
          <w:tblHeader/>
        </w:trPr>
        <w:tc>
          <w:tcPr>
            <w:tcW w:type="dxa" w:w="3410"/>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Method and path</w:t>
            </w:r>
          </w:p>
        </w:tc>
        <w:tc>
          <w:tcPr>
            <w:tcW w:type="dxa" w:w="5616"/>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Purpose</w:t>
            </w:r>
          </w:p>
        </w:tc>
      </w:tr>
      <w:tr>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GET /health</w:t>
            </w:r>
          </w:p>
        </w:tc>
        <w:tc>
          <w:tcPr>
            <w:tcW w:type="dxa" w:w="561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Liveness only</w:t>
            </w:r>
          </w:p>
        </w:tc>
      </w:tr>
      <w:tr>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GET /about</w:t>
            </w:r>
          </w:p>
        </w:tc>
        <w:tc>
          <w:tcPr>
            <w:tcW w:type="dxa" w:w="561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Name, subtitle, description, and every data source with its version</w:t>
            </w:r>
          </w:p>
        </w:tc>
      </w:tr>
      <w:tr>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GET /tools</w:t>
            </w:r>
          </w:p>
        </w:tc>
        <w:tc>
          <w:tcPr>
            <w:tcW w:type="dxa" w:w="561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Registry META, so a client never invents a ranking</w:t>
            </w:r>
          </w:p>
        </w:tc>
      </w:tr>
      <w:tr>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GET /mirnas/{query}</w:t>
            </w:r>
          </w:p>
        </w:tc>
        <w:tc>
          <w:tcPr>
            <w:tcW w:type="dxa" w:w="561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Resolve a miRNA: accession, mature sequence, seed, TargetScan family</w:t>
            </w:r>
          </w:p>
        </w:tc>
      </w:tr>
      <w:tr>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GET /genes/{gene}</w:t>
            </w:r>
          </w:p>
        </w:tc>
        <w:tc>
          <w:tcPr>
            <w:tcW w:type="dxa" w:w="561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MANE transcript length and region bounds</w:t>
            </w:r>
          </w:p>
        </w:tc>
      </w:tr>
      <w:tr>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POST /jobs</w:t>
            </w:r>
          </w:p>
        </w:tc>
        <w:tc>
          <w:tcPr>
            <w:tcW w:type="dxa" w:w="561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Resolve, validate, queue → 202</w:t>
            </w:r>
          </w:p>
        </w:tc>
      </w:tr>
      <w:tr>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GET /jobs/{id}</w:t>
            </w:r>
          </w:p>
        </w:tc>
        <w:tc>
          <w:tcPr>
            <w:tcW w:type="dxa" w:w="561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Status, timings, per-tool runs</w:t>
            </w:r>
          </w:p>
        </w:tc>
      </w:tr>
      <w:tr>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GET /jobs/{id}/results</w:t>
            </w:r>
          </w:p>
        </w:tc>
        <w:tc>
          <w:tcPr>
            <w:tcW w:type="dxa" w:w="561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Filtered, sorted, paginated rows</w:t>
            </w:r>
          </w:p>
        </w:tc>
      </w:tr>
      <w:tr>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GET /jobs/{id}/results.tsv</w:t>
            </w:r>
          </w:p>
        </w:tc>
        <w:tc>
          <w:tcPr>
            <w:tcW w:type="dxa" w:w="561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Every row, flattened, with provenance</w:t>
            </w:r>
          </w:p>
        </w:tc>
      </w:tr>
      <w:tr>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GET /jobs/{id}/results.xlsx</w:t>
            </w:r>
          </w:p>
        </w:tc>
        <w:tc>
          <w:tcPr>
            <w:tcW w:type="dxa" w:w="561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The same rows as an Excel workbook</w:t>
            </w:r>
          </w:p>
        </w:tc>
      </w:tr>
      <w:tr>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GET /jobs/{id}/genes</w:t>
            </w:r>
          </w:p>
        </w:tc>
        <w:tc>
          <w:tcPr>
            <w:tcW w:type="dxa" w:w="561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One page of genes with records and transcript geometry</w:t>
            </w:r>
          </w:p>
        </w:tc>
      </w:tr>
      <w:tr>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GET /jobs/{id}/geneset</w:t>
            </w:r>
          </w:p>
        </w:tc>
        <w:tc>
          <w:tcPr>
            <w:tcW w:type="dxa" w:w="561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Live gene count for the pathway tick boxes</w:t>
            </w:r>
          </w:p>
        </w:tc>
      </w:tr>
      <w:tr>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GET /jobs/{id}/network</w:t>
            </w:r>
          </w:p>
        </w:tc>
        <w:tc>
          <w:tcPr>
            <w:tcW w:type="dxa" w:w="561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Nodes and edges for the network view</w:t>
            </w:r>
          </w:p>
        </w:tc>
      </w:tr>
      <w:tr>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POST /jobs/{id}/enrichment</w:t>
            </w:r>
          </w:p>
        </w:tc>
        <w:tc>
          <w:tcPr>
            <w:tcW w:type="dxa" w:w="561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Queue GO and KEGG → 202; reuses an identical run</w:t>
            </w:r>
          </w:p>
        </w:tc>
      </w:tr>
      <w:tr>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GET /enrichment/{run_id}</w:t>
            </w:r>
          </w:p>
        </w:tc>
        <w:tc>
          <w:tcPr>
            <w:tcW w:type="dxa" w:w="561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One run: provenance, tab counts, a page of terms</w:t>
            </w:r>
          </w:p>
        </w:tc>
      </w:tr>
      <w:tr>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GET /enrichment/{run_id}/terms.tsv | .xlsx</w:t>
            </w:r>
          </w:p>
        </w:tc>
        <w:tc>
          <w:tcPr>
            <w:tcW w:type="dxa" w:w="561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Terms with the four hypergeometric integers</w:t>
            </w:r>
          </w:p>
        </w:tc>
      </w:tr>
      <w:tr>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POST /jobs/{id}/reports</w:t>
            </w:r>
          </w:p>
        </w:tc>
        <w:tc>
          <w:tcPr>
            <w:tcW w:type="dxa" w:w="561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Queue an HTML report → 202</w:t>
            </w:r>
          </w:p>
        </w:tc>
      </w:tr>
      <w:tr>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GET /reports/{id}.html</w:t>
            </w:r>
          </w:p>
        </w:tc>
        <w:tc>
          <w:tcPr>
            <w:tcW w:type="dxa" w:w="561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The rendered report, served inline</w:t>
            </w:r>
          </w:p>
        </w:tc>
      </w:tr>
    </w:tbl>
    <w:p>
      <w:pPr>
        <w:pStyle w:val="Heading2"/>
        <w:spacing w:after="120" w:before="260" w:line="360"/>
      </w:pPr>
      <w:r>
        <w:rPr>
          <w:rFonts w:ascii="Times New Roman" w:cs="Times New Roman" w:eastAsia="Times New Roman" w:hAnsi="Times New Roman"/>
          <w:b/>
          <w:bCs/>
          <w:color w:val="2E5496"/>
          <w:sz w:val="26"/>
          <w:szCs w:val="26"/>
        </w:rPr>
        <w:t xml:space="preserve">Two rules the server enforces rather than trusting the client</w:t>
      </w:r>
    </w:p>
    <w:p>
      <w:pPr>
        <w:spacing w:after="120" w:line="360"/>
      </w:pPr>
      <w:r>
        <w:rPr>
          <w:rFonts w:ascii="Times New Roman" w:cs="Times New Roman" w:eastAsia="Times New Roman" w:hAnsi="Times New Roman"/>
          <w:b/>
          <w:bCs/>
          <w:sz w:val="24"/>
          <w:szCs w:val="24"/>
        </w:rPr>
        <w:t xml:space="preserve">Sorting reads direction from the tool. </w:t>
      </w:r>
      <w:r>
        <w:rPr>
          <w:rFonts w:ascii="Times New Roman" w:cs="Times New Roman" w:eastAsia="Times New Roman" w:hAnsi="Times New Roman"/>
          <w:sz w:val="24"/>
          <w:szCs w:val="24"/>
        </w:rPr>
        <w:t xml:space="preserve">sort=score without a ?tool= parameter returns 422. Scores from different tools are not comparable, so the server refuses to pretend otherwise. sort=score on the seed analyser is also a 422, because it reports a category rather than a number; sort=site_type orders by that tool's own published categories.</w:t>
      </w:r>
    </w:p>
    <w:p>
      <w:pPr>
        <w:spacing w:after="120" w:line="360"/>
      </w:pPr>
      <w:r>
        <w:rPr>
          <w:rFonts w:ascii="Times New Roman" w:cs="Times New Roman" w:eastAsia="Times New Roman" w:hAnsi="Times New Roman"/>
          <w:b/>
          <w:bCs/>
          <w:sz w:val="24"/>
          <w:szCs w:val="24"/>
        </w:rPr>
        <w:t xml:space="preserve">Errors are structured, not strings. </w:t>
      </w:r>
      <w:r>
        <w:rPr>
          <w:rFonts w:ascii="Times New Roman" w:cs="Times New Roman" w:eastAsia="Times New Roman" w:hAnsi="Times New Roman"/>
          <w:sz w:val="24"/>
          <w:szCs w:val="24"/>
        </w:rPr>
        <w:t xml:space="preserve">mirna_not_found (404), mirna_ambiguous (409, with the candidate accessions listed), bad_request (422), job_not_found (404).</w:t>
      </w:r>
    </w:p>
    <w:p>
      <w:pPr>
        <w:pStyle w:val="Heading2"/>
        <w:spacing w:after="120" w:before="260" w:line="360"/>
      </w:pPr>
      <w:r>
        <w:rPr>
          <w:rFonts w:ascii="Times New Roman" w:cs="Times New Roman" w:eastAsia="Times New Roman" w:hAnsi="Times New Roman"/>
          <w:b/>
          <w:bCs/>
          <w:color w:val="2E5496"/>
          <w:sz w:val="26"/>
          <w:szCs w:val="26"/>
        </w:rPr>
        <w:t xml:space="preserve">Bugs this phase exposed and fixed</w:t>
      </w:r>
    </w:p>
    <w:p>
      <w:pPr>
        <w:pStyle w:val="ListParagraph"/>
        <w:numPr>
          <w:ilvl w:val="0"/>
          <w:numId w:val="2"/>
        </w:numPr>
        <w:spacing w:after="80" w:line="360"/>
      </w:pPr>
      <w:r>
        <w:rPr>
          <w:rFonts w:ascii="Times New Roman" w:cs="Times New Roman" w:eastAsia="Times New Roman" w:hAnsi="Times New Roman"/>
          <w:sz w:val="24"/>
          <w:szCs w:val="24"/>
        </w:rPr>
        <w:t xml:space="preserve">create_job did not resolve gene identifiers. The API's first real request scanned zero transcripts and every tool reported "ok, 0 results" — indistinguishable from a true negative. Fixed at the gate so every caller benefits.</w:t>
      </w:r>
    </w:p>
    <w:p>
      <w:pPr>
        <w:pStyle w:val="ListParagraph"/>
        <w:numPr>
          <w:ilvl w:val="0"/>
          <w:numId w:val="2"/>
        </w:numPr>
        <w:spacing w:after="80" w:line="360"/>
      </w:pPr>
      <w:r>
        <w:rPr>
          <w:rFonts w:ascii="Times New Roman" w:cs="Times New Roman" w:eastAsia="Times New Roman" w:hAnsi="Times New Roman"/>
          <w:sz w:val="24"/>
          <w:szCs w:val="24"/>
        </w:rPr>
        <w:t xml:space="preserve">run_job could report success on an empty target set. It now refuses.</w:t>
      </w:r>
    </w:p>
    <w:p>
      <w:pPr>
        <w:pStyle w:val="ListParagraph"/>
        <w:numPr>
          <w:ilvl w:val="0"/>
          <w:numId w:val="2"/>
        </w:numPr>
        <w:spacing w:after="80" w:line="360"/>
      </w:pPr>
      <w:r>
        <w:rPr>
          <w:rFonts w:ascii="Times New Roman" w:cs="Times New Roman" w:eastAsia="Times New Roman" w:hAnsi="Times New Roman"/>
          <w:sz w:val="24"/>
          <w:szCs w:val="24"/>
        </w:rPr>
        <w:t xml:space="preserve">Unknown tool names failed minutes later inside the worker. They are now rejected at creation.</w:t>
      </w:r>
    </w:p>
    <w:p>
      <w:pPr>
        <w:pStyle w:val="ListParagraph"/>
        <w:numPr>
          <w:ilvl w:val="0"/>
          <w:numId w:val="2"/>
        </w:numPr>
        <w:spacing w:after="80" w:line="360"/>
      </w:pPr>
      <w:r>
        <w:rPr>
          <w:rFonts w:ascii="Times New Roman" w:cs="Times New Roman" w:eastAsia="Times New Roman" w:hAnsi="Times New Roman"/>
          <w:sz w:val="24"/>
          <w:szCs w:val="24"/>
        </w:rPr>
        <w:t xml:space="preserve">busy_timeout was set only in the worker, not in db.connect(). Under concurrent access the API could fail on a lock the worker held.</w:t>
      </w:r>
    </w:p>
    <w:p>
      <w:pPr>
        <w:spacing w:after="120" w:line="360"/>
      </w:pPr>
      <w:r>
        <w:rPr>
          <w:rFonts w:ascii="Times New Roman" w:cs="Times New Roman" w:eastAsia="Times New Roman" w:hAnsi="Times New Roman"/>
          <w:sz w:val="24"/>
          <w:szCs w:val="24"/>
        </w:rPr>
        <w:t xml:space="preserve">Verified by scripts/test_api.py: 21 assertions, run in-process with no server needed, covering every endpoint, every error path, the sort rules and a known-answer check on PDCD4. A transcriptome-wide run through the API returned 13,920 results for the three fast tools — identical to the figures the command line produced through a different code path.</w:t>
      </w:r>
    </w:p>
    <w:p>
      <w:pPr>
        <w:pStyle w:val="Heading1"/>
        <w:spacing w:after="160" w:before="360" w:line="360"/>
      </w:pPr>
      <w:r>
        <w:rPr>
          <w:rFonts w:ascii="Times New Roman" w:cs="Times New Roman" w:eastAsia="Times New Roman" w:hAnsi="Times New Roman"/>
          <w:b/>
          <w:bCs/>
          <w:color w:val="1F3864"/>
          <w:sz w:val="32"/>
          <w:szCs w:val="32"/>
        </w:rPr>
        <w:t xml:space="preserve">10. The web interface</w:t>
      </w:r>
    </w:p>
    <w:p>
      <w:pPr>
        <w:spacing w:after="120" w:line="360"/>
      </w:pPr>
      <w:r>
        <w:rPr>
          <w:rFonts w:ascii="Times New Roman" w:cs="Times New Roman" w:eastAsia="Times New Roman" w:hAnsi="Times New Roman"/>
          <w:sz w:val="24"/>
          <w:szCs w:val="24"/>
        </w:rPr>
        <w:t xml:space="preserve">One file, web/index.html, generated by scripts/build_page.py from an approved design layout and served by FastAPI at the root of the same process. Same origin, so no CORS is required. No React, no npm, no build step. The only third-party JavaScript is the vendored network library.</w:t>
      </w:r>
    </w:p>
    <w:p>
      <w:pPr>
        <w:spacing w:after="120" w:line="360"/>
      </w:pPr>
      <w:r>
        <w:rPr>
          <w:rFonts w:ascii="Times New Roman" w:cs="Times New Roman" w:eastAsia="Times New Roman" w:hAnsi="Times New Roman"/>
          <w:b/>
          <w:bCs/>
          <w:sz w:val="24"/>
          <w:szCs w:val="24"/>
        </w:rPr>
        <w:t xml:space="preserve">The page holds no biology. </w:t>
      </w:r>
      <w:r>
        <w:rPr>
          <w:rFonts w:ascii="Times New Roman" w:cs="Times New Roman" w:eastAsia="Times New Roman" w:hAnsi="Times New Roman"/>
          <w:sz w:val="24"/>
          <w:szCs w:val="24"/>
        </w:rPr>
        <w:t xml:space="preserve">Site ranking comes from /tools, score direction from each tool's META, and version strings from /about. A tool that was not selected renders "not run", never an em dash. This means adding a fifth tool changes no frontend code.</w:t>
      </w:r>
    </w:p>
    <w:p>
      <w:pPr>
        <w:spacing w:after="120" w:line="360"/>
      </w:pPr>
      <w:r>
        <w:rPr>
          <w:rFonts w:ascii="Times New Roman" w:cs="Times New Roman" w:eastAsia="Times New Roman" w:hAnsi="Times New Roman"/>
          <w:sz w:val="24"/>
          <w:szCs w:val="24"/>
        </w:rPr>
        <w:t xml:space="preserve">The page is generated rather than hand-written because the approved design must stay the record of what was approved. build_page.py performs asserted string replacements on it — every replacement checks that its anchor occurs exactly once, so a change to the design that breaks an assumption fails loudly at build time instead of producing a subtly wrong page.</w:t>
      </w:r>
    </w:p>
    <w:p>
      <w:pPr>
        <w:spacing w:after="120" w:line="360"/>
      </w:pPr>
      <w:r>
        <w:rPr>
          <w:rFonts w:ascii="Times New Roman" w:cs="Times New Roman" w:eastAsia="Times New Roman" w:hAnsi="Times New Roman"/>
          <w:sz w:val="24"/>
          <w:szCs w:val="24"/>
        </w:rPr>
        <w:t xml:space="preserve">Sections: query, tools run, binding map, the result table, pathway analysis, enriched terms, target network, and a "how to read this page" explainer. The binding map draws exactly one transcript — the one belonging to the selected row — because a position only means something against the sequence it was measured on.</w:t>
      </w:r>
    </w:p>
    <w:p>
      <w:r>
        <w:br w:type="page"/>
      </w:r>
    </w:p>
    <w:p>
      <w:pPr>
        <w:pStyle w:val="Heading1"/>
        <w:spacing w:after="160" w:before="360" w:line="360"/>
      </w:pPr>
      <w:r>
        <w:rPr>
          <w:rFonts w:ascii="Times New Roman" w:cs="Times New Roman" w:eastAsia="Times New Roman" w:hAnsi="Times New Roman"/>
          <w:b/>
          <w:bCs/>
          <w:color w:val="1F3864"/>
          <w:sz w:val="32"/>
          <w:szCs w:val="32"/>
        </w:rPr>
        <w:t xml:space="preserve">11. Pathway analysis (GO and KEGG)</w:t>
      </w:r>
    </w:p>
    <w:p>
      <w:pPr>
        <w:spacing w:after="120" w:line="360"/>
      </w:pPr>
      <w:r>
        <w:rPr>
          <w:rFonts w:ascii="Times New Roman" w:cs="Times New Roman" w:eastAsia="Times New Roman" w:hAnsi="Times New Roman"/>
          <w:sz w:val="24"/>
          <w:szCs w:val="24"/>
        </w:rPr>
        <w:t xml:space="preserve">Gene-set over-representation analysis through R 4.5.0 and clusterProfiler 4.18.4, against org.Hs.eg.db 3.22.0. Every design choice below was measured, not chosen by taste.</w:t>
      </w:r>
    </w:p>
    <w:p>
      <w:pPr>
        <w:pStyle w:val="Heading2"/>
        <w:spacing w:after="120" w:before="260" w:line="360"/>
      </w:pPr>
      <w:r>
        <w:rPr>
          <w:rFonts w:ascii="Times New Roman" w:cs="Times New Roman" w:eastAsia="Times New Roman" w:hAnsi="Times New Roman"/>
          <w:b/>
          <w:bCs/>
          <w:color w:val="2E5496"/>
          <w:sz w:val="26"/>
          <w:szCs w:val="26"/>
        </w:rPr>
        <w:t xml:space="preserve">The finding that determined the database schema</w:t>
      </w:r>
    </w:p>
    <w:p>
      <w:pPr>
        <w:spacing w:after="120" w:line="360"/>
      </w:pPr>
      <w:r>
        <w:rPr>
          <w:rFonts w:ascii="Times New Roman" w:cs="Times New Roman" w:eastAsia="Times New Roman" w:hAnsi="Times New Roman"/>
          <w:sz w:val="24"/>
          <w:szCs w:val="24"/>
        </w:rPr>
        <w:t xml:space="preserve">From one 381-gene list, the annotation covers a different part of the background in each ontology:</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3410"/>
        <w:gridCol w:w="2808"/>
        <w:gridCol w:w="2808"/>
      </w:tblGrid>
      <w:tr>
        <w:trPr>
          <w:tblHeader/>
        </w:trPr>
        <w:tc>
          <w:tcPr>
            <w:tcW w:type="dxa" w:w="3410"/>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Ontology</w:t>
            </w:r>
          </w:p>
        </w:tc>
        <w:tc>
          <w:tcPr>
            <w:tcW w:type="dxa" w:w="2808"/>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Genes tested (n)</w:t>
            </w:r>
          </w:p>
        </w:tc>
        <w:tc>
          <w:tcPr>
            <w:tcW w:type="dxa" w:w="2808"/>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Background (N)</w:t>
            </w:r>
          </w:p>
        </w:tc>
      </w:tr>
      <w:tr>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GO: Biological Process</w:t>
            </w:r>
          </w:p>
        </w:tc>
        <w:tc>
          <w:tcPr>
            <w:tcW w:type="dxa" w:w="28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357</w:t>
            </w:r>
          </w:p>
        </w:tc>
        <w:tc>
          <w:tcPr>
            <w:tcW w:type="dxa" w:w="28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17,116</w:t>
            </w:r>
          </w:p>
        </w:tc>
      </w:tr>
      <w:tr>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GO: Molecular Function</w:t>
            </w:r>
          </w:p>
        </w:tc>
        <w:tc>
          <w:tcPr>
            <w:tcW w:type="dxa" w:w="28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362</w:t>
            </w:r>
          </w:p>
        </w:tc>
        <w:tc>
          <w:tcPr>
            <w:tcW w:type="dxa" w:w="28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17,807</w:t>
            </w:r>
          </w:p>
        </w:tc>
      </w:tr>
      <w:tr>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GO: Cellular Component</w:t>
            </w:r>
          </w:p>
        </w:tc>
        <w:tc>
          <w:tcPr>
            <w:tcW w:type="dxa" w:w="28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372</w:t>
            </w:r>
          </w:p>
        </w:tc>
        <w:tc>
          <w:tcPr>
            <w:tcW w:type="dxa" w:w="28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18,206</w:t>
            </w:r>
          </w:p>
        </w:tc>
      </w:tr>
      <w:tr>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KEGG</w:t>
            </w:r>
          </w:p>
        </w:tc>
        <w:tc>
          <w:tcPr>
            <w:tcW w:type="dxa" w:w="28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190</w:t>
            </w:r>
          </w:p>
        </w:tc>
        <w:tc>
          <w:tcPr>
            <w:tcW w:type="dxa" w:w="28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8,516</w:t>
            </w:r>
          </w:p>
        </w:tc>
      </w:tr>
    </w:tbl>
    <w:p>
      <w:pPr>
        <w:spacing w:after="120"/>
      </w:pPr>
    </w:p>
    <w:p>
      <w:pPr>
        <w:spacing w:after="120" w:line="360"/>
      </w:pPr>
      <w:r>
        <w:rPr>
          <w:rFonts w:ascii="Times New Roman" w:cs="Times New Roman" w:eastAsia="Times New Roman" w:hAnsi="Times New Roman"/>
          <w:b/>
          <w:bCs/>
          <w:sz w:val="24"/>
          <w:szCs w:val="24"/>
        </w:rPr>
        <w:t xml:space="preserve">All four from the same gene list. </w:t>
      </w:r>
      <w:r>
        <w:rPr>
          <w:rFonts w:ascii="Times New Roman" w:cs="Times New Roman" w:eastAsia="Times New Roman" w:hAnsi="Times New Roman"/>
          <w:sz w:val="24"/>
          <w:szCs w:val="24"/>
        </w:rPr>
        <w:t xml:space="preserve">KEGG annotates about half the genome. This is why the four hypergeometric integers are stored per term and not once per run, why a KEGG p-value and a GO p-value are not comparable quantities, and why the interface never mixes ontologies in one ranking. A term absent from KEGG may mean "not enriched" or "not annotated", and those cannot be told apart from the p-value alone.</w:t>
      </w:r>
    </w:p>
    <w:p>
      <w:pPr>
        <w:pStyle w:val="Heading2"/>
        <w:spacing w:after="120" w:before="260" w:line="360"/>
      </w:pPr>
      <w:r>
        <w:rPr>
          <w:rFonts w:ascii="Times New Roman" w:cs="Times New Roman" w:eastAsia="Times New Roman" w:hAnsi="Times New Roman"/>
          <w:b/>
          <w:bCs/>
          <w:color w:val="2E5496"/>
          <w:sz w:val="26"/>
          <w:szCs w:val="26"/>
        </w:rPr>
        <w:t xml:space="preserve">Choosing the gene list</w:t>
      </w:r>
    </w:p>
    <w:p>
      <w:pPr>
        <w:spacing w:after="120" w:line="360"/>
      </w:pPr>
      <w:r>
        <w:rPr>
          <w:rFonts w:ascii="Times New Roman" w:cs="Times New Roman" w:eastAsia="Times New Roman" w:hAnsi="Times New Roman"/>
          <w:sz w:val="24"/>
          <w:szCs w:val="24"/>
        </w:rPr>
        <w:t xml:space="preserve">Enrichment needs roughly 200–1,500 genes: fewer and nothing reaches significance, more and everything does. Eleven candidate rules were measured on the same transcriptome-wide miR-21 job:</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5616"/>
        <w:gridCol w:w="3410"/>
      </w:tblGrid>
      <w:tr>
        <w:trPr>
          <w:tblHeader/>
        </w:trPr>
        <w:tc>
          <w:tcPr>
            <w:tcW w:type="dxa" w:w="5616"/>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Rule</w:t>
            </w:r>
          </w:p>
        </w:tc>
        <w:tc>
          <w:tcPr>
            <w:tcW w:type="dxa" w:w="3410"/>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Genes</w:t>
            </w:r>
          </w:p>
        </w:tc>
      </w:tr>
      <w:tr>
        <w:tc>
          <w:tcPr>
            <w:tcW w:type="dxa" w:w="561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Seed: 8mer only</w:t>
            </w:r>
          </w:p>
        </w:tc>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628</w:t>
            </w:r>
          </w:p>
        </w:tc>
      </w:tr>
      <w:tr>
        <w:tc>
          <w:tcPr>
            <w:tcW w:type="dxa" w:w="561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Seed: 8mer or 7mer-m8</w:t>
            </w:r>
          </w:p>
        </w:tc>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2,545</w:t>
            </w:r>
          </w:p>
        </w:tc>
      </w:tr>
      <w:tr>
        <w:tc>
          <w:tcPr>
            <w:tcW w:type="dxa" w:w="561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Seed: any 7mer or better</w:t>
            </w:r>
          </w:p>
        </w:tc>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3,480</w:t>
            </w:r>
          </w:p>
        </w:tc>
      </w:tr>
      <w:tr>
        <w:tc>
          <w:tcPr>
            <w:tcW w:type="dxa" w:w="561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Seed: any site including 6mer</w:t>
            </w:r>
          </w:p>
        </w:tc>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6,673</w:t>
            </w:r>
          </w:p>
        </w:tc>
      </w:tr>
      <w:tr>
        <w:tc>
          <w:tcPr>
            <w:tcW w:type="dxa" w:w="561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Seed 7mer+ outside the 3′UTR</w:t>
            </w:r>
          </w:p>
        </w:tc>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1,244</w:t>
            </w:r>
          </w:p>
        </w:tc>
      </w:tr>
      <w:tr>
        <w:tc>
          <w:tcPr>
            <w:tcW w:type="dxa" w:w="561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TargetScan: any score</w:t>
            </w:r>
          </w:p>
        </w:tc>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2,598</w:t>
            </w:r>
          </w:p>
        </w:tc>
      </w:tr>
      <w:tr>
        <w:tc>
          <w:tcPr>
            <w:tcW w:type="dxa" w:w="561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TargetScan: conserved site (default)</w:t>
            </w:r>
          </w:p>
        </w:tc>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381</w:t>
            </w:r>
          </w:p>
        </w:tc>
      </w:tr>
      <w:tr>
        <w:tc>
          <w:tcPr>
            <w:tcW w:type="dxa" w:w="561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TargetScan: context++ ≤ −0.30</w:t>
            </w:r>
          </w:p>
        </w:tc>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320</w:t>
            </w:r>
          </w:p>
        </w:tc>
      </w:tr>
      <w:tr>
        <w:tc>
          <w:tcPr>
            <w:tcW w:type="dxa" w:w="561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RNAhybrid: ΔG ≤ −25</w:t>
            </w:r>
          </w:p>
        </w:tc>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1,805</w:t>
            </w:r>
          </w:p>
        </w:tc>
      </w:tr>
      <w:tr>
        <w:tc>
          <w:tcPr>
            <w:tcW w:type="dxa" w:w="561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miRTarBase: strong evidence</w:t>
            </w:r>
          </w:p>
        </w:tc>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124</w:t>
            </w:r>
          </w:p>
        </w:tc>
      </w:tr>
      <w:tr>
        <w:tc>
          <w:tcPr>
            <w:tcW w:type="dxa" w:w="561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8mer and TargetScan conserved</w:t>
            </w:r>
          </w:p>
        </w:tc>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150</w:t>
            </w:r>
          </w:p>
        </w:tc>
      </w:tr>
    </w:tbl>
    <w:p>
      <w:pPr>
        <w:pStyle w:val="Heading2"/>
        <w:spacing w:after="120" w:before="260" w:line="360"/>
      </w:pPr>
      <w:r>
        <w:rPr>
          <w:rFonts w:ascii="Times New Roman" w:cs="Times New Roman" w:eastAsia="Times New Roman" w:hAnsi="Times New Roman"/>
          <w:b/>
          <w:bCs/>
          <w:color w:val="2E5496"/>
          <w:sz w:val="26"/>
          <w:szCs w:val="26"/>
        </w:rPr>
        <w:t xml:space="preserve">Three results, including two negatives</w:t>
      </w:r>
    </w:p>
    <w:p>
      <w:pPr>
        <w:pStyle w:val="Heading3"/>
        <w:spacing w:after="100" w:before="200" w:line="360"/>
      </w:pPr>
      <w:r>
        <w:rPr>
          <w:rFonts w:ascii="Times New Roman" w:cs="Times New Roman" w:eastAsia="Times New Roman" w:hAnsi="Times New Roman"/>
          <w:b/>
          <w:bCs/>
          <w:i/>
          <w:iCs/>
          <w:sz w:val="24"/>
          <w:szCs w:val="24"/>
        </w:rPr>
        <w:t xml:space="preserve">1. An 8mer alone produces no biology</w:t>
      </w:r>
    </w:p>
    <w:p>
      <w:pPr>
        <w:spacing w:after="120" w:line="360"/>
      </w:pPr>
      <w:r>
        <w:rPr>
          <w:rFonts w:ascii="Times New Roman" w:cs="Times New Roman" w:eastAsia="Times New Roman" w:hAnsi="Times New Roman"/>
          <w:sz w:val="24"/>
          <w:szCs w:val="24"/>
        </w:rPr>
        <w:t xml:space="preserve">628 genes, all 628 recognised by org.Hs.eg.db, and zero enriched terms. A canonical 8mer anywhere in a transcript is not evidence of function. This is a clean negative result and the downstream counterpart of the site-level argument for showing four columns instead of one.</w:t>
      </w:r>
    </w:p>
    <w:p>
      <w:pPr>
        <w:pStyle w:val="Heading3"/>
        <w:spacing w:after="100" w:before="200" w:line="360"/>
      </w:pPr>
      <w:r>
        <w:rPr>
          <w:rFonts w:ascii="Times New Roman" w:cs="Times New Roman" w:eastAsia="Times New Roman" w:hAnsi="Times New Roman"/>
          <w:b/>
          <w:bCs/>
          <w:i/>
          <w:iCs/>
          <w:sz w:val="24"/>
          <w:szCs w:val="24"/>
        </w:rPr>
        <w:t xml:space="preserve">2. Conservation alone gives coherent, correct biology</w:t>
      </w:r>
    </w:p>
    <w:p>
      <w:pPr>
        <w:spacing w:after="120" w:line="360"/>
      </w:pPr>
      <w:r>
        <w:rPr>
          <w:rFonts w:ascii="Times New Roman" w:cs="Times New Roman" w:eastAsia="Times New Roman" w:hAnsi="Times New Roman"/>
          <w:sz w:val="24"/>
          <w:szCs w:val="24"/>
        </w:rPr>
        <w:t xml:space="preserve">381 genes, all recognised, 340 enriched terms. Read from stored run enr_3e67cd65200d:</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4814"/>
        <w:gridCol w:w="1805"/>
        <w:gridCol w:w="2407"/>
      </w:tblGrid>
      <w:tr>
        <w:trPr>
          <w:tblHeader/>
        </w:trPr>
        <w:tc>
          <w:tcPr>
            <w:tcW w:type="dxa" w:w="4814"/>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GO: Biological Process</w:t>
            </w:r>
          </w:p>
        </w:tc>
        <w:tc>
          <w:tcPr>
            <w:tcW w:type="dxa" w:w="1805"/>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Genes</w:t>
            </w:r>
          </w:p>
        </w:tc>
        <w:tc>
          <w:tcPr>
            <w:tcW w:type="dxa" w:w="2407"/>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Adjusted p</w:t>
            </w:r>
          </w:p>
        </w:tc>
      </w:tr>
      <w:tr>
        <w:tc>
          <w:tcPr>
            <w:tcW w:type="dxa" w:w="48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Mesenchyme development</w:t>
            </w:r>
          </w:p>
        </w:tc>
        <w:tc>
          <w:tcPr>
            <w:tcW w:type="dxa" w:w="18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29</w:t>
            </w:r>
          </w:p>
        </w:tc>
        <w:tc>
          <w:tcPr>
            <w:tcW w:type="dxa" w:w="240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1.9 × 10⁻⁷</w:t>
            </w:r>
          </w:p>
        </w:tc>
      </w:tr>
      <w:tr>
        <w:tc>
          <w:tcPr>
            <w:tcW w:type="dxa" w:w="48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Stem cell differentiation</w:t>
            </w:r>
          </w:p>
        </w:tc>
        <w:tc>
          <w:tcPr>
            <w:tcW w:type="dxa" w:w="18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25</w:t>
            </w:r>
          </w:p>
        </w:tc>
        <w:tc>
          <w:tcPr>
            <w:tcW w:type="dxa" w:w="240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4.0 × 10⁻⁷</w:t>
            </w:r>
          </w:p>
        </w:tc>
      </w:tr>
      <w:tr>
        <w:tc>
          <w:tcPr>
            <w:tcW w:type="dxa" w:w="48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Lung morphogenesis</w:t>
            </w:r>
          </w:p>
        </w:tc>
        <w:tc>
          <w:tcPr>
            <w:tcW w:type="dxa" w:w="18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13</w:t>
            </w:r>
          </w:p>
        </w:tc>
        <w:tc>
          <w:tcPr>
            <w:tcW w:type="dxa" w:w="240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4.0 × 10⁻⁷</w:t>
            </w:r>
          </w:p>
        </w:tc>
      </w:tr>
      <w:tr>
        <w:tc>
          <w:tcPr>
            <w:tcW w:type="dxa" w:w="48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Mesenchymal cell differentiation</w:t>
            </w:r>
          </w:p>
        </w:tc>
        <w:tc>
          <w:tcPr>
            <w:tcW w:type="dxa" w:w="18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24</w:t>
            </w:r>
          </w:p>
        </w:tc>
        <w:tc>
          <w:tcPr>
            <w:tcW w:type="dxa" w:w="240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8.6 × 10⁻⁷</w:t>
            </w:r>
          </w:p>
        </w:tc>
      </w:tr>
    </w:tbl>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4814"/>
        <w:gridCol w:w="1805"/>
        <w:gridCol w:w="2407"/>
      </w:tblGrid>
      <w:tr>
        <w:trPr>
          <w:tblHeader/>
        </w:trPr>
        <w:tc>
          <w:tcPr>
            <w:tcW w:type="dxa" w:w="4814"/>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KEGG pathway</w:t>
            </w:r>
          </w:p>
        </w:tc>
        <w:tc>
          <w:tcPr>
            <w:tcW w:type="dxa" w:w="1805"/>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Genes</w:t>
            </w:r>
          </w:p>
        </w:tc>
        <w:tc>
          <w:tcPr>
            <w:tcW w:type="dxa" w:w="2407"/>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Adjusted p</w:t>
            </w:r>
          </w:p>
        </w:tc>
      </w:tr>
      <w:tr>
        <w:tc>
          <w:tcPr>
            <w:tcW w:type="dxa" w:w="48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MicroRNAs in cancer</w:t>
            </w:r>
          </w:p>
        </w:tc>
        <w:tc>
          <w:tcPr>
            <w:tcW w:type="dxa" w:w="18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17</w:t>
            </w:r>
          </w:p>
        </w:tc>
        <w:tc>
          <w:tcPr>
            <w:tcW w:type="dxa" w:w="240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2.2 × 10⁻⁵</w:t>
            </w:r>
          </w:p>
        </w:tc>
      </w:tr>
      <w:tr>
        <w:tc>
          <w:tcPr>
            <w:tcW w:type="dxa" w:w="48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MAPK signalling</w:t>
            </w:r>
          </w:p>
        </w:tc>
        <w:tc>
          <w:tcPr>
            <w:tcW w:type="dxa" w:w="18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21</w:t>
            </w:r>
          </w:p>
        </w:tc>
        <w:tc>
          <w:tcPr>
            <w:tcW w:type="dxa" w:w="240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3.6 × 10⁻⁴</w:t>
            </w:r>
          </w:p>
        </w:tc>
      </w:tr>
      <w:tr>
        <w:tc>
          <w:tcPr>
            <w:tcW w:type="dxa" w:w="48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Pathways regulating stem-cell pluripotency</w:t>
            </w:r>
          </w:p>
        </w:tc>
        <w:tc>
          <w:tcPr>
            <w:tcW w:type="dxa" w:w="18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13</w:t>
            </w:r>
          </w:p>
        </w:tc>
        <w:tc>
          <w:tcPr>
            <w:tcW w:type="dxa" w:w="240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1.3 × 10⁻³</w:t>
            </w:r>
          </w:p>
        </w:tc>
      </w:tr>
      <w:tr>
        <w:tc>
          <w:tcPr>
            <w:tcW w:type="dxa" w:w="48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Proteoglycans in cancer</w:t>
            </w:r>
          </w:p>
        </w:tc>
        <w:tc>
          <w:tcPr>
            <w:tcW w:type="dxa" w:w="18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15</w:t>
            </w:r>
          </w:p>
        </w:tc>
        <w:tc>
          <w:tcPr>
            <w:tcW w:type="dxa" w:w="240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2.4 × 10⁻³</w:t>
            </w:r>
          </w:p>
        </w:tc>
      </w:tr>
      <w:tr>
        <w:tc>
          <w:tcPr>
            <w:tcW w:type="dxa" w:w="48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Ras signalling</w:t>
            </w:r>
          </w:p>
        </w:tc>
        <w:tc>
          <w:tcPr>
            <w:tcW w:type="dxa" w:w="18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16</w:t>
            </w:r>
          </w:p>
        </w:tc>
        <w:tc>
          <w:tcPr>
            <w:tcW w:type="dxa" w:w="240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3.0 × 10⁻³</w:t>
            </w:r>
          </w:p>
        </w:tc>
      </w:tr>
    </w:tbl>
    <w:p>
      <w:pPr>
        <w:spacing w:after="120"/>
      </w:pPr>
    </w:p>
    <w:p>
      <w:pPr>
        <w:spacing w:after="120" w:line="360"/>
      </w:pPr>
      <w:r>
        <w:rPr>
          <w:rFonts w:ascii="Times New Roman" w:cs="Times New Roman" w:eastAsia="Times New Roman" w:hAnsi="Times New Roman"/>
          <w:sz w:val="24"/>
          <w:szCs w:val="24"/>
        </w:rPr>
        <w:t xml:space="preserve">The dominant theme is the mesenchymal and stem-cell programme, and the strongest KEGG pathway in a database that knows nothing about this project is MicroRNAs in cancer. The tool reached that from sequence and conservation alone, with no knowledge of the miR-21 literature.</w:t>
      </w:r>
    </w:p>
    <w:p>
      <w:pPr>
        <w:spacing w:after="120" w:line="360"/>
      </w:pPr>
      <w:r>
        <w:rPr>
          <w:rFonts w:ascii="Times New Roman" w:cs="Times New Roman" w:eastAsia="Times New Roman" w:hAnsi="Times New Roman"/>
          <w:b/>
          <w:bCs/>
          <w:sz w:val="24"/>
          <w:szCs w:val="24"/>
        </w:rPr>
        <w:t xml:space="preserve">A correction worth disclosing. </w:t>
      </w:r>
      <w:r>
        <w:rPr>
          <w:rFonts w:ascii="Times New Roman" w:cs="Times New Roman" w:eastAsia="Times New Roman" w:hAnsi="Times New Roman"/>
          <w:sz w:val="24"/>
          <w:szCs w:val="24"/>
        </w:rPr>
        <w:t xml:space="preserve">An earlier draft of the manifest named epithelial-to-mesenchymal transition as the leading term at 1.9 × 10⁻⁷. That was wrong — the p-value belongs to mesenchyme development, and EMT itself sits at 1.8 × 10⁻⁴ with 16 genes: present and consistent, but three orders of magnitude weaker than claimed. The error came from reading the wrong row out of a terminal. Every number above is now queried from the database, which is the reason the database exists.</w:t>
      </w:r>
    </w:p>
    <w:p>
      <w:pPr>
        <w:spacing w:after="120" w:line="360"/>
      </w:pPr>
      <w:r>
        <w:rPr>
          <w:rFonts w:ascii="Times New Roman" w:cs="Times New Roman" w:eastAsia="Times New Roman" w:hAnsi="Times New Roman"/>
          <w:sz w:val="24"/>
          <w:szCs w:val="24"/>
        </w:rPr>
        <w:t xml:space="preserve">The EMT family in full: mesenchymal cell differentiation (24 genes, 8.6 × 10⁻⁷), cardiac EMT (8, 1.3 × 10⁻⁴), EMT (16, 1.8 × 10⁻⁴), mesenchymal cell proliferation (8, 5.0 × 10⁻⁴), regulation of EMT (10, 3.5 × 10⁻³). The signal is real and spread across the family rather than concentrated in the one term with the famous name.</w:t>
      </w:r>
    </w:p>
    <w:p>
      <w:pPr>
        <w:pStyle w:val="Heading3"/>
        <w:spacing w:after="100" w:before="200" w:line="360"/>
      </w:pPr>
      <w:r>
        <w:rPr>
          <w:rFonts w:ascii="Times New Roman" w:cs="Times New Roman" w:eastAsia="Times New Roman" w:hAnsi="Times New Roman"/>
          <w:b/>
          <w:bCs/>
          <w:i/>
          <w:iCs/>
          <w:sz w:val="24"/>
          <w:szCs w:val="24"/>
        </w:rPr>
        <w:t xml:space="preserve">3. Intersecting with the seed scan adds nothing</w:t>
      </w:r>
    </w:p>
    <w:p>
      <w:pPr>
        <w:spacing w:after="120" w:line="360"/>
      </w:pPr>
      <w:r>
        <w:rPr>
          <w:rFonts w:ascii="Times New Roman" w:cs="Times New Roman" w:eastAsia="Times New Roman" w:hAnsi="Times New Roman"/>
          <w:sz w:val="24"/>
          <w:szCs w:val="24"/>
        </w:rPr>
        <w:t xml:space="preserve">The intersection of the 8mer list and the TargetScan conserved list (150 genes) gave 101 terms, best adjusted p 5.4 × 10⁻⁴. Ten random 150-gene samples drawn from the same 381 conserved genes gave 9, 37, 55, 69, 73, 80, 96, 131, 152 and 301 terms. The real list ranks 8th of 11. Empirical p ≈ 0.36.</w:t>
      </w:r>
    </w:p>
    <w:p>
      <w:pPr>
        <w:spacing w:after="120" w:line="360"/>
      </w:pPr>
      <w:r>
        <w:rPr>
          <w:rFonts w:ascii="Times New Roman" w:cs="Times New Roman" w:eastAsia="Times New Roman" w:hAnsi="Times New Roman"/>
          <w:b/>
          <w:bCs/>
          <w:sz w:val="24"/>
          <w:szCs w:val="24"/>
        </w:rPr>
        <w:t xml:space="preserve">The seed filter is not selecting biology; it is only making the list smaller. </w:t>
      </w:r>
      <w:r>
        <w:rPr>
          <w:rFonts w:ascii="Times New Roman" w:cs="Times New Roman" w:eastAsia="Times New Roman" w:hAnsi="Times New Roman"/>
          <w:sz w:val="24"/>
          <w:szCs w:val="24"/>
        </w:rPr>
        <w:t xml:space="preserve">On reflection this is expected and the earlier reasoning was wrong: TargetScan's predictions are themselves seed-based, so intersecting them with our seed scan is not combining independent evidence. It mostly selects the TargetScan genes whose site happens to be an 8mer.</w:t>
      </w:r>
    </w:p>
    <w:p>
      <w:pPr>
        <w:pStyle w:val="Heading2"/>
        <w:spacing w:after="120" w:before="260" w:line="360"/>
      </w:pPr>
      <w:r>
        <w:rPr>
          <w:rFonts w:ascii="Times New Roman" w:cs="Times New Roman" w:eastAsia="Times New Roman" w:hAnsi="Times New Roman"/>
          <w:b/>
          <w:bCs/>
          <w:color w:val="2E5496"/>
          <w:sz w:val="26"/>
          <w:szCs w:val="26"/>
        </w:rPr>
        <w:t xml:space="preserve">A caution that came out of the control</w:t>
      </w:r>
    </w:p>
    <w:p>
      <w:pPr>
        <w:spacing w:after="120" w:line="360"/>
      </w:pPr>
      <w:r>
        <w:rPr>
          <w:rFonts w:ascii="Times New Roman" w:cs="Times New Roman" w:eastAsia="Times New Roman" w:hAnsi="Times New Roman"/>
          <w:sz w:val="24"/>
          <w:szCs w:val="24"/>
        </w:rPr>
        <w:t xml:space="preserve">Random 150-gene subsets of the same 381 genes produced between 9 and 301 enriched terms — a 33-fold range, with top terms ranging from "ear development" to "MicroRNAs in cancer". Enrichment on a few hundred genes is unstable. Two consequences were adopted: prefer the largest defensible list over the most stringent one, and never read a single enrichment run as a settled result.</w:t>
      </w:r>
    </w:p>
    <w:p>
      <w:pPr>
        <w:pStyle w:val="Heading2"/>
        <w:spacing w:after="120" w:before="260" w:line="360"/>
      </w:pPr>
      <w:r>
        <w:rPr>
          <w:rFonts w:ascii="Times New Roman" w:cs="Times New Roman" w:eastAsia="Times New Roman" w:hAnsi="Times New Roman"/>
          <w:b/>
          <w:bCs/>
          <w:color w:val="2E5496"/>
          <w:sz w:val="26"/>
          <w:szCs w:val="26"/>
        </w:rPr>
        <w:t xml:space="preserve">Implementation choices in R</w:t>
      </w:r>
    </w:p>
    <w:p>
      <w:pPr>
        <w:pStyle w:val="ListParagraph"/>
        <w:numPr>
          <w:ilvl w:val="0"/>
          <w:numId w:val="2"/>
        </w:numPr>
        <w:spacing w:after="80" w:line="360"/>
      </w:pPr>
      <w:r>
        <w:rPr>
          <w:rFonts w:ascii="Times New Roman" w:cs="Times New Roman" w:eastAsia="Times New Roman" w:hAnsi="Times New Roman"/>
          <w:sz w:val="24"/>
          <w:szCs w:val="24"/>
        </w:rPr>
        <w:t xml:space="preserve">The background is passed explicitly. Omitting it makes clusterProfiler substitute its whole annotation database, which is not the set that was scanned.</w:t>
      </w:r>
    </w:p>
    <w:p>
      <w:pPr>
        <w:pStyle w:val="ListParagraph"/>
        <w:numPr>
          <w:ilvl w:val="0"/>
          <w:numId w:val="2"/>
        </w:numPr>
        <w:spacing w:after="80" w:line="360"/>
      </w:pPr>
      <w:r>
        <w:rPr>
          <w:rFonts w:ascii="Times New Roman" w:cs="Times New Roman" w:eastAsia="Times New Roman" w:hAnsi="Times New Roman"/>
          <w:sz w:val="24"/>
          <w:szCs w:val="24"/>
        </w:rPr>
        <w:t xml:space="preserve">Benjamini–Hochberg correction, terms kept at adjusted p &lt; 0.05.</w:t>
      </w:r>
    </w:p>
    <w:p>
      <w:pPr>
        <w:pStyle w:val="ListParagraph"/>
        <w:numPr>
          <w:ilvl w:val="0"/>
          <w:numId w:val="2"/>
        </w:numPr>
        <w:spacing w:after="80" w:line="360"/>
      </w:pPr>
      <w:r>
        <w:rPr>
          <w:rFonts w:ascii="Times New Roman" w:cs="Times New Roman" w:eastAsia="Times New Roman" w:hAnsi="Times New Roman"/>
          <w:sz w:val="24"/>
          <w:szCs w:val="24"/>
        </w:rPr>
        <w:t xml:space="preserve">All three GO ontologies plus KEGG returned in one table with a source column.</w:t>
      </w:r>
    </w:p>
    <w:p>
      <w:pPr>
        <w:pStyle w:val="ListParagraph"/>
        <w:numPr>
          <w:ilvl w:val="0"/>
          <w:numId w:val="2"/>
        </w:numPr>
        <w:spacing w:after="80" w:line="360"/>
      </w:pPr>
      <w:r>
        <w:rPr>
          <w:rFonts w:ascii="Times New Roman" w:cs="Times New Roman" w:eastAsia="Times New Roman" w:hAnsi="Times New Roman"/>
          <w:sz w:val="24"/>
          <w:szCs w:val="24"/>
        </w:rPr>
        <w:t xml:space="preserve">The number of gene ids the annotation recognises is printed, so "no enrichment" can never be confused with "nothing mapped".</w:t>
      </w:r>
    </w:p>
    <w:p>
      <w:pPr>
        <w:pStyle w:val="ListParagraph"/>
        <w:numPr>
          <w:ilvl w:val="0"/>
          <w:numId w:val="2"/>
        </w:numPr>
        <w:spacing w:after="80" w:line="360"/>
      </w:pPr>
      <w:r>
        <w:rPr>
          <w:rFonts w:ascii="Times New Roman" w:cs="Times New Roman" w:eastAsia="Times New Roman" w:hAnsi="Times New Roman"/>
          <w:sz w:val="24"/>
          <w:szCs w:val="24"/>
        </w:rPr>
        <w:t xml:space="preserve">KEGG contacts a live server and is allowed to fail without taking GO down with it.</w:t>
      </w:r>
    </w:p>
    <w:p>
      <w:pPr>
        <w:pStyle w:val="ListParagraph"/>
        <w:numPr>
          <w:ilvl w:val="0"/>
          <w:numId w:val="2"/>
        </w:numPr>
        <w:spacing w:after="80" w:line="360"/>
      </w:pPr>
      <w:r>
        <w:rPr>
          <w:rFonts w:ascii="Times New Roman" w:cs="Times New Roman" w:eastAsia="Times New Roman" w:hAnsi="Times New Roman"/>
          <w:sz w:val="24"/>
          <w:szCs w:val="24"/>
        </w:rPr>
        <w:t xml:space="preserve">A provenance sidecar records R, clusterProfiler and org.Hs.eg.db versions, whether KEGG answered, and when — because the same gene list next year can give different pathways, and this is what will explain it.</w:t>
      </w:r>
    </w:p>
    <w:p>
      <w:pPr>
        <w:pStyle w:val="Heading2"/>
        <w:spacing w:after="120" w:before="260" w:line="360"/>
      </w:pPr>
      <w:r>
        <w:rPr>
          <w:rFonts w:ascii="Times New Roman" w:cs="Times New Roman" w:eastAsia="Times New Roman" w:hAnsi="Times New Roman"/>
          <w:b/>
          <w:bCs/>
          <w:color w:val="2E5496"/>
          <w:sz w:val="26"/>
          <w:szCs w:val="26"/>
        </w:rPr>
        <w:t xml:space="preserve">Validation of the enrichment storage</w:t>
      </w:r>
    </w:p>
    <w:p>
      <w:pPr>
        <w:spacing w:after="120" w:line="360"/>
      </w:pPr>
      <w:r>
        <w:rPr>
          <w:rFonts w:ascii="Times New Roman" w:cs="Times New Roman" w:eastAsia="Times New Roman" w:hAnsi="Times New Roman"/>
          <w:sz w:val="24"/>
          <w:szCs w:val="24"/>
        </w:rPr>
        <w:t xml:space="preserve">scripts/validate_enrichment.py checks three separate claims. Faithfulness: the database matches the TSV that R wrote, exactly, for term ids, descriptions, k and n values, p-values, adjusted p-values and gene members. Self-sufficiency: every p-value recomputed from the four stored integers, worst discrepancy 7.2 × 10⁻¹¹. Reproducibility: compared against an earlier independent run — strict for GO, reported rather than failed for KEGG because KEGG is fetched live. Both stored runs pass, with gene symbols traced 249/249 and 80/80.</w:t>
      </w:r>
    </w:p>
    <w:p>
      <w:r>
        <w:br w:type="page"/>
      </w:r>
    </w:p>
    <w:p>
      <w:pPr>
        <w:pStyle w:val="Heading1"/>
        <w:spacing w:after="160" w:before="360" w:line="360"/>
      </w:pPr>
      <w:r>
        <w:rPr>
          <w:rFonts w:ascii="Times New Roman" w:cs="Times New Roman" w:eastAsia="Times New Roman" w:hAnsi="Times New Roman"/>
          <w:b/>
          <w:bCs/>
          <w:color w:val="1F3864"/>
          <w:sz w:val="32"/>
          <w:szCs w:val="32"/>
        </w:rPr>
        <w:t xml:space="preserve">12. The target network</w:t>
      </w:r>
    </w:p>
    <w:p>
      <w:pPr>
        <w:spacing w:after="120" w:line="360"/>
      </w:pPr>
      <w:r>
        <w:rPr>
          <w:rFonts w:ascii="Times New Roman" w:cs="Times New Roman" w:eastAsia="Times New Roman" w:hAnsi="Times New Roman"/>
          <w:sz w:val="24"/>
          <w:szCs w:val="24"/>
        </w:rPr>
        <w:t xml:space="preserve">A second reading of rows already in the database, not a new analysis. It uses the same ranking function as the results table and the same per-gene summariser as the report and the Excel export, so the three cannot disagree about which genes are shown or which site leads a gene.</w:t>
      </w:r>
    </w:p>
    <w:p>
      <w:pPr>
        <w:pStyle w:val="Heading2"/>
        <w:spacing w:after="120" w:before="260" w:line="360"/>
      </w:pPr>
      <w:r>
        <w:rPr>
          <w:rFonts w:ascii="Times New Roman" w:cs="Times New Roman" w:eastAsia="Times New Roman" w:hAnsi="Times New Roman"/>
          <w:b/>
          <w:bCs/>
          <w:color w:val="2E5496"/>
          <w:sz w:val="26"/>
          <w:szCs w:val="26"/>
        </w:rPr>
        <w:t xml:space="preserve">Two kinds of edge, meaning different things</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2206"/>
        <w:gridCol w:w="3209"/>
        <w:gridCol w:w="3610"/>
      </w:tblGrid>
      <w:tr>
        <w:trPr>
          <w:tblHeader/>
        </w:trPr>
        <w:tc>
          <w:tcPr>
            <w:tcW w:type="dxa" w:w="2206"/>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Edge</w:t>
            </w:r>
          </w:p>
        </w:tc>
        <w:tc>
          <w:tcPr>
            <w:tcW w:type="dxa" w:w="3209"/>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Meaning</w:t>
            </w:r>
          </w:p>
        </w:tc>
        <w:tc>
          <w:tcPr>
            <w:tcW w:type="dxa" w:w="3610"/>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Width encodes</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miRNA → gene (solid)</w:t>
            </w:r>
          </w:p>
        </w:tc>
        <w:tc>
          <w:tcPr>
            <w:tcW w:type="dxa" w:w="320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At least one tool reported this target</w:t>
            </w:r>
          </w:p>
        </w:tc>
        <w:tc>
          <w:tcPr>
            <w:tcW w:type="dxa" w:w="36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How many of the four tools agree — the only honest cross-tool number available</w:t>
            </w:r>
          </w:p>
        </w:tc>
      </w:tr>
      <w:tr>
        <w:tc>
          <w:tcPr>
            <w:tcW w:type="dxa" w:w="22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gene — gene (dotted)</w:t>
            </w:r>
          </w:p>
        </w:tc>
        <w:tc>
          <w:tcPr>
            <w:tcW w:type="dxa" w:w="320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The two genes appear together in enriched terms</w:t>
            </w:r>
          </w:p>
        </w:tc>
        <w:tc>
          <w:tcPr>
            <w:tcW w:type="dxa" w:w="36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How many terms they share</w:t>
            </w:r>
          </w:p>
        </w:tc>
      </w:tr>
    </w:tbl>
    <w:p>
      <w:pPr>
        <w:spacing w:after="120"/>
      </w:pPr>
    </w:p>
    <w:p>
      <w:pPr>
        <w:spacing w:after="120" w:line="360"/>
      </w:pPr>
      <w:r>
        <w:rPr>
          <w:rFonts w:ascii="Times New Roman" w:cs="Times New Roman" w:eastAsia="Times New Roman" w:hAnsi="Times New Roman"/>
          <w:sz w:val="24"/>
          <w:szCs w:val="24"/>
        </w:rPr>
        <w:t xml:space="preserve">Node colour distinguishes validated (miRTarBase evidence exists) from predicted only. Colour is not a scale: evidence and prediction are different kinds of claim, so they get different colours rather than lighter and darker shades of one.</w:t>
      </w:r>
    </w:p>
    <w:p>
      <w:pPr>
        <w:pStyle w:val="Heading2"/>
        <w:spacing w:after="120" w:before="260" w:line="360"/>
      </w:pPr>
      <w:r>
        <w:rPr>
          <w:rFonts w:ascii="Times New Roman" w:cs="Times New Roman" w:eastAsia="Times New Roman" w:hAnsi="Times New Roman"/>
          <w:b/>
          <w:bCs/>
          <w:color w:val="2E5496"/>
          <w:sz w:val="26"/>
          <w:szCs w:val="26"/>
        </w:rPr>
        <w:t xml:space="preserve">The combinatorial trap, and the cap that avoids it</w:t>
      </w:r>
    </w:p>
    <w:p>
      <w:pPr>
        <w:spacing w:after="120" w:line="360"/>
      </w:pPr>
      <w:r>
        <w:rPr>
          <w:rFonts w:ascii="Times New Roman" w:cs="Times New Roman" w:eastAsia="Times New Roman" w:hAnsi="Times New Roman"/>
          <w:sz w:val="24"/>
          <w:szCs w:val="24"/>
        </w:rPr>
        <w:t xml:space="preserve">A term containing 20 of your genes generates 190 gene-pair edges on its own, linking everything to everything and saying nothing about which genes belong together. Terms holding more than 12 of the displayed genes are therefore skipped for the gene–gene layer, and the interface reports how many were skipped and why rather than hiding it.</w:t>
      </w:r>
    </w:p>
    <w:p>
      <w:pPr>
        <w:pStyle w:val="Heading2"/>
        <w:spacing w:after="120" w:before="260" w:line="360"/>
      </w:pPr>
      <w:r>
        <w:rPr>
          <w:rFonts w:ascii="Times New Roman" w:cs="Times New Roman" w:eastAsia="Times New Roman" w:hAnsi="Times New Roman"/>
          <w:b/>
          <w:bCs/>
          <w:color w:val="2E5496"/>
          <w:sz w:val="26"/>
          <w:szCs w:val="26"/>
        </w:rPr>
        <w:t xml:space="preserve">What the network made visible</w:t>
      </w:r>
    </w:p>
    <w:p>
      <w:pPr>
        <w:spacing w:after="120" w:line="360"/>
      </w:pPr>
      <w:r>
        <w:rPr>
          <w:rFonts w:ascii="Times New Roman" w:cs="Times New Roman" w:eastAsia="Times New Roman" w:hAnsi="Times New Roman"/>
          <w:sz w:val="24"/>
          <w:szCs w:val="24"/>
        </w:rPr>
        <w:t xml:space="preserve">On the nine-gene validation job, two findings are apparent at a glance that take minutes to locate in a table. GAPDH — the negative control — is the smallest node with the thinnest edge and no colour for evidence, because only one tool found it. TPM1 has three tools rather than four, TargetScan being the one missing, for the transcript-choice reason explained in section 14.</w:t>
      </w:r>
    </w:p>
    <w:p>
      <w:pPr>
        <w:spacing w:after="120" w:line="360"/>
      </w:pPr>
      <w:r>
        <w:rPr>
          <w:rFonts w:ascii="Times New Roman" w:cs="Times New Roman" w:eastAsia="Times New Roman" w:hAnsi="Times New Roman"/>
          <w:b/>
          <w:bCs/>
          <w:sz w:val="24"/>
          <w:szCs w:val="24"/>
        </w:rPr>
        <w:t xml:space="preserve">A third observation came from the network itself. </w:t>
      </w:r>
      <w:r>
        <w:rPr>
          <w:rFonts w:ascii="Times New Roman" w:cs="Times New Roman" w:eastAsia="Times New Roman" w:hAnsi="Times New Roman"/>
          <w:sz w:val="24"/>
          <w:szCs w:val="24"/>
        </w:rPr>
        <w:t xml:space="preserve">PTEN, the most heavily validated target in the set with 91 strong functional experiments, carries no gene–gene links at all. The reason is that the enrichment was run on genes with a conserved TargetScan site, and PTEN's site is not conserved, so it was never in the tested list. The pathway result is therefore the story of five genes rather than of miR-21. That is not an error — the filter is defensible — but it is exactly the kind of consequence that is invisible in a table of 232 terms and obvious the moment the data is drawn.</w:t>
      </w:r>
    </w:p>
    <w:p>
      <w:pPr>
        <w:pStyle w:val="Heading1"/>
        <w:spacing w:after="160" w:before="360" w:line="360"/>
      </w:pPr>
      <w:r>
        <w:rPr>
          <w:rFonts w:ascii="Times New Roman" w:cs="Times New Roman" w:eastAsia="Times New Roman" w:hAnsi="Times New Roman"/>
          <w:b/>
          <w:bCs/>
          <w:color w:val="1F3864"/>
          <w:sz w:val="32"/>
          <w:szCs w:val="32"/>
        </w:rPr>
        <w:t xml:space="preserve">13. The export layer</w:t>
      </w:r>
    </w:p>
    <w:p>
      <w:pPr>
        <w:spacing w:after="120" w:line="360"/>
      </w:pPr>
      <w:r>
        <w:rPr>
          <w:rFonts w:ascii="Times New Roman" w:cs="Times New Roman" w:eastAsia="Times New Roman" w:hAnsi="Times New Roman"/>
          <w:sz w:val="24"/>
          <w:szCs w:val="24"/>
        </w:rPr>
        <w:t xml:space="preserve">Three formats for two different readers, all generated from one provenance function, so no two files can claim different versions.</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1605"/>
        <w:gridCol w:w="1605"/>
        <w:gridCol w:w="5817"/>
      </w:tblGrid>
      <w:tr>
        <w:trPr>
          <w:tblHeader/>
        </w:trPr>
        <w:tc>
          <w:tcPr>
            <w:tcW w:type="dxa" w:w="1605"/>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Format</w:t>
            </w:r>
          </w:p>
        </w:tc>
        <w:tc>
          <w:tcPr>
            <w:tcW w:type="dxa" w:w="1605"/>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Reader</w:t>
            </w:r>
          </w:p>
        </w:tc>
        <w:tc>
          <w:tcPr>
            <w:tcW w:type="dxa" w:w="5817"/>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Design</w:t>
            </w:r>
          </w:p>
        </w:tc>
      </w:tr>
      <w:tr>
        <w:tc>
          <w:tcPr>
            <w:tcW w:type="dxa" w:w="16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TSV</w:t>
            </w:r>
          </w:p>
        </w:tc>
        <w:tc>
          <w:tcPr>
            <w:tcW w:type="dxa" w:w="16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 and pandas</w:t>
            </w:r>
          </w:p>
        </w:tc>
        <w:tc>
          <w:tcPr>
            <w:tcW w:type="dxa" w:w="581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Provenance as '#' comment lines, which both skip with one argument. One row per stored record. No JSON in any cell — the stored extra object is spread into named columns. Tab-separated rather than comma-separated because gene descriptions and GO term names contain commas</w:t>
            </w:r>
          </w:p>
        </w:tc>
      </w:tr>
      <w:tr>
        <w:tc>
          <w:tcPr>
            <w:tcW w:type="dxa" w:w="16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Excel (.xlsx)</w:t>
            </w:r>
          </w:p>
        </w:tc>
        <w:tc>
          <w:tcPr>
            <w:tcW w:type="dxa" w:w="16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People</w:t>
            </w:r>
          </w:p>
        </w:tc>
        <w:tc>
          <w:tcPr>
            <w:tcW w:type="dxa" w:w="581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Four sheets: results one row per gene with tools across the columns; all sites one row each without sequence strings; provenance as key–value rows; tools run. Header frozen, filter on every column</w:t>
            </w:r>
          </w:p>
        </w:tc>
      </w:tr>
      <w:tr>
        <w:tc>
          <w:tcPr>
            <w:tcW w:type="dxa" w:w="16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HTML report</w:t>
            </w:r>
          </w:p>
        </w:tc>
        <w:tc>
          <w:tcPr>
            <w:tcW w:type="dxa" w:w="16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Reading and printing</w:t>
            </w:r>
          </w:p>
        </w:tc>
        <w:tc>
          <w:tcPr>
            <w:tcW w:type="dxa" w:w="581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Queued and stored, never re-rendered. Contains a scope statement, a legend, the gene table, binding maps, the enrichment tables, a network figure and the provenance block. Served inline so Ctrl+P produces a PDF without any PDF toolchain</w:t>
            </w:r>
          </w:p>
        </w:tc>
      </w:tr>
    </w:tbl>
    <w:p>
      <w:pPr>
        <w:pStyle w:val="Heading2"/>
        <w:spacing w:after="120" w:before="260" w:line="360"/>
      </w:pPr>
      <w:r>
        <w:rPr>
          <w:rFonts w:ascii="Times New Roman" w:cs="Times New Roman" w:eastAsia="Times New Roman" w:hAnsi="Times New Roman"/>
          <w:b/>
          <w:bCs/>
          <w:color w:val="2E5496"/>
          <w:sz w:val="26"/>
          <w:szCs w:val="26"/>
        </w:rPr>
        <w:t xml:space="preserve">Faithfulness of a filtered export</w:t>
      </w:r>
    </w:p>
    <w:p>
      <w:pPr>
        <w:spacing w:after="120" w:line="360"/>
      </w:pPr>
      <w:r>
        <w:rPr>
          <w:rFonts w:ascii="Times New Roman" w:cs="Times New Roman" w:eastAsia="Times New Roman" w:hAnsi="Times New Roman"/>
          <w:sz w:val="24"/>
          <w:szCs w:val="24"/>
        </w:rPr>
        <w:t xml:space="preserve">The page's region checkboxes, include-6mer toggle and gene search filter in the browser. An export that ignored them would contain rows the screen was hiding, with nothing to indicate it. The export endpoints therefore accept all three, and the provenance block records each one.</w:t>
      </w:r>
    </w:p>
    <w:p>
      <w:pPr>
        <w:spacing w:after="120" w:line="360"/>
      </w:pPr>
      <w:r>
        <w:rPr>
          <w:rFonts w:ascii="Times New Roman" w:cs="Times New Roman" w:eastAsia="Times New Roman" w:hAnsi="Times New Roman"/>
          <w:sz w:val="24"/>
          <w:szCs w:val="24"/>
        </w:rPr>
        <w:t xml:space="preserve">Two subtleties in the SQL. A row with no region of its own — miRTarBase evidence is about a gene, not a place inside it — is never hidden by a region filter. And the 6mer filter is scoped to the seed analyser so it cannot silently remove another tool's rows.</w:t>
      </w:r>
    </w:p>
    <w:p>
      <w:pPr>
        <w:pStyle w:val="Heading2"/>
        <w:spacing w:after="120" w:before="260" w:line="360"/>
      </w:pPr>
      <w:r>
        <w:rPr>
          <w:rFonts w:ascii="Times New Roman" w:cs="Times New Roman" w:eastAsia="Times New Roman" w:hAnsi="Times New Roman"/>
          <w:b/>
          <w:bCs/>
          <w:color w:val="2E5496"/>
          <w:sz w:val="26"/>
          <w:szCs w:val="26"/>
        </w:rPr>
        <w:t xml:space="preserve">Figures in the report are static SVG</w:t>
      </w:r>
    </w:p>
    <w:p>
      <w:pPr>
        <w:spacing w:after="120" w:line="360"/>
      </w:pPr>
      <w:r>
        <w:rPr>
          <w:rFonts w:ascii="Times New Roman" w:cs="Times New Roman" w:eastAsia="Times New Roman" w:hAnsi="Times New Roman"/>
          <w:sz w:val="24"/>
          <w:szCs w:val="24"/>
        </w:rPr>
        <w:t xml:space="preserve">The report's value is being one self-contained file that can be emailed. Loading the network library from the server would make it work only while that server runs. Both figures are therefore drawn server-side as SVG — a list of drawing instructions inside the document, which prints at print resolution and needs no JavaScript.</w:t>
      </w:r>
    </w:p>
    <w:p>
      <w:pPr>
        <w:spacing w:after="120" w:line="360"/>
      </w:pPr>
      <w:r>
        <w:rPr>
          <w:rFonts w:ascii="Times New Roman" w:cs="Times New Roman" w:eastAsia="Times New Roman" w:hAnsi="Times New Roman"/>
          <w:b/>
          <w:bCs/>
          <w:sz w:val="24"/>
          <w:szCs w:val="24"/>
        </w:rPr>
        <w:t xml:space="preserve">The network layout is deterministic. </w:t>
      </w:r>
      <w:r>
        <w:rPr>
          <w:rFonts w:ascii="Times New Roman" w:cs="Times New Roman" w:eastAsia="Times New Roman" w:hAnsi="Times New Roman"/>
          <w:sz w:val="24"/>
          <w:szCs w:val="24"/>
        </w:rPr>
        <w:t xml:space="preserve">Starting positions come from node order rather than a random seed, so the same job always produces the same figure — which the interactive physics-based version cannot promise, and which matters for a figure that may be cited.</w:t>
      </w:r>
    </w:p>
    <w:p>
      <w:r>
        <w:br w:type="page"/>
      </w:r>
    </w:p>
    <w:p>
      <w:pPr>
        <w:pStyle w:val="Heading1"/>
        <w:spacing w:after="160" w:before="360" w:line="360"/>
      </w:pPr>
      <w:r>
        <w:rPr>
          <w:rFonts w:ascii="Times New Roman" w:cs="Times New Roman" w:eastAsia="Times New Roman" w:hAnsi="Times New Roman"/>
          <w:b/>
          <w:bCs/>
          <w:color w:val="1F3864"/>
          <w:sz w:val="32"/>
          <w:szCs w:val="32"/>
        </w:rPr>
        <w:t xml:space="preserve">14. Validation against the published literature</w:t>
      </w:r>
    </w:p>
    <w:p>
      <w:pPr>
        <w:spacing w:after="120" w:line="360"/>
      </w:pPr>
      <w:r>
        <w:rPr>
          <w:rFonts w:ascii="Times New Roman" w:cs="Times New Roman" w:eastAsia="Times New Roman" w:hAnsi="Times New Roman"/>
          <w:sz w:val="24"/>
          <w:szCs w:val="24"/>
        </w:rPr>
        <w:t xml:space="preserve">Nine genes, four tools, one job, run through the web interface so the test also exercises the API and the frontend. Eight are miR-21 targets with published functional evidence; GAPDH is a negative control. The job produced 53 records: seed 13, RNAhybrid 26, TargetScan 6, miRTarBase 8.</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1182"/>
        <w:gridCol w:w="1182"/>
        <w:gridCol w:w="967"/>
        <w:gridCol w:w="967"/>
        <w:gridCol w:w="1397"/>
        <w:gridCol w:w="860"/>
        <w:gridCol w:w="1289"/>
        <w:gridCol w:w="1182"/>
      </w:tblGrid>
      <w:tr>
        <w:trPr>
          <w:tblHeader/>
        </w:trPr>
        <w:tc>
          <w:tcPr>
            <w:tcW w:type="dxa" w:w="1182"/>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Gene</w:t>
            </w:r>
          </w:p>
        </w:tc>
        <w:tc>
          <w:tcPr>
            <w:tcW w:type="dxa" w:w="1182"/>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Seed</w:t>
            </w:r>
          </w:p>
        </w:tc>
        <w:tc>
          <w:tcPr>
            <w:tcW w:type="dxa" w:w="967"/>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Region</w:t>
            </w:r>
          </w:p>
        </w:tc>
        <w:tc>
          <w:tcPr>
            <w:tcW w:type="dxa" w:w="967"/>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ΔG</w:t>
            </w:r>
          </w:p>
        </w:tc>
        <w:tc>
          <w:tcPr>
            <w:tcW w:type="dxa" w:w="1397"/>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context++</w:t>
            </w:r>
          </w:p>
        </w:tc>
        <w:tc>
          <w:tcPr>
            <w:tcW w:type="dxa" w:w="860"/>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PCT</w:t>
            </w:r>
          </w:p>
        </w:tc>
        <w:tc>
          <w:tcPr>
            <w:tcW w:type="dxa" w:w="1289"/>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Strong exp.</w:t>
            </w:r>
          </w:p>
        </w:tc>
        <w:tc>
          <w:tcPr>
            <w:tcW w:type="dxa" w:w="1182"/>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No effect</w:t>
            </w:r>
          </w:p>
        </w:tc>
      </w:tr>
      <w:tr>
        <w:tc>
          <w:tcPr>
            <w:tcW w:type="dxa" w:w="118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TIMP3</w:t>
            </w:r>
          </w:p>
        </w:tc>
        <w:tc>
          <w:tcPr>
            <w:tcW w:type="dxa" w:w="118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8mer ×2</w:t>
            </w:r>
          </w:p>
        </w:tc>
        <w:tc>
          <w:tcPr>
            <w:tcW w:type="dxa" w:w="96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3′UTR</w:t>
            </w:r>
          </w:p>
        </w:tc>
        <w:tc>
          <w:tcPr>
            <w:tcW w:type="dxa" w:w="96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−22.8</w:t>
            </w:r>
          </w:p>
        </w:tc>
        <w:tc>
          <w:tcPr>
            <w:tcW w:type="dxa" w:w="139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−0.675</w:t>
            </w:r>
          </w:p>
        </w:tc>
        <w:tc>
          <w:tcPr>
            <w:tcW w:type="dxa" w:w="86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0.87</w:t>
            </w:r>
          </w:p>
        </w:tc>
        <w:tc>
          <w:tcPr>
            <w:tcW w:type="dxa" w:w="128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15</w:t>
            </w:r>
          </w:p>
        </w:tc>
        <w:tc>
          <w:tcPr>
            <w:tcW w:type="dxa" w:w="118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0</w:t>
            </w:r>
          </w:p>
        </w:tc>
      </w:tr>
      <w:tr>
        <w:tc>
          <w:tcPr>
            <w:tcW w:type="dxa" w:w="118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PDCD4</w:t>
            </w:r>
          </w:p>
        </w:tc>
        <w:tc>
          <w:tcPr>
            <w:tcW w:type="dxa" w:w="118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8mer</w:t>
            </w:r>
          </w:p>
        </w:tc>
        <w:tc>
          <w:tcPr>
            <w:tcW w:type="dxa" w:w="96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3′UTR</w:t>
            </w:r>
          </w:p>
        </w:tc>
        <w:tc>
          <w:tcPr>
            <w:tcW w:type="dxa" w:w="96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−18.5</w:t>
            </w:r>
          </w:p>
        </w:tc>
        <w:tc>
          <w:tcPr>
            <w:tcW w:type="dxa" w:w="139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−0.503</w:t>
            </w:r>
          </w:p>
        </w:tc>
        <w:tc>
          <w:tcPr>
            <w:tcW w:type="dxa" w:w="86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0.85</w:t>
            </w:r>
          </w:p>
        </w:tc>
        <w:tc>
          <w:tcPr>
            <w:tcW w:type="dxa" w:w="128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59</w:t>
            </w:r>
          </w:p>
        </w:tc>
        <w:tc>
          <w:tcPr>
            <w:tcW w:type="dxa" w:w="118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6</w:t>
            </w:r>
          </w:p>
        </w:tc>
      </w:tr>
      <w:tr>
        <w:tc>
          <w:tcPr>
            <w:tcW w:type="dxa" w:w="118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SPRY2</w:t>
            </w:r>
          </w:p>
        </w:tc>
        <w:tc>
          <w:tcPr>
            <w:tcW w:type="dxa" w:w="118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8mer</w:t>
            </w:r>
          </w:p>
        </w:tc>
        <w:tc>
          <w:tcPr>
            <w:tcW w:type="dxa" w:w="96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3′UTR</w:t>
            </w:r>
          </w:p>
        </w:tc>
        <w:tc>
          <w:tcPr>
            <w:tcW w:type="dxa" w:w="96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−19.4</w:t>
            </w:r>
          </w:p>
        </w:tc>
        <w:tc>
          <w:tcPr>
            <w:tcW w:type="dxa" w:w="139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−0.385</w:t>
            </w:r>
          </w:p>
        </w:tc>
        <w:tc>
          <w:tcPr>
            <w:tcW w:type="dxa" w:w="86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0.69</w:t>
            </w:r>
          </w:p>
        </w:tc>
        <w:tc>
          <w:tcPr>
            <w:tcW w:type="dxa" w:w="128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6</w:t>
            </w:r>
          </w:p>
        </w:tc>
        <w:tc>
          <w:tcPr>
            <w:tcW w:type="dxa" w:w="118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w:t>
            </w:r>
          </w:p>
        </w:tc>
      </w:tr>
      <w:tr>
        <w:tc>
          <w:tcPr>
            <w:tcW w:type="dxa" w:w="118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RECK</w:t>
            </w:r>
          </w:p>
        </w:tc>
        <w:tc>
          <w:tcPr>
            <w:tcW w:type="dxa" w:w="118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8mer</w:t>
            </w:r>
          </w:p>
        </w:tc>
        <w:tc>
          <w:tcPr>
            <w:tcW w:type="dxa" w:w="96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3′UTR</w:t>
            </w:r>
          </w:p>
        </w:tc>
        <w:tc>
          <w:tcPr>
            <w:tcW w:type="dxa" w:w="96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−24.9</w:t>
            </w:r>
          </w:p>
        </w:tc>
        <w:tc>
          <w:tcPr>
            <w:tcW w:type="dxa" w:w="139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−0.378</w:t>
            </w:r>
          </w:p>
        </w:tc>
        <w:tc>
          <w:tcPr>
            <w:tcW w:type="dxa" w:w="86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0.63</w:t>
            </w:r>
          </w:p>
        </w:tc>
        <w:tc>
          <w:tcPr>
            <w:tcW w:type="dxa" w:w="128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15</w:t>
            </w:r>
          </w:p>
        </w:tc>
        <w:tc>
          <w:tcPr>
            <w:tcW w:type="dxa" w:w="118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w:t>
            </w:r>
          </w:p>
        </w:tc>
      </w:tr>
      <w:tr>
        <w:tc>
          <w:tcPr>
            <w:tcW w:type="dxa" w:w="118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BCL2</w:t>
            </w:r>
          </w:p>
        </w:tc>
        <w:tc>
          <w:tcPr>
            <w:tcW w:type="dxa" w:w="118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7mer-m8</w:t>
            </w:r>
          </w:p>
        </w:tc>
        <w:tc>
          <w:tcPr>
            <w:tcW w:type="dxa" w:w="96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CDS</w:t>
            </w:r>
          </w:p>
        </w:tc>
        <w:tc>
          <w:tcPr>
            <w:tcW w:type="dxa" w:w="96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−19.4</w:t>
            </w:r>
          </w:p>
        </w:tc>
        <w:tc>
          <w:tcPr>
            <w:tcW w:type="dxa" w:w="139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−0.117</w:t>
            </w:r>
          </w:p>
        </w:tc>
        <w:tc>
          <w:tcPr>
            <w:tcW w:type="dxa" w:w="86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0.27</w:t>
            </w:r>
          </w:p>
        </w:tc>
        <w:tc>
          <w:tcPr>
            <w:tcW w:type="dxa" w:w="128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9</w:t>
            </w:r>
          </w:p>
        </w:tc>
        <w:tc>
          <w:tcPr>
            <w:tcW w:type="dxa" w:w="118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w:t>
            </w:r>
          </w:p>
        </w:tc>
      </w:tr>
      <w:tr>
        <w:tc>
          <w:tcPr>
            <w:tcW w:type="dxa" w:w="118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PTEN</w:t>
            </w:r>
          </w:p>
        </w:tc>
        <w:tc>
          <w:tcPr>
            <w:tcW w:type="dxa" w:w="118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7mer-A1</w:t>
            </w:r>
          </w:p>
        </w:tc>
        <w:tc>
          <w:tcPr>
            <w:tcW w:type="dxa" w:w="96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3′UTR</w:t>
            </w:r>
          </w:p>
        </w:tc>
        <w:tc>
          <w:tcPr>
            <w:tcW w:type="dxa" w:w="96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−20.2</w:t>
            </w:r>
          </w:p>
        </w:tc>
        <w:tc>
          <w:tcPr>
            <w:tcW w:type="dxa" w:w="139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−0.012</w:t>
            </w:r>
          </w:p>
        </w:tc>
        <w:tc>
          <w:tcPr>
            <w:tcW w:type="dxa" w:w="86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none</w:t>
            </w:r>
          </w:p>
        </w:tc>
        <w:tc>
          <w:tcPr>
            <w:tcW w:type="dxa" w:w="128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91</w:t>
            </w:r>
          </w:p>
        </w:tc>
        <w:tc>
          <w:tcPr>
            <w:tcW w:type="dxa" w:w="118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23</w:t>
            </w:r>
          </w:p>
        </w:tc>
      </w:tr>
      <w:tr>
        <w:tc>
          <w:tcPr>
            <w:tcW w:type="dxa" w:w="118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TPM1</w:t>
            </w:r>
          </w:p>
        </w:tc>
        <w:tc>
          <w:tcPr>
            <w:tcW w:type="dxa" w:w="118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7mer-A1</w:t>
            </w:r>
          </w:p>
        </w:tc>
        <w:tc>
          <w:tcPr>
            <w:tcW w:type="dxa" w:w="96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3′UTR</w:t>
            </w:r>
          </w:p>
        </w:tc>
        <w:tc>
          <w:tcPr>
            <w:tcW w:type="dxa" w:w="96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−22.1</w:t>
            </w:r>
          </w:p>
        </w:tc>
        <w:tc>
          <w:tcPr>
            <w:tcW w:type="dxa" w:w="139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none</w:t>
            </w:r>
          </w:p>
        </w:tc>
        <w:tc>
          <w:tcPr>
            <w:tcW w:type="dxa" w:w="86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w:t>
            </w:r>
          </w:p>
        </w:tc>
        <w:tc>
          <w:tcPr>
            <w:tcW w:type="dxa" w:w="128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6</w:t>
            </w:r>
          </w:p>
        </w:tc>
        <w:tc>
          <w:tcPr>
            <w:tcW w:type="dxa" w:w="118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w:t>
            </w:r>
          </w:p>
        </w:tc>
      </w:tr>
      <w:tr>
        <w:tc>
          <w:tcPr>
            <w:tcW w:type="dxa" w:w="118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MARCKS</w:t>
            </w:r>
          </w:p>
        </w:tc>
        <w:tc>
          <w:tcPr>
            <w:tcW w:type="dxa" w:w="118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none</w:t>
            </w:r>
          </w:p>
        </w:tc>
        <w:tc>
          <w:tcPr>
            <w:tcW w:type="dxa" w:w="96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w:t>
            </w:r>
          </w:p>
        </w:tc>
        <w:tc>
          <w:tcPr>
            <w:tcW w:type="dxa" w:w="96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−21.1</w:t>
            </w:r>
          </w:p>
        </w:tc>
        <w:tc>
          <w:tcPr>
            <w:tcW w:type="dxa" w:w="139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none</w:t>
            </w:r>
          </w:p>
        </w:tc>
        <w:tc>
          <w:tcPr>
            <w:tcW w:type="dxa" w:w="86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w:t>
            </w:r>
          </w:p>
        </w:tc>
        <w:tc>
          <w:tcPr>
            <w:tcW w:type="dxa" w:w="128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w:t>
            </w:r>
          </w:p>
        </w:tc>
        <w:tc>
          <w:tcPr>
            <w:tcW w:type="dxa" w:w="118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w:t>
            </w:r>
          </w:p>
        </w:tc>
      </w:tr>
      <w:tr>
        <w:tc>
          <w:tcPr>
            <w:tcW w:type="dxa" w:w="118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GAPDH</w:t>
            </w:r>
          </w:p>
        </w:tc>
        <w:tc>
          <w:tcPr>
            <w:tcW w:type="dxa" w:w="118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none</w:t>
            </w:r>
          </w:p>
        </w:tc>
        <w:tc>
          <w:tcPr>
            <w:tcW w:type="dxa" w:w="96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w:t>
            </w:r>
          </w:p>
        </w:tc>
        <w:tc>
          <w:tcPr>
            <w:tcW w:type="dxa" w:w="96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−20.6</w:t>
            </w:r>
          </w:p>
        </w:tc>
        <w:tc>
          <w:tcPr>
            <w:tcW w:type="dxa" w:w="139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not covered</w:t>
            </w:r>
          </w:p>
        </w:tc>
        <w:tc>
          <w:tcPr>
            <w:tcW w:type="dxa" w:w="86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w:t>
            </w:r>
          </w:p>
        </w:tc>
        <w:tc>
          <w:tcPr>
            <w:tcW w:type="dxa" w:w="128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not reported</w:t>
            </w:r>
          </w:p>
        </w:tc>
        <w:tc>
          <w:tcPr>
            <w:tcW w:type="dxa" w:w="118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w:t>
            </w:r>
          </w:p>
        </w:tc>
      </w:tr>
    </w:tbl>
    <w:p>
      <w:pPr>
        <w:pStyle w:val="Heading2"/>
        <w:spacing w:after="120" w:before="260" w:line="360"/>
      </w:pPr>
      <w:r>
        <w:rPr>
          <w:rFonts w:ascii="Times New Roman" w:cs="Times New Roman" w:eastAsia="Times New Roman" w:hAnsi="Times New Roman"/>
          <w:b/>
          <w:bCs/>
          <w:color w:val="2E5496"/>
          <w:sz w:val="26"/>
          <w:szCs w:val="26"/>
        </w:rPr>
        <w:t xml:space="preserve">Recall on the eight published targets</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2407"/>
        <w:gridCol w:w="1605"/>
        <w:gridCol w:w="5014"/>
      </w:tblGrid>
      <w:tr>
        <w:trPr>
          <w:tblHeader/>
        </w:trPr>
        <w:tc>
          <w:tcPr>
            <w:tcW w:type="dxa" w:w="2407"/>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Tool</w:t>
            </w:r>
          </w:p>
        </w:tc>
        <w:tc>
          <w:tcPr>
            <w:tcW w:type="dxa" w:w="1605"/>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Recovered</w:t>
            </w:r>
          </w:p>
        </w:tc>
        <w:tc>
          <w:tcPr>
            <w:tcW w:type="dxa" w:w="5014"/>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Note</w:t>
            </w:r>
          </w:p>
        </w:tc>
      </w:tr>
      <w:tr>
        <w:tc>
          <w:tcPr>
            <w:tcW w:type="dxa" w:w="240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miRTarBase</w:t>
            </w:r>
          </w:p>
        </w:tc>
        <w:tc>
          <w:tcPr>
            <w:tcW w:type="dxa" w:w="16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8 / 8</w:t>
            </w:r>
          </w:p>
        </w:tc>
        <w:tc>
          <w:tcPr>
            <w:tcW w:type="dxa" w:w="50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And GAPDH correctly absent</w:t>
            </w:r>
          </w:p>
        </w:tc>
      </w:tr>
      <w:tr>
        <w:tc>
          <w:tcPr>
            <w:tcW w:type="dxa" w:w="240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Seed analyser (ours)</w:t>
            </w:r>
          </w:p>
        </w:tc>
        <w:tc>
          <w:tcPr>
            <w:tcW w:type="dxa" w:w="16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7 / 8</w:t>
            </w:r>
          </w:p>
        </w:tc>
        <w:tc>
          <w:tcPr>
            <w:tcW w:type="dxa" w:w="50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Only MARCKS has no canonical site</w:t>
            </w:r>
          </w:p>
        </w:tc>
      </w:tr>
      <w:tr>
        <w:tc>
          <w:tcPr>
            <w:tcW w:type="dxa" w:w="240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TargetScan</w:t>
            </w:r>
          </w:p>
        </w:tc>
        <w:tc>
          <w:tcPr>
            <w:tcW w:type="dxa" w:w="16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6 / 8</w:t>
            </w:r>
          </w:p>
        </w:tc>
        <w:tc>
          <w:tcPr>
            <w:tcW w:type="dxa" w:w="5014"/>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Misses TPM1 and MARCKS</w:t>
            </w:r>
          </w:p>
        </w:tc>
      </w:tr>
      <w:tr>
        <w:tc>
          <w:tcPr>
            <w:tcW w:type="dxa" w:w="240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RNAhybrid</w:t>
            </w:r>
          </w:p>
        </w:tc>
        <w:tc>
          <w:tcPr>
            <w:tcW w:type="dxa" w:w="16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9 / 9</w:t>
            </w:r>
          </w:p>
        </w:tc>
        <w:tc>
          <w:tcPr>
            <w:tcW w:type="dxa" w:w="5014"/>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Including the negative control — sensitive, not selective</w:t>
            </w:r>
          </w:p>
        </w:tc>
      </w:tr>
    </w:tbl>
    <w:p>
      <w:pPr>
        <w:spacing w:after="120"/>
      </w:pPr>
    </w:p>
    <w:p>
      <w:pPr>
        <w:spacing w:after="120" w:line="360"/>
      </w:pPr>
      <w:r>
        <w:rPr>
          <w:rFonts w:ascii="Times New Roman" w:cs="Times New Roman" w:eastAsia="Times New Roman" w:hAnsi="Times New Roman"/>
          <w:sz w:val="24"/>
          <w:szCs w:val="24"/>
        </w:rPr>
        <w:t xml:space="preserve">miRTarBase recovering 8/8 is a check on the loader and the name reconciliation — 91,657 aliases across historical miRBase releases — not on the prediction. miRTarBase is the reference here.</w:t>
      </w:r>
    </w:p>
    <w:p>
      <w:pPr>
        <w:pStyle w:val="Heading2"/>
        <w:spacing w:after="120" w:before="260" w:line="360"/>
      </w:pPr>
      <w:r>
        <w:rPr>
          <w:rFonts w:ascii="Times New Roman" w:cs="Times New Roman" w:eastAsia="Times New Roman" w:hAnsi="Times New Roman"/>
          <w:b/>
          <w:bCs/>
          <w:color w:val="2E5496"/>
          <w:sz w:val="26"/>
          <w:szCs w:val="26"/>
        </w:rPr>
        <w:t xml:space="preserve">Finding 1: prediction strength does not track experimental support</w:t>
      </w:r>
    </w:p>
    <w:p>
      <w:pPr>
        <w:spacing w:after="120"/>
      </w:pPr>
    </w:p>
    <w:p>
      <w:pPr>
        <w:shd w:fill="F4F4F4" w:val="clear"/>
        <w:spacing w:after="0" w:before="100" w:line="240"/>
        <w:ind w:left="240"/>
      </w:pPr>
      <w:r>
        <w:rPr>
          <w:rFonts w:ascii="Consolas" w:cs="Consolas" w:eastAsia="Consolas" w:hAnsi="Consolas"/>
          <w:sz w:val="19"/>
          <w:szCs w:val="19"/>
        </w:rPr>
        <w:t xml:space="preserve">by context++     TIMP3 &gt; PDCD4 &gt; SPRY2 &gt; RECK &gt; BCL2 &gt; PTEN</w:t>
      </w:r>
    </w:p>
    <w:p>
      <w:pPr>
        <w:shd w:fill="F4F4F4" w:val="clear"/>
        <w:spacing w:after="140" w:before="0" w:line="240"/>
        <w:ind w:left="240"/>
      </w:pPr>
      <w:r>
        <w:rPr>
          <w:rFonts w:ascii="Consolas" w:cs="Consolas" w:eastAsia="Consolas" w:hAnsi="Consolas"/>
          <w:sz w:val="19"/>
          <w:szCs w:val="19"/>
        </w:rPr>
        <w:t xml:space="preserve">by experiments   PTEN  &gt; PDCD4 &gt; RECK  &gt; TIMP3 &gt; BCL2 &gt; SPRY2</w:t>
      </w:r>
    </w:p>
    <w:p>
      <w:pPr>
        <w:spacing w:after="120" w:line="360"/>
      </w:pPr>
      <w:r>
        <w:rPr>
          <w:rFonts w:ascii="Times New Roman" w:cs="Times New Roman" w:eastAsia="Times New Roman" w:hAnsi="Times New Roman"/>
          <w:b/>
          <w:bCs/>
          <w:sz w:val="24"/>
          <w:szCs w:val="24"/>
        </w:rPr>
        <w:t xml:space="preserve">PTEN is last by prediction and first by evidence: </w:t>
      </w:r>
      <w:r>
        <w:rPr>
          <w:rFonts w:ascii="Times New Roman" w:cs="Times New Roman" w:eastAsia="Times New Roman" w:hAnsi="Times New Roman"/>
          <w:sz w:val="24"/>
          <w:szCs w:val="24"/>
        </w:rPr>
        <w:t xml:space="preserve">91 strong experiments across 20 papers, context++ −0.012, and no conserved site. A single combined score would have averaged the most-validated target in the set down to nothing. This is the concrete case for per-tool columns.</w:t>
      </w:r>
    </w:p>
    <w:p>
      <w:pPr>
        <w:spacing w:after="120" w:line="360"/>
      </w:pPr>
      <w:r>
        <w:rPr>
          <w:rFonts w:ascii="Times New Roman" w:cs="Times New Roman" w:eastAsia="Times New Roman" w:hAnsi="Times New Roman"/>
          <w:i/>
          <w:iCs/>
          <w:sz w:val="24"/>
          <w:szCs w:val="24"/>
        </w:rPr>
        <w:t xml:space="preserve">Caveat, stated plainly: </w:t>
      </w:r>
      <w:r>
        <w:rPr>
          <w:rFonts w:ascii="Times New Roman" w:cs="Times New Roman" w:eastAsia="Times New Roman" w:hAnsi="Times New Roman"/>
          <w:sz w:val="24"/>
          <w:szCs w:val="24"/>
        </w:rPr>
        <w:t xml:space="preserve">experiment counts measure how much a pair has been studied, and PTEN is a famous gene. The disagreement is real; the reason for it is not only biology.</w:t>
      </w:r>
    </w:p>
    <w:p>
      <w:pPr>
        <w:pStyle w:val="Heading2"/>
        <w:spacing w:after="120" w:before="260" w:line="360"/>
      </w:pPr>
      <w:r>
        <w:rPr>
          <w:rFonts w:ascii="Times New Roman" w:cs="Times New Roman" w:eastAsia="Times New Roman" w:hAnsi="Times New Roman"/>
          <w:b/>
          <w:bCs/>
          <w:color w:val="2E5496"/>
          <w:sz w:val="26"/>
          <w:szCs w:val="26"/>
        </w:rPr>
        <w:t xml:space="preserve">Finding 2: TargetScan misses TPM1 because of transcript choice, not biology</w:t>
      </w:r>
    </w:p>
    <w:p>
      <w:pPr>
        <w:spacing w:after="120" w:line="360"/>
      </w:pPr>
      <w:r>
        <w:rPr>
          <w:rFonts w:ascii="Times New Roman" w:cs="Times New Roman" w:eastAsia="Times New Roman" w:hAnsi="Times New Roman"/>
          <w:sz w:val="24"/>
          <w:szCs w:val="24"/>
        </w:rPr>
        <w:t xml:space="preserve">TPM1 is present in targetscan_genes but has zero rows for the miR-21 seed. All TargetScan predictions are loaded, not only conserved ones, so any 7mer-A1 in the 3′UTR TargetScan scored would have produced a row. Our scanner finds a 7mer-A1 at 1,126–1,132 on the MANE Select transcript NM_001018005.2, and the pair is published (Zhu et al., 2007).</w:t>
      </w:r>
    </w:p>
    <w:p>
      <w:pPr>
        <w:spacing w:after="120" w:line="360"/>
      </w:pPr>
      <w:r>
        <w:rPr>
          <w:rFonts w:ascii="Times New Roman" w:cs="Times New Roman" w:eastAsia="Times New Roman" w:hAnsi="Times New Roman"/>
          <w:sz w:val="24"/>
          <w:szCs w:val="24"/>
        </w:rPr>
        <w:t xml:space="preserve">The site therefore lies outside the 3′UTR TargetScan chose. TPM1 is heavily spliced. This is the 38.7% transcript mismatch measured during the TargetScan load, landing on a validated target — and a direct argument for anchoring on MANE Select.</w:t>
      </w:r>
    </w:p>
    <w:p>
      <w:pPr>
        <w:pStyle w:val="Heading2"/>
        <w:spacing w:after="120" w:before="260" w:line="360"/>
      </w:pPr>
      <w:r>
        <w:rPr>
          <w:rFonts w:ascii="Times New Roman" w:cs="Times New Roman" w:eastAsia="Times New Roman" w:hAnsi="Times New Roman"/>
          <w:b/>
          <w:bCs/>
          <w:color w:val="2E5496"/>
          <w:sz w:val="26"/>
          <w:szCs w:val="26"/>
        </w:rPr>
        <w:t xml:space="preserve">Finding 3: BCL2's strongest canonical site is in the CDS</w:t>
      </w:r>
    </w:p>
    <w:p>
      <w:pPr>
        <w:spacing w:after="120" w:line="360"/>
      </w:pPr>
      <w:r>
        <w:rPr>
          <w:rFonts w:ascii="Times New Roman" w:cs="Times New Roman" w:eastAsia="Times New Roman" w:hAnsi="Times New Roman"/>
          <w:sz w:val="24"/>
          <w:szCs w:val="24"/>
        </w:rPr>
        <w:t xml:space="preserve">A 7mer-m8 at 944–950, in coding sequence. TargetScan reads 3′UTRs only, so it scores BCL2 on a different, weaker site (−0.117, PCT 0.27) while the pair carries nine strong experiments. A 3′UTR-only tool cannot see this class of site, which is the argument for the planned ML model covering all three regions.</w:t>
      </w:r>
    </w:p>
    <w:p>
      <w:pPr>
        <w:pStyle w:val="Heading2"/>
        <w:spacing w:after="120" w:before="260" w:line="360"/>
      </w:pPr>
      <w:r>
        <w:rPr>
          <w:rFonts w:ascii="Times New Roman" w:cs="Times New Roman" w:eastAsia="Times New Roman" w:hAnsi="Times New Roman"/>
          <w:b/>
          <w:bCs/>
          <w:color w:val="2E5496"/>
          <w:sz w:val="26"/>
          <w:szCs w:val="26"/>
        </w:rPr>
        <w:t xml:space="preserve">What this validation is not</w:t>
      </w:r>
    </w:p>
    <w:p>
      <w:pPr>
        <w:pStyle w:val="ListParagraph"/>
        <w:numPr>
          <w:ilvl w:val="0"/>
          <w:numId w:val="2"/>
        </w:numPr>
        <w:spacing w:after="80" w:line="360"/>
      </w:pPr>
      <w:r>
        <w:rPr>
          <w:rFonts w:ascii="Times New Roman" w:cs="Times New Roman" w:eastAsia="Times New Roman" w:hAnsi="Times New Roman"/>
          <w:sz w:val="24"/>
          <w:szCs w:val="24"/>
        </w:rPr>
        <w:t xml:space="preserve">Nine hand-picked positives are not a benchmark. There is no random negative set, so no precision, no false-positive rate and no ROC curve.</w:t>
      </w:r>
    </w:p>
    <w:p>
      <w:pPr>
        <w:pStyle w:val="ListParagraph"/>
        <w:numPr>
          <w:ilvl w:val="0"/>
          <w:numId w:val="2"/>
        </w:numPr>
        <w:spacing w:after="80" w:line="360"/>
      </w:pPr>
      <w:r>
        <w:rPr>
          <w:rFonts w:ascii="Times New Roman" w:cs="Times New Roman" w:eastAsia="Times New Roman" w:hAnsi="Times New Roman"/>
          <w:sz w:val="24"/>
          <w:szCs w:val="24"/>
        </w:rPr>
        <w:t xml:space="preserve">There is no independent replication of miRTarBase; it is the evidence source.</w:t>
      </w:r>
    </w:p>
    <w:p>
      <w:pPr>
        <w:pStyle w:val="ListParagraph"/>
        <w:numPr>
          <w:ilvl w:val="0"/>
          <w:numId w:val="2"/>
        </w:numPr>
        <w:spacing w:after="80" w:line="360"/>
      </w:pPr>
      <w:r>
        <w:rPr>
          <w:rFonts w:ascii="Times New Roman" w:cs="Times New Roman" w:eastAsia="Times New Roman" w:hAnsi="Times New Roman"/>
          <w:sz w:val="24"/>
          <w:szCs w:val="24"/>
        </w:rPr>
        <w:t xml:space="preserve">A real benchmark needs a defined miRNA set, all miRTarBase strong pairs as positives, matched random genes as negatives, and recall and precision per tool. It is planned as its own phase and its scripts are written.</w:t>
      </w:r>
    </w:p>
    <w:p>
      <w:pPr>
        <w:pStyle w:val="Heading1"/>
        <w:spacing w:after="160" w:before="360" w:line="360"/>
      </w:pPr>
      <w:r>
        <w:rPr>
          <w:rFonts w:ascii="Times New Roman" w:cs="Times New Roman" w:eastAsia="Times New Roman" w:hAnsi="Times New Roman"/>
          <w:b/>
          <w:bCs/>
          <w:color w:val="1F3864"/>
          <w:sz w:val="32"/>
          <w:szCs w:val="32"/>
        </w:rPr>
        <w:t xml:space="preserve">15. Measured performance</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5616"/>
        <w:gridCol w:w="3410"/>
      </w:tblGrid>
      <w:tr>
        <w:trPr>
          <w:tblHeader/>
        </w:trPr>
        <w:tc>
          <w:tcPr>
            <w:tcW w:type="dxa" w:w="5616"/>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Operation</w:t>
            </w:r>
          </w:p>
        </w:tc>
        <w:tc>
          <w:tcPr>
            <w:tcW w:type="dxa" w:w="3410"/>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Time</w:t>
            </w:r>
          </w:p>
        </w:tc>
      </w:tr>
      <w:tr>
        <w:tc>
          <w:tcPr>
            <w:tcW w:type="dxa" w:w="561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Three fast tools, transcriptome-wide (19,363 transcripts)</w:t>
            </w:r>
          </w:p>
        </w:tc>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 second</w:t>
            </w:r>
          </w:p>
        </w:tc>
      </w:tr>
      <w:tr>
        <w:tc>
          <w:tcPr>
            <w:tcW w:type="dxa" w:w="561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Adding RNAhybrid, parallel across 12 workers</w:t>
            </w:r>
          </w:p>
        </w:tc>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~4 minutes</w:t>
            </w:r>
          </w:p>
        </w:tc>
      </w:tr>
      <w:tr>
        <w:tc>
          <w:tcPr>
            <w:tcW w:type="dxa" w:w="561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RNAhybrid serial, same job</w:t>
            </w:r>
          </w:p>
        </w:tc>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13 min 24 s</w:t>
            </w:r>
          </w:p>
        </w:tc>
      </w:tr>
      <w:tr>
        <w:tc>
          <w:tcPr>
            <w:tcW w:type="dxa" w:w="561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GO + KEGG enrichment, 381 genes</w:t>
            </w:r>
          </w:p>
        </w:tc>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~125 seconds</w:t>
            </w:r>
          </w:p>
        </w:tc>
      </w:tr>
      <w:tr>
        <w:tc>
          <w:tcPr>
            <w:tcW w:type="dxa" w:w="561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HTML report, 9 genes</w:t>
            </w:r>
          </w:p>
        </w:tc>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~0.01 seconds</w:t>
            </w:r>
          </w:p>
        </w:tc>
      </w:tr>
      <w:tr>
        <w:tc>
          <w:tcPr>
            <w:tcW w:type="dxa" w:w="561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Loading 72 Mnt of transcript sequence from SQLite</w:t>
            </w:r>
          </w:p>
        </w:tc>
        <w:tc>
          <w:tcPr>
            <w:tcW w:type="dxa" w:w="3410"/>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0.06 seconds</w:t>
            </w:r>
          </w:p>
        </w:tc>
      </w:tr>
      <w:tr>
        <w:tc>
          <w:tcPr>
            <w:tcW w:type="dxa" w:w="561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Full transcriptome seed scan, one miRNA</w:t>
            </w:r>
          </w:p>
        </w:tc>
        <w:tc>
          <w:tcPr>
            <w:tcW w:type="dxa" w:w="3410"/>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0.17 seconds</w:t>
            </w:r>
          </w:p>
        </w:tc>
      </w:tr>
    </w:tbl>
    <w:p>
      <w:pPr>
        <w:spacing w:after="120"/>
      </w:pPr>
    </w:p>
    <w:p>
      <w:pPr>
        <w:spacing w:after="120" w:line="360"/>
      </w:pPr>
      <w:r>
        <w:rPr>
          <w:rFonts w:ascii="Times New Roman" w:cs="Times New Roman" w:eastAsia="Times New Roman" w:hAnsi="Times New Roman"/>
          <w:sz w:val="24"/>
          <w:szCs w:val="24"/>
        </w:rPr>
        <w:t xml:space="preserve">Transcriptome-wide results for hsa-miR-21-5p: 58,954 records — seed 10,254 rows across 6,673 genes; RNAhybrid 45,034 rows across 17,671 genes; TargetScan 2,598; miRTarBase 1,068.</w:t>
      </w:r>
    </w:p>
    <w:p>
      <w:pPr>
        <w:pStyle w:val="Heading2"/>
        <w:spacing w:after="120" w:before="260" w:line="360"/>
      </w:pPr>
      <w:r>
        <w:rPr>
          <w:rFonts w:ascii="Times New Roman" w:cs="Times New Roman" w:eastAsia="Times New Roman" w:hAnsi="Times New Roman"/>
          <w:b/>
          <w:bCs/>
          <w:color w:val="2E5496"/>
          <w:sz w:val="26"/>
          <w:szCs w:val="26"/>
        </w:rPr>
        <w:t xml:space="preserve">The parallelisation bug, and why it is worth recording</w:t>
      </w:r>
    </w:p>
    <w:p>
      <w:pPr>
        <w:spacing w:after="120" w:line="360"/>
      </w:pPr>
      <w:r>
        <w:rPr>
          <w:rFonts w:ascii="Times New Roman" w:cs="Times New Roman" w:eastAsia="Times New Roman" w:hAnsi="Times New Roman"/>
          <w:sz w:val="24"/>
          <w:szCs w:val="24"/>
        </w:rPr>
        <w:t xml:space="preserve">RNAhybrid was parallelised from 803 seconds to 231 seconds — 3.5× on 11 cores — with output verified identical record for record (SHA match on 45,034 rows).</w:t>
      </w:r>
    </w:p>
    <w:p>
      <w:pPr>
        <w:spacing w:after="120" w:line="360"/>
      </w:pPr>
      <w:r>
        <w:rPr>
          <w:rFonts w:ascii="Times New Roman" w:cs="Times New Roman" w:eastAsia="Times New Roman" w:hAnsi="Times New Roman"/>
          <w:b/>
          <w:bCs/>
          <w:sz w:val="24"/>
          <w:szCs w:val="24"/>
        </w:rPr>
        <w:t xml:space="preserve">The first parallel version was slower than serial. </w:t>
      </w:r>
      <w:r>
        <w:rPr>
          <w:rFonts w:ascii="Times New Roman" w:cs="Times New Roman" w:eastAsia="Times New Roman" w:hAnsi="Times New Roman"/>
          <w:sz w:val="24"/>
          <w:szCs w:val="24"/>
        </w:rPr>
        <w:t xml:space="preserve">It collected worker output through pipes. A pipe holds roughly 64 kB; once full, the writing process blocks until someone reads it. Eleven workers therefore sat frozen while the first was drained. Each worker now writes to its own file.</w:t>
      </w:r>
    </w:p>
    <w:p>
      <w:pPr>
        <w:spacing w:after="120" w:line="360"/>
      </w:pPr>
      <w:r>
        <w:rPr>
          <w:rFonts w:ascii="Times New Roman" w:cs="Times New Roman" w:eastAsia="Times New Roman" w:hAnsi="Times New Roman"/>
          <w:i/>
          <w:iCs/>
          <w:sz w:val="24"/>
          <w:szCs w:val="24"/>
        </w:rPr>
        <w:t xml:space="preserve">The instructive part is why it was not caught earlier: </w:t>
      </w:r>
      <w:r>
        <w:rPr>
          <w:rFonts w:ascii="Times New Roman" w:cs="Times New Roman" w:eastAsia="Times New Roman" w:hAnsi="Times New Roman"/>
          <w:sz w:val="24"/>
          <w:szCs w:val="24"/>
        </w:rPr>
        <w:t xml:space="preserve">a 2,000-transcript test scaled almost 4× and looked correct, precisely because its output stayed under the buffer size. The bug was only reachable at full scale. This is now a standing argument for testing performance work at production scale rather than on a convenient subset.</w:t>
      </w:r>
    </w:p>
    <w:p>
      <w:r>
        <w:br w:type="page"/>
      </w:r>
    </w:p>
    <w:p>
      <w:pPr>
        <w:pStyle w:val="Heading1"/>
        <w:spacing w:after="160" w:before="360" w:line="360"/>
      </w:pPr>
      <w:r>
        <w:rPr>
          <w:rFonts w:ascii="Times New Roman" w:cs="Times New Roman" w:eastAsia="Times New Roman" w:hAnsi="Times New Roman"/>
          <w:b/>
          <w:bCs/>
          <w:color w:val="1F3864"/>
          <w:sz w:val="32"/>
          <w:szCs w:val="32"/>
        </w:rPr>
        <w:t xml:space="preserve">16. Problems faced at each stage, and how each was solved</w:t>
      </w:r>
    </w:p>
    <w:p>
      <w:pPr>
        <w:spacing w:after="120" w:line="360"/>
      </w:pPr>
      <w:r>
        <w:rPr>
          <w:rFonts w:ascii="Times New Roman" w:cs="Times New Roman" w:eastAsia="Times New Roman" w:hAnsi="Times New Roman"/>
          <w:sz w:val="24"/>
          <w:szCs w:val="24"/>
        </w:rPr>
        <w:t xml:space="preserve">This section collects, in one place, every problem that changed a design decision. Each entry names the symptom, the diagnosis and the fix.</w:t>
      </w:r>
    </w:p>
    <w:p>
      <w:pPr>
        <w:pStyle w:val="Heading2"/>
        <w:spacing w:after="120" w:before="260" w:line="360"/>
      </w:pPr>
      <w:r>
        <w:rPr>
          <w:rFonts w:ascii="Times New Roman" w:cs="Times New Roman" w:eastAsia="Times New Roman" w:hAnsi="Times New Roman"/>
          <w:b/>
          <w:bCs/>
          <w:color w:val="2E5496"/>
          <w:sz w:val="26"/>
          <w:szCs w:val="26"/>
        </w:rPr>
        <w:t xml:space="preserve">Data layer</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2206"/>
        <w:gridCol w:w="2808"/>
        <w:gridCol w:w="4012"/>
      </w:tblGrid>
      <w:tr>
        <w:trPr>
          <w:tblHeader/>
        </w:trPr>
        <w:tc>
          <w:tcPr>
            <w:tcW w:type="dxa" w:w="2206"/>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Problem</w:t>
            </w:r>
          </w:p>
        </w:tc>
        <w:tc>
          <w:tcPr>
            <w:tcW w:type="dxa" w:w="2808"/>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Diagnosis</w:t>
            </w:r>
          </w:p>
        </w:tc>
        <w:tc>
          <w:tcPr>
            <w:tcW w:type="dxa" w:w="4012"/>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Solution</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243 human miRNA seeds differ between miRBase 22 and 23</w:t>
            </w:r>
          </w:p>
        </w:tc>
        <w:tc>
          <w:tcPr>
            <w:tcW w:type="dxa" w:w="28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5′ end re-annotation renumbers positions 2–8; not different miRNAs</w:t>
            </w:r>
          </w:p>
        </w:tc>
        <w:tc>
          <w:tcPr>
            <w:tcW w:type="dxa" w:w="40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Key miRNAs by accession, join TargetScan by seed family, flag changed seeds in the output</w:t>
            </w:r>
          </w:p>
        </w:tc>
      </w:tr>
      <w:tr>
        <w:tc>
          <w:tcPr>
            <w:tcW w:type="dxa" w:w="22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TargetScan's miRBase release was unknown</w:t>
            </w:r>
          </w:p>
        </w:tc>
        <w:tc>
          <w:tcPr>
            <w:tcW w:type="dxa" w:w="28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Measured seed agreement against both R22 and R23: 99.84% with R22</w:t>
            </w:r>
          </w:p>
        </w:tc>
        <w:tc>
          <w:tcPr>
            <w:tcW w:type="dxa" w:w="401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Treat TargetScan as a v22-era resource and bridge by accession, reporting the 2.8% that cannot be bridged</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TargetScan and MANE use different gene identifiers</w:t>
            </w:r>
          </w:p>
        </w:tc>
        <w:tc>
          <w:tcPr>
            <w:tcW w:type="dxa" w:w="28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Measured three join keys; Ensembl gene best at 18,187</w:t>
            </w:r>
          </w:p>
        </w:tc>
        <w:tc>
          <w:tcPr>
            <w:tcW w:type="dxa" w:w="40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Resolver cascade (Ensembl gene → symbol → alias) reaching 95.5%</w:t>
            </w:r>
          </w:p>
        </w:tc>
      </w:tr>
      <w:tr>
        <w:tc>
          <w:tcPr>
            <w:tcW w:type="dxa" w:w="22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TargetScan scores a different transcript for 38.7% of genes</w:t>
            </w:r>
          </w:p>
        </w:tc>
        <w:tc>
          <w:tcPr>
            <w:tcW w:type="dxa" w:w="28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Its representative transcript is chosen by 3P-seq, not by MANE</w:t>
            </w:r>
          </w:p>
        </w:tc>
        <w:tc>
          <w:tcPr>
            <w:tcW w:type="dxa" w:w="401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Join and display at gene level only; never show a TargetScan position</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22.5% of miRTarBase evidence rows unresolvable</w:t>
            </w:r>
          </w:p>
        </w:tc>
        <w:tc>
          <w:tcPr>
            <w:tcW w:type="dxa" w:w="28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Papers from 2010–2013 use pre-suffix names; miRBase serves only v20–v22</w:t>
            </w:r>
          </w:p>
        </w:tc>
        <w:tc>
          <w:tcPr>
            <w:tcW w:type="dxa" w:w="40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Export historical names from miRBaseConverter across 22 releases; residual falls to 4.6%</w:t>
            </w:r>
          </w:p>
        </w:tc>
      </w:tr>
      <w:tr>
        <w:tc>
          <w:tcPr>
            <w:tcW w:type="dxa" w:w="22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149,049 rows still unresolved after that</w:t>
            </w:r>
          </w:p>
        </w:tc>
        <w:tc>
          <w:tcPr>
            <w:tcW w:type="dxa" w:w="28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They are miRNAs deleted in Release 23</w:t>
            </w:r>
          </w:p>
        </w:tc>
        <w:tc>
          <w:tcPr>
            <w:tcW w:type="dxa" w:w="401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Report as retired, not as absent — a fact about the namespace, not about the data</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miRTarBase page says Release 11.0 but serves 10.0</w:t>
            </w:r>
          </w:p>
        </w:tc>
        <w:tc>
          <w:tcPr>
            <w:tcW w:type="dxa" w:w="28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Every link resolves to /10.0/; /11.0/ returns 404</w:t>
            </w:r>
          </w:p>
        </w:tc>
        <w:tc>
          <w:tcPr>
            <w:tcW w:type="dxa" w:w="40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Record 10.0, which is what is loaded</w:t>
            </w:r>
          </w:p>
        </w:tc>
      </w:tr>
    </w:tbl>
    <w:p>
      <w:pPr>
        <w:pStyle w:val="Heading2"/>
        <w:spacing w:after="120" w:before="260" w:line="360"/>
      </w:pPr>
      <w:r>
        <w:rPr>
          <w:rFonts w:ascii="Times New Roman" w:cs="Times New Roman" w:eastAsia="Times New Roman" w:hAnsi="Times New Roman"/>
          <w:b/>
          <w:bCs/>
          <w:color w:val="2E5496"/>
          <w:sz w:val="26"/>
          <w:szCs w:val="26"/>
        </w:rPr>
        <w:t xml:space="preserve">RNAhybrid</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2206"/>
        <w:gridCol w:w="2808"/>
        <w:gridCol w:w="4012"/>
      </w:tblGrid>
      <w:tr>
        <w:trPr>
          <w:tblHeader/>
        </w:trPr>
        <w:tc>
          <w:tcPr>
            <w:tcW w:type="dxa" w:w="2206"/>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Problem</w:t>
            </w:r>
          </w:p>
        </w:tc>
        <w:tc>
          <w:tcPr>
            <w:tcW w:type="dxa" w:w="2808"/>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Diagnosis</w:t>
            </w:r>
          </w:p>
        </w:tc>
        <w:tc>
          <w:tcPr>
            <w:tcW w:type="dxa" w:w="4012"/>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Solution</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Sequence lengths came back one or two nucleotides short</w:t>
            </w:r>
          </w:p>
        </w:tc>
        <w:tc>
          <w:tcPr>
            <w:tcW w:type="dxa" w:w="28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Unwrapped FASTA on a single long line</w:t>
            </w:r>
          </w:p>
        </w:tc>
        <w:tc>
          <w:tcPr>
            <w:tcW w:type="dxa" w:w="40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Wrap at 60 characters and assert the reported length matches</w:t>
            </w:r>
          </w:p>
        </w:tc>
      </w:tr>
      <w:tr>
        <w:tc>
          <w:tcPr>
            <w:tcW w:type="dxa" w:w="22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Long transcripts produced no output at all</w:t>
            </w:r>
          </w:p>
        </w:tc>
        <w:tc>
          <w:tcPr>
            <w:tcW w:type="dxa" w:w="28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"target too long" written to stderr, invisible to a stdout reader</w:t>
            </w:r>
          </w:p>
        </w:tc>
        <w:tc>
          <w:tcPr>
            <w:tcW w:type="dxa" w:w="401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Pass -m, and capture stderr</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Decoy sites outranked the real 8mer</w:t>
            </w:r>
          </w:p>
        </w:tc>
        <w:tc>
          <w:tcPr>
            <w:tcW w:type="dxa" w:w="28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Ranking by folding energy alone; the true site was fifth</w:t>
            </w:r>
          </w:p>
        </w:tc>
        <w:tc>
          <w:tcPr>
            <w:tcW w:type="dxa" w:w="40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Pass -f 2,7 to force a seed-anchored helix</w:t>
            </w:r>
          </w:p>
        </w:tc>
      </w:tr>
      <w:tr>
        <w:tc>
          <w:tcPr>
            <w:tcW w:type="dxa" w:w="22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Absence of a hit looked like a perfect hit</w:t>
            </w:r>
          </w:p>
        </w:tc>
        <w:tc>
          <w:tcPr>
            <w:tcW w:type="dxa" w:w="28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 hit is reported as mfe 0.0 at position 0</w:t>
            </w:r>
          </w:p>
        </w:tc>
        <w:tc>
          <w:tcPr>
            <w:tcW w:type="dxa" w:w="401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Treat that combination as no hit</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Parallel version slower than serial</w:t>
            </w:r>
          </w:p>
        </w:tc>
        <w:tc>
          <w:tcPr>
            <w:tcW w:type="dxa" w:w="28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64 kB pipe buffer blocked eleven workers</w:t>
            </w:r>
          </w:p>
        </w:tc>
        <w:tc>
          <w:tcPr>
            <w:tcW w:type="dxa" w:w="40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Each worker writes its own file</w:t>
            </w:r>
          </w:p>
        </w:tc>
      </w:tr>
      <w:tr>
        <w:tc>
          <w:tcPr>
            <w:tcW w:type="dxa" w:w="22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 housekeeping gene outscored the validated target</w:t>
            </w:r>
          </w:p>
        </w:tc>
        <w:tc>
          <w:tcPr>
            <w:tcW w:type="dxa" w:w="28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G:U wobbles permitted inside the forced helix</w:t>
            </w:r>
          </w:p>
        </w:tc>
        <w:tc>
          <w:tcPr>
            <w:tcW w:type="dxa" w:w="401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Keep it — but never combine scores across tools; this is the evidence for that rule</w:t>
            </w:r>
          </w:p>
        </w:tc>
      </w:tr>
    </w:tbl>
    <w:p>
      <w:pPr>
        <w:pStyle w:val="Heading2"/>
        <w:spacing w:after="120" w:before="260" w:line="360"/>
      </w:pPr>
      <w:r>
        <w:rPr>
          <w:rFonts w:ascii="Times New Roman" w:cs="Times New Roman" w:eastAsia="Times New Roman" w:hAnsi="Times New Roman"/>
          <w:b/>
          <w:bCs/>
          <w:color w:val="2E5496"/>
          <w:sz w:val="26"/>
          <w:szCs w:val="26"/>
        </w:rPr>
        <w:t xml:space="preserve">Orchestration and API</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2206"/>
        <w:gridCol w:w="2808"/>
        <w:gridCol w:w="4012"/>
      </w:tblGrid>
      <w:tr>
        <w:trPr>
          <w:tblHeader/>
        </w:trPr>
        <w:tc>
          <w:tcPr>
            <w:tcW w:type="dxa" w:w="2206"/>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Problem</w:t>
            </w:r>
          </w:p>
        </w:tc>
        <w:tc>
          <w:tcPr>
            <w:tcW w:type="dxa" w:w="2808"/>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Diagnosis</w:t>
            </w:r>
          </w:p>
        </w:tc>
        <w:tc>
          <w:tcPr>
            <w:tcW w:type="dxa" w:w="4012"/>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Solution</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Every tool reported "ok, 0 results" on the API's first request</w:t>
            </w:r>
          </w:p>
        </w:tc>
        <w:tc>
          <w:tcPr>
            <w:tcW w:type="dxa" w:w="28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create_job never resolved gene identifiers; the CLI had been doing it by hand</w:t>
            </w:r>
          </w:p>
        </w:tc>
        <w:tc>
          <w:tcPr>
            <w:tcW w:type="dxa" w:w="40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Resolve at the gate, so API and CLI validate identically</w:t>
            </w:r>
          </w:p>
        </w:tc>
      </w:tr>
      <w:tr>
        <w:tc>
          <w:tcPr>
            <w:tcW w:type="dxa" w:w="22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 job could report success having scanned nothing</w:t>
            </w:r>
          </w:p>
        </w:tc>
        <w:tc>
          <w:tcPr>
            <w:tcW w:type="dxa" w:w="28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 check on an empty target set</w:t>
            </w:r>
          </w:p>
        </w:tc>
        <w:tc>
          <w:tcPr>
            <w:tcW w:type="dxa" w:w="401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run_job refuses to report ok when the target set is empty</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Unknown tool names failed minutes later in the worker</w:t>
            </w:r>
          </w:p>
        </w:tc>
        <w:tc>
          <w:tcPr>
            <w:tcW w:type="dxa" w:w="28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Validation happened at run time</w:t>
            </w:r>
          </w:p>
        </w:tc>
        <w:tc>
          <w:tcPr>
            <w:tcW w:type="dxa" w:w="40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Reject at creation</w:t>
            </w:r>
          </w:p>
        </w:tc>
      </w:tr>
      <w:tr>
        <w:tc>
          <w:tcPr>
            <w:tcW w:type="dxa" w:w="22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Occasional database lock errors from the API</w:t>
            </w:r>
          </w:p>
        </w:tc>
        <w:tc>
          <w:tcPr>
            <w:tcW w:type="dxa" w:w="28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busy_timeout set only in the worker</w:t>
            </w:r>
          </w:p>
        </w:tc>
        <w:tc>
          <w:tcPr>
            <w:tcW w:type="dxa" w:w="401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Set it in db.connect(), which every caller uses</w:t>
            </w:r>
          </w:p>
        </w:tc>
      </w:tr>
    </w:tbl>
    <w:p>
      <w:pPr>
        <w:pStyle w:val="Heading2"/>
        <w:spacing w:after="120" w:before="260" w:line="360"/>
      </w:pPr>
      <w:r>
        <w:rPr>
          <w:rFonts w:ascii="Times New Roman" w:cs="Times New Roman" w:eastAsia="Times New Roman" w:hAnsi="Times New Roman"/>
          <w:b/>
          <w:bCs/>
          <w:color w:val="2E5496"/>
          <w:sz w:val="26"/>
          <w:szCs w:val="26"/>
        </w:rPr>
        <w:t xml:space="preserve">Export and reporting</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2206"/>
        <w:gridCol w:w="2808"/>
        <w:gridCol w:w="4012"/>
      </w:tblGrid>
      <w:tr>
        <w:trPr>
          <w:tblHeader/>
        </w:trPr>
        <w:tc>
          <w:tcPr>
            <w:tcW w:type="dxa" w:w="2206"/>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Problem</w:t>
            </w:r>
          </w:p>
        </w:tc>
        <w:tc>
          <w:tcPr>
            <w:tcW w:type="dxa" w:w="2808"/>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Diagnosis</w:t>
            </w:r>
          </w:p>
        </w:tc>
        <w:tc>
          <w:tcPr>
            <w:tcW w:type="dxa" w:w="4012"/>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Solution</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Report HTML unreachable at its URL</w:t>
            </w:r>
          </w:p>
        </w:tc>
        <w:tc>
          <w:tcPr>
            <w:tcW w:type="dxa" w:w="28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FastAPI matches routes in declaration order; /reports/{id} swallowed "rep_abc.html"</w:t>
            </w:r>
          </w:p>
        </w:tc>
        <w:tc>
          <w:tcPr>
            <w:tcW w:type="dxa" w:w="40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Declare the more specific .html route first</w:t>
            </w:r>
          </w:p>
        </w:tc>
      </w:tr>
      <w:tr>
        <w:tc>
          <w:tcPr>
            <w:tcW w:type="dxa" w:w="22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 17-page report from a nine-gene job</w:t>
            </w:r>
          </w:p>
        </w:tc>
        <w:tc>
          <w:tcPr>
            <w:tcW w:type="dxa" w:w="28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Every one of 232 GO:BP terms printed</w:t>
            </w:r>
          </w:p>
        </w:tc>
        <w:tc>
          <w:tcPr>
            <w:tcW w:type="dxa" w:w="401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Cap at 20 terms per ontology, state the full count, point to the TSV</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Excel sheet unreadable: 33 columns of alignment strings</w:t>
            </w:r>
          </w:p>
        </w:tc>
        <w:tc>
          <w:tcPr>
            <w:tcW w:type="dxa" w:w="28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Long-format rows designed for R opened in a spreadsheet</w:t>
            </w:r>
          </w:p>
        </w:tc>
        <w:tc>
          <w:tcPr>
            <w:tcW w:type="dxa" w:w="40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Pivot to one row per gene with tools across the columns; move per-site detail to a second sheet</w:t>
            </w:r>
          </w:p>
        </w:tc>
      </w:tr>
      <w:tr>
        <w:tc>
          <w:tcPr>
            <w:tcW w:type="dxa" w:w="22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JSON visible inside TSV cells</w:t>
            </w:r>
          </w:p>
        </w:tc>
        <w:tc>
          <w:tcPr>
            <w:tcW w:type="dxa" w:w="28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The stored extra object was written verbatim</w:t>
            </w:r>
          </w:p>
        </w:tc>
        <w:tc>
          <w:tcPr>
            <w:tcW w:type="dxa" w:w="401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Spread it into named columns; no export contains JSON</w:t>
            </w:r>
          </w:p>
        </w:tc>
      </w:tr>
      <w:tr>
        <w:tc>
          <w:tcPr>
            <w:tcW w:type="dxa" w:w="22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Worker crashed if started before the API</w:t>
            </w:r>
          </w:p>
        </w:tc>
        <w:tc>
          <w:tcPr>
            <w:tcW w:type="dxa" w:w="28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It opened a raw connection without applying the schema</w:t>
            </w:r>
          </w:p>
        </w:tc>
        <w:tc>
          <w:tcPr>
            <w:tcW w:type="dxa" w:w="4012"/>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Connect through db.connect(), which applies the schema</w:t>
            </w:r>
          </w:p>
        </w:tc>
      </w:tr>
      <w:tr>
        <w:tc>
          <w:tcPr>
            <w:tcW w:type="dxa" w:w="22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Streaming export would fail mid-download</w:t>
            </w:r>
          </w:p>
        </w:tc>
        <w:tc>
          <w:tcPr>
            <w:tcW w:type="dxa" w:w="28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Since FastAPI 0.106 a yield dependency closes before the streaming body is sent</w:t>
            </w:r>
          </w:p>
        </w:tc>
        <w:tc>
          <w:tcPr>
            <w:tcW w:type="dxa" w:w="4012"/>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Materialise the rows before streaming; noted for a future true-streaming export</w:t>
            </w:r>
          </w:p>
        </w:tc>
      </w:tr>
    </w:tbl>
    <w:p>
      <w:r>
        <w:br w:type="page"/>
      </w:r>
    </w:p>
    <w:p>
      <w:pPr>
        <w:pStyle w:val="Heading1"/>
        <w:spacing w:after="160" w:before="360" w:line="360"/>
      </w:pPr>
      <w:r>
        <w:rPr>
          <w:rFonts w:ascii="Times New Roman" w:cs="Times New Roman" w:eastAsia="Times New Roman" w:hAnsi="Times New Roman"/>
          <w:b/>
          <w:bCs/>
          <w:color w:val="1F3864"/>
          <w:sz w:val="32"/>
          <w:szCs w:val="32"/>
        </w:rPr>
        <w:t xml:space="preserve">17. Design decisions and the reasoning behind them</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2608"/>
        <w:gridCol w:w="6418"/>
      </w:tblGrid>
      <w:tr>
        <w:trPr>
          <w:tblHeader/>
        </w:trPr>
        <w:tc>
          <w:tcPr>
            <w:tcW w:type="dxa" w:w="2608"/>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Decision</w:t>
            </w:r>
          </w:p>
        </w:tc>
        <w:tc>
          <w:tcPr>
            <w:tcW w:type="dxa" w:w="6418"/>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Reasoning</w:t>
            </w:r>
          </w:p>
        </w:tc>
      </w:tr>
      <w:tr>
        <w:tc>
          <w:tcPr>
            <w:tcW w:type="dxa" w:w="26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 unified score, ever</w:t>
            </w:r>
          </w:p>
        </w:tc>
        <w:tc>
          <w:tcPr>
            <w:tcW w:type="dxa" w:w="641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Tool scores use different units and different scales. The PTEN case (section 14) shows a combined score would have ranked the most-validated target in the set last. Users filter and compare per tool instead</w:t>
            </w:r>
          </w:p>
        </w:tc>
      </w:tr>
      <w:tr>
        <w:tc>
          <w:tcPr>
            <w:tcW w:type="dxa" w:w="26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Key miRNAs by accession, not name</w:t>
            </w:r>
          </w:p>
        </w:tc>
        <w:tc>
          <w:tcPr>
            <w:tcW w:type="dxa" w:w="641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243 human seeds changed between two consecutive miRBase releases; names are not stable identifiers</w:t>
            </w:r>
          </w:p>
        </w:tc>
      </w:tr>
      <w:tr>
        <w:tc>
          <w:tcPr>
            <w:tcW w:type="dxa" w:w="26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MANE Select as the single transcript backbone</w:t>
            </w:r>
          </w:p>
        </w:tc>
        <w:tc>
          <w:tcPr>
            <w:tcW w:type="dxa" w:w="641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 position means nothing without the sequence it was measured on. One agreed transcript per gene makes two tools' positions comparable</w:t>
            </w:r>
          </w:p>
        </w:tc>
      </w:tr>
      <w:tr>
        <w:tc>
          <w:tcPr>
            <w:tcW w:type="dxa" w:w="26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TargetScan joined at gene level</w:t>
            </w:r>
          </w:p>
        </w:tc>
        <w:tc>
          <w:tcPr>
            <w:tcW w:type="dxa" w:w="641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Its representative transcript differs from MANE for 38.7% of genes, so its positions are not comparable with ours</w:t>
            </w:r>
          </w:p>
        </w:tc>
      </w:tr>
      <w:tr>
        <w:tc>
          <w:tcPr>
            <w:tcW w:type="dxa" w:w="26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Seed matching computed live, never precomputed</w:t>
            </w:r>
          </w:p>
        </w:tc>
        <w:tc>
          <w:tcPr>
            <w:tcW w:type="dxa" w:w="641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Measured at 0.17 s for a full transcriptome scan. A precomputed miRNA × transcript matrix would be large, quickly stale, and unnecessary</w:t>
            </w:r>
          </w:p>
        </w:tc>
      </w:tr>
      <w:tr>
        <w:tc>
          <w:tcPr>
            <w:tcW w:type="dxa" w:w="26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RNAhybrid results cached after computation</w:t>
            </w:r>
          </w:p>
        </w:tc>
        <w:tc>
          <w:tcPr>
            <w:tcW w:type="dxa" w:w="641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803 s serial, 231 s parallel. Slow enough to be worth storing</w:t>
            </w:r>
          </w:p>
        </w:tc>
      </w:tr>
      <w:tr>
        <w:tc>
          <w:tcPr>
            <w:tcW w:type="dxa" w:w="26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Everything slow is queued</w:t>
            </w:r>
          </w:p>
        </w:tc>
        <w:tc>
          <w:tcPr>
            <w:tcW w:type="dxa" w:w="641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 13.5-minute job cannot be an HTTP request. One code path rather than a fast path that behaves differently</w:t>
            </w:r>
          </w:p>
        </w:tc>
      </w:tr>
      <w:tr>
        <w:tc>
          <w:tcPr>
            <w:tcW w:type="dxa" w:w="26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Nothing is ever deleted</w:t>
            </w:r>
          </w:p>
        </w:tc>
        <w:tc>
          <w:tcPr>
            <w:tcW w:type="dxa" w:w="641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Old runs produced old scientific results. Staleness is derived by comparison, not by destruction</w:t>
            </w:r>
          </w:p>
        </w:tc>
      </w:tr>
      <w:tr>
        <w:tc>
          <w:tcPr>
            <w:tcW w:type="dxa" w:w="26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Store the four hypergeometric integers per term</w:t>
            </w:r>
          </w:p>
        </w:tc>
        <w:tc>
          <w:tcPr>
            <w:tcW w:type="dxa" w:w="641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Each ontology annotates a different part of the genome, so one pair per run would make every p-value unrecomputable</w:t>
            </w:r>
          </w:p>
        </w:tc>
      </w:tr>
      <w:tr>
        <w:tc>
          <w:tcPr>
            <w:tcW w:type="dxa" w:w="26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Background is every MANE Select gene, always</w:t>
            </w:r>
          </w:p>
        </w:tc>
        <w:tc>
          <w:tcPr>
            <w:tcW w:type="dxa" w:w="641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The 3′UTR-length alternative was measured: 18,622 versus 19,363 at ≥50 nt, a 3.8% difference — too small to justify the extra explanation</w:t>
            </w:r>
          </w:p>
        </w:tc>
      </w:tr>
      <w:tr>
        <w:tc>
          <w:tcPr>
            <w:tcW w:type="dxa" w:w="26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Default gene list is TargetScan conserved sites</w:t>
            </w:r>
          </w:p>
        </w:tc>
        <w:tc>
          <w:tcPr>
            <w:tcW w:type="dxa" w:w="641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Measured against ten alternatives. An 8mer-only list gives zero enriched terms; the intersection with the seed scan adds nothing (empirical p ≈ 0.36)</w:t>
            </w:r>
          </w:p>
        </w:tc>
      </w:tr>
      <w:tr>
        <w:tc>
          <w:tcPr>
            <w:tcW w:type="dxa" w:w="26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6mer sites stored but hidden by default</w:t>
            </w:r>
          </w:p>
        </w:tc>
        <w:tc>
          <w:tcPr>
            <w:tcW w:type="dxa" w:w="641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They are real matches but poor predictors. Hiding is a display decision; discarding would be a data decision</w:t>
            </w:r>
          </w:p>
        </w:tc>
      </w:tr>
      <w:tr>
        <w:tc>
          <w:tcPr>
            <w:tcW w:type="dxa" w:w="26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The frontend holds no biology</w:t>
            </w:r>
          </w:p>
        </w:tc>
        <w:tc>
          <w:tcPr>
            <w:tcW w:type="dxa" w:w="641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Ranking comes from /tools, direction from META, versions from /about. Adding a tool changes no frontend code</w:t>
            </w:r>
          </w:p>
        </w:tc>
      </w:tr>
      <w:tr>
        <w:tc>
          <w:tcPr>
            <w:tcW w:type="dxa" w:w="26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Vendor the network library</w:t>
            </w:r>
          </w:p>
        </w:tc>
        <w:tc>
          <w:tcPr>
            <w:tcW w:type="dxa" w:w="641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Works offline, survives a CDN outage, and a pinned local copy is the only version claim that stays true</w:t>
            </w:r>
          </w:p>
        </w:tc>
      </w:tr>
      <w:tr>
        <w:tc>
          <w:tcPr>
            <w:tcW w:type="dxa" w:w="26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Report figures are static SVG</w:t>
            </w:r>
          </w:p>
        </w:tc>
        <w:tc>
          <w:tcPr>
            <w:tcW w:type="dxa" w:w="641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Keeps the report one self-contained file, prints at print resolution, and gives a deterministic layout for a citable figure</w:t>
            </w:r>
          </w:p>
        </w:tc>
      </w:tr>
    </w:tbl>
    <w:p>
      <w:pPr>
        <w:pStyle w:val="Heading1"/>
        <w:spacing w:after="160" w:before="360" w:line="360"/>
      </w:pPr>
      <w:r>
        <w:rPr>
          <w:rFonts w:ascii="Times New Roman" w:cs="Times New Roman" w:eastAsia="Times New Roman" w:hAnsi="Times New Roman"/>
          <w:b/>
          <w:bCs/>
          <w:color w:val="1F3864"/>
          <w:sz w:val="32"/>
          <w:szCs w:val="32"/>
        </w:rPr>
        <w:t xml:space="preserve">18. Known limitations, stated plainly</w:t>
      </w:r>
    </w:p>
    <w:p>
      <w:pPr>
        <w:pStyle w:val="Heading2"/>
        <w:spacing w:after="120" w:before="260" w:line="360"/>
      </w:pPr>
      <w:r>
        <w:rPr>
          <w:rFonts w:ascii="Times New Roman" w:cs="Times New Roman" w:eastAsia="Times New Roman" w:hAnsi="Times New Roman"/>
          <w:b/>
          <w:bCs/>
          <w:color w:val="2E5496"/>
          <w:sz w:val="26"/>
          <w:szCs w:val="26"/>
        </w:rPr>
        <w:t xml:space="preserve">Scientific</w:t>
      </w:r>
    </w:p>
    <w:p>
      <w:pPr>
        <w:pStyle w:val="ListParagraph"/>
        <w:numPr>
          <w:ilvl w:val="0"/>
          <w:numId w:val="2"/>
        </w:numPr>
        <w:spacing w:after="80" w:line="360"/>
      </w:pPr>
      <w:r>
        <w:rPr>
          <w:rFonts w:ascii="Times New Roman" w:cs="Times New Roman" w:eastAsia="Times New Roman" w:hAnsi="Times New Roman"/>
          <w:sz w:val="24"/>
          <w:szCs w:val="24"/>
        </w:rPr>
        <w:t xml:space="preserve">No benchmark has been run. Validation shows recall on known positives only; precision and false-positive rate are unmeasured. The scripts exist.</w:t>
      </w:r>
    </w:p>
    <w:p>
      <w:pPr>
        <w:pStyle w:val="ListParagraph"/>
        <w:numPr>
          <w:ilvl w:val="0"/>
          <w:numId w:val="2"/>
        </w:numPr>
        <w:spacing w:after="80" w:line="360"/>
      </w:pPr>
      <w:r>
        <w:rPr>
          <w:rFonts w:ascii="Times New Roman" w:cs="Times New Roman" w:eastAsia="Times New Roman" w:hAnsi="Times New Roman"/>
          <w:sz w:val="24"/>
          <w:szCs w:val="24"/>
        </w:rPr>
        <w:t xml:space="preserve">Region counts must not be read as binding preference. Measured: 6mer density is equal across regions (real 3′UTR:CDS = 1.04×, shuffled = 0.94×), and for hsa-miR-21-5p the real 7mer+ enrichment of 2.44× sits inside the range produced by shuffling the same six bases (median 1.62×, range 0.72–2.80). Counting sequence matches cannot demonstrate regional preference; functional 3′UTR enrichment is established from repression data, not match counts.</w:t>
      </w:r>
    </w:p>
    <w:p>
      <w:pPr>
        <w:pStyle w:val="ListParagraph"/>
        <w:numPr>
          <w:ilvl w:val="0"/>
          <w:numId w:val="2"/>
        </w:numPr>
        <w:spacing w:after="80" w:line="360"/>
      </w:pPr>
      <w:r>
        <w:rPr>
          <w:rFonts w:ascii="Times New Roman" w:cs="Times New Roman" w:eastAsia="Times New Roman" w:hAnsi="Times New Roman"/>
          <w:sz w:val="24"/>
          <w:szCs w:val="24"/>
        </w:rPr>
        <w:t xml:space="preserve">The 3′UTR-length bias in the enrichment background is documented, not fixed. miRNA targets have long 3′UTRs, and long-3′UTR genes are enriched for transcription factors and developmental regulators. Fixing this needs length-matched sampling.</w:t>
      </w:r>
    </w:p>
    <w:p>
      <w:pPr>
        <w:pStyle w:val="ListParagraph"/>
        <w:numPr>
          <w:ilvl w:val="0"/>
          <w:numId w:val="2"/>
        </w:numPr>
        <w:spacing w:after="80" w:line="360"/>
      </w:pPr>
      <w:r>
        <w:rPr>
          <w:rFonts w:ascii="Times New Roman" w:cs="Times New Roman" w:eastAsia="Times New Roman" w:hAnsi="Times New Roman"/>
          <w:sz w:val="24"/>
          <w:szCs w:val="24"/>
        </w:rPr>
        <w:t xml:space="preserve">The RNAhybrid energy threshold favours long transcripts, and that confound has not been quantified for MFE.</w:t>
      </w:r>
    </w:p>
    <w:p>
      <w:pPr>
        <w:pStyle w:val="ListParagraph"/>
        <w:numPr>
          <w:ilvl w:val="0"/>
          <w:numId w:val="2"/>
        </w:numPr>
        <w:spacing w:after="80" w:line="360"/>
      </w:pPr>
      <w:r>
        <w:rPr>
          <w:rFonts w:ascii="Times New Roman" w:cs="Times New Roman" w:eastAsia="Times New Roman" w:hAnsi="Times New Roman"/>
          <w:sz w:val="24"/>
          <w:szCs w:val="24"/>
        </w:rPr>
        <w:t xml:space="preserve">Enrichment on a few hundred genes is unstable — random subsets of the same list gave a 33-fold range in term count.</w:t>
      </w:r>
    </w:p>
    <w:p>
      <w:pPr>
        <w:pStyle w:val="ListParagraph"/>
        <w:numPr>
          <w:ilvl w:val="0"/>
          <w:numId w:val="2"/>
        </w:numPr>
        <w:spacing w:after="80" w:line="360"/>
      </w:pPr>
      <w:r>
        <w:rPr>
          <w:rFonts w:ascii="Times New Roman" w:cs="Times New Roman" w:eastAsia="Times New Roman" w:hAnsi="Times New Roman"/>
          <w:sz w:val="24"/>
          <w:szCs w:val="24"/>
        </w:rPr>
        <w:t xml:space="preserve">Experiment counts measure attention as well as biology. A famous gene accumulates papers.</w:t>
      </w:r>
    </w:p>
    <w:p>
      <w:pPr>
        <w:pStyle w:val="Heading2"/>
        <w:spacing w:after="120" w:before="260" w:line="360"/>
      </w:pPr>
      <w:r>
        <w:rPr>
          <w:rFonts w:ascii="Times New Roman" w:cs="Times New Roman" w:eastAsia="Times New Roman" w:hAnsi="Times New Roman"/>
          <w:b/>
          <w:bCs/>
          <w:color w:val="2E5496"/>
          <w:sz w:val="26"/>
          <w:szCs w:val="26"/>
        </w:rPr>
        <w:t xml:space="preserve">Data coverage</w:t>
      </w:r>
    </w:p>
    <w:p>
      <w:pPr>
        <w:pStyle w:val="ListParagraph"/>
        <w:numPr>
          <w:ilvl w:val="0"/>
          <w:numId w:val="2"/>
        </w:numPr>
        <w:spacing w:after="80" w:line="360"/>
      </w:pPr>
      <w:r>
        <w:rPr>
          <w:rFonts w:ascii="Times New Roman" w:cs="Times New Roman" w:eastAsia="Times New Roman" w:hAnsi="Times New Roman"/>
          <w:sz w:val="24"/>
          <w:szCs w:val="24"/>
        </w:rPr>
        <w:t xml:space="preserve">184,409 miRTarBase evidence rows remain unresolved; 149,049 of them are miRNAs deleted in Release 23 and are correctly reported as retired.</w:t>
      </w:r>
    </w:p>
    <w:p>
      <w:pPr>
        <w:pStyle w:val="ListParagraph"/>
        <w:numPr>
          <w:ilvl w:val="0"/>
          <w:numId w:val="2"/>
        </w:numPr>
        <w:spacing w:after="80" w:line="360"/>
      </w:pPr>
      <w:r>
        <w:rPr>
          <w:rFonts w:ascii="Times New Roman" w:cs="Times New Roman" w:eastAsia="Times New Roman" w:hAnsi="Times New Roman"/>
          <w:sz w:val="24"/>
          <w:szCs w:val="24"/>
        </w:rPr>
        <w:t xml:space="preserve">287 human miRNAs postdate TargetScan v8.0 and therefore have no TargetScan prediction.</w:t>
      </w:r>
    </w:p>
    <w:p>
      <w:pPr>
        <w:pStyle w:val="ListParagraph"/>
        <w:numPr>
          <w:ilvl w:val="0"/>
          <w:numId w:val="2"/>
        </w:numPr>
        <w:spacing w:after="80" w:line="360"/>
      </w:pPr>
      <w:r>
        <w:rPr>
          <w:rFonts w:ascii="Times New Roman" w:cs="Times New Roman" w:eastAsia="Times New Roman" w:hAnsi="Times New Roman"/>
          <w:sz w:val="24"/>
          <w:szCs w:val="24"/>
        </w:rPr>
        <w:t xml:space="preserve">73 TargetScan accessions (2.8%) cannot be bridged to Release 23 at all.</w:t>
      </w:r>
    </w:p>
    <w:p>
      <w:pPr>
        <w:pStyle w:val="ListParagraph"/>
        <w:numPr>
          <w:ilvl w:val="0"/>
          <w:numId w:val="2"/>
        </w:numPr>
        <w:spacing w:after="80" w:line="360"/>
      </w:pPr>
      <w:r>
        <w:rPr>
          <w:rFonts w:ascii="Times New Roman" w:cs="Times New Roman" w:eastAsia="Times New Roman" w:hAnsi="Times New Roman"/>
          <w:sz w:val="24"/>
          <w:szCs w:val="24"/>
        </w:rPr>
        <w:t xml:space="preserve">881 TargetScan genes (4.5%) did not resolve to a MANE gene.</w:t>
      </w:r>
    </w:p>
    <w:p>
      <w:pPr>
        <w:pStyle w:val="Heading2"/>
        <w:spacing w:after="120" w:before="260" w:line="360"/>
      </w:pPr>
      <w:r>
        <w:rPr>
          <w:rFonts w:ascii="Times New Roman" w:cs="Times New Roman" w:eastAsia="Times New Roman" w:hAnsi="Times New Roman"/>
          <w:b/>
          <w:bCs/>
          <w:color w:val="2E5496"/>
          <w:sz w:val="26"/>
          <w:szCs w:val="26"/>
        </w:rPr>
        <w:t xml:space="preserve">Engineering</w:t>
      </w:r>
    </w:p>
    <w:p>
      <w:pPr>
        <w:pStyle w:val="ListParagraph"/>
        <w:numPr>
          <w:ilvl w:val="0"/>
          <w:numId w:val="2"/>
        </w:numPr>
        <w:spacing w:after="80" w:line="360"/>
      </w:pPr>
      <w:r>
        <w:rPr>
          <w:rFonts w:ascii="Times New Roman" w:cs="Times New Roman" w:eastAsia="Times New Roman" w:hAnsi="Times New Roman"/>
          <w:sz w:val="24"/>
          <w:szCs w:val="24"/>
        </w:rPr>
        <w:t xml:space="preserve">No authentication, no rate limiting and no CORS configuration. Adequate for local use; not for a public server.</w:t>
      </w:r>
    </w:p>
    <w:p>
      <w:pPr>
        <w:pStyle w:val="ListParagraph"/>
        <w:numPr>
          <w:ilvl w:val="0"/>
          <w:numId w:val="2"/>
        </w:numPr>
        <w:spacing w:after="80" w:line="360"/>
      </w:pPr>
      <w:r>
        <w:rPr>
          <w:rFonts w:ascii="Times New Roman" w:cs="Times New Roman" w:eastAsia="Times New Roman" w:hAnsi="Times New Roman"/>
          <w:sz w:val="24"/>
          <w:szCs w:val="24"/>
        </w:rPr>
        <w:t xml:space="preserve">The API declares no response models, so the interactive documentation shows a generic string for every 200 response body.</w:t>
      </w:r>
    </w:p>
    <w:p>
      <w:pPr>
        <w:pStyle w:val="ListParagraph"/>
        <w:numPr>
          <w:ilvl w:val="0"/>
          <w:numId w:val="2"/>
        </w:numPr>
        <w:spacing w:after="80" w:line="360"/>
      </w:pPr>
      <w:r>
        <w:rPr>
          <w:rFonts w:ascii="Times New Roman" w:cs="Times New Roman" w:eastAsia="Times New Roman" w:hAnsi="Times New Roman"/>
          <w:sz w:val="24"/>
          <w:szCs w:val="24"/>
        </w:rPr>
        <w:t xml:space="preserve">A missing RNAhybrid binary surfaces as a raw FileNotFoundError rather than a readable message.</w:t>
      </w:r>
    </w:p>
    <w:p>
      <w:pPr>
        <w:pStyle w:val="ListParagraph"/>
        <w:numPr>
          <w:ilvl w:val="0"/>
          <w:numId w:val="2"/>
        </w:numPr>
        <w:spacing w:after="80" w:line="360"/>
      </w:pPr>
      <w:r>
        <w:rPr>
          <w:rFonts w:ascii="Times New Roman" w:cs="Times New Roman" w:eastAsia="Times New Roman" w:hAnsi="Times New Roman"/>
          <w:sz w:val="24"/>
          <w:szCs w:val="24"/>
        </w:rPr>
        <w:t xml:space="preserve">There is no single build_all script to rebuild the database from raw downloads in one command.</w:t>
      </w:r>
    </w:p>
    <w:p>
      <w:pPr>
        <w:pStyle w:val="ListParagraph"/>
        <w:numPr>
          <w:ilvl w:val="0"/>
          <w:numId w:val="2"/>
        </w:numPr>
        <w:spacing w:after="80" w:line="360"/>
      </w:pPr>
      <w:r>
        <w:rPr>
          <w:rFonts w:ascii="Times New Roman" w:cs="Times New Roman" w:eastAsia="Times New Roman" w:hAnsi="Times New Roman"/>
          <w:sz w:val="24"/>
          <w:szCs w:val="24"/>
        </w:rPr>
        <w:t xml:space="preserve">The per-tool label field is still deferred; the frontend parses tool-specific JSON in a few places instead.</w:t>
      </w:r>
    </w:p>
    <w:p>
      <w:pPr>
        <w:pStyle w:val="Heading2"/>
        <w:spacing w:after="120" w:before="260" w:line="360"/>
      </w:pPr>
      <w:r>
        <w:rPr>
          <w:rFonts w:ascii="Times New Roman" w:cs="Times New Roman" w:eastAsia="Times New Roman" w:hAnsi="Times New Roman"/>
          <w:b/>
          <w:bCs/>
          <w:color w:val="2E5496"/>
          <w:sz w:val="26"/>
          <w:szCs w:val="26"/>
        </w:rPr>
        <w:t xml:space="preserve">Portability</w:t>
      </w:r>
    </w:p>
    <w:p>
      <w:pPr>
        <w:spacing w:after="120" w:line="360"/>
      </w:pPr>
      <w:r>
        <w:rPr>
          <w:rFonts w:ascii="Times New Roman" w:cs="Times New Roman" w:eastAsia="Times New Roman" w:hAnsi="Times New Roman"/>
          <w:sz w:val="24"/>
          <w:szCs w:val="24"/>
        </w:rPr>
        <w:t xml:space="preserve">Users need only a web browser, on any operating system. The server is effectively Linux-only because of the RNAhybrid binary, which has no official Windows build; everything else in the stack is cross-platform. Docker is the intended answer and belongs to the deployment phase — it would also make the version claims in the provenance block reproducible rather than merely recorded.</w:t>
      </w:r>
    </w:p>
    <w:p>
      <w:pPr>
        <w:pStyle w:val="Heading1"/>
        <w:spacing w:after="160" w:before="360" w:line="360"/>
      </w:pPr>
      <w:r>
        <w:rPr>
          <w:rFonts w:ascii="Times New Roman" w:cs="Times New Roman" w:eastAsia="Times New Roman" w:hAnsi="Times New Roman"/>
          <w:b/>
          <w:bCs/>
          <w:color w:val="1F3864"/>
          <w:sz w:val="32"/>
          <w:szCs w:val="32"/>
        </w:rPr>
        <w:t xml:space="preserve">19. What is not built yet</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2106"/>
        <w:gridCol w:w="1805"/>
        <w:gridCol w:w="5115"/>
      </w:tblGrid>
      <w:tr>
        <w:trPr>
          <w:tblHeader/>
        </w:trPr>
        <w:tc>
          <w:tcPr>
            <w:tcW w:type="dxa" w:w="2106"/>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Component</w:t>
            </w:r>
          </w:p>
        </w:tc>
        <w:tc>
          <w:tcPr>
            <w:tcW w:type="dxa" w:w="1805"/>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State</w:t>
            </w:r>
          </w:p>
        </w:tc>
        <w:tc>
          <w:tcPr>
            <w:tcW w:type="dxa" w:w="5115"/>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What it needs</w:t>
            </w:r>
          </w:p>
        </w:tc>
      </w:tr>
      <w:tr>
        <w:tc>
          <w:tcPr>
            <w:tcW w:type="dxa" w:w="21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Benchmark</w:t>
            </w:r>
          </w:p>
        </w:tc>
        <w:tc>
          <w:tcPr>
            <w:tcW w:type="dxa" w:w="18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Designed; scripts written, not run</w:t>
            </w:r>
          </w:p>
        </w:tc>
        <w:tc>
          <w:tcPr>
            <w:tcW w:type="dxa" w:w="511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Positives from miRTarBase strong-evidence functional pairs restricted to genes with a MANE transcript; negatives both 3′UTR-length-matched and plain random, reported side by side; precision, recall and false-positive rate per tool. miRTarBase itself is excluded from being benchmarked, since it would be scoring its own answer key</w:t>
            </w:r>
          </w:p>
        </w:tc>
      </w:tr>
      <w:tr>
        <w:tc>
          <w:tcPr>
            <w:tcW w:type="dxa" w:w="21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Machine-learning model</w:t>
            </w:r>
          </w:p>
        </w:tc>
        <w:tc>
          <w:tcPr>
            <w:tcW w:type="dxa" w:w="18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Blocked pending supervisory decision</w:t>
            </w:r>
          </w:p>
        </w:tc>
        <w:tc>
          <w:tcPr>
            <w:tcW w:type="dxa" w:w="511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Agreement on the feature set and the training dataset. The settled design computes its own local duplex energy and accessibility in a short window around each candidate site, so it stays independent of RNAhybrid</w:t>
            </w:r>
          </w:p>
        </w:tc>
      </w:tr>
      <w:tr>
        <w:tc>
          <w:tcPr>
            <w:tcW w:type="dxa" w:w="21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Differential expression (DESeq2)</w:t>
            </w:r>
          </w:p>
        </w:tc>
        <w:tc>
          <w:tcPr>
            <w:tcW w:type="dxa" w:w="18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Scoped as optional, not started</w:t>
            </w:r>
          </w:p>
        </w:tc>
        <w:tc>
          <w:tcPr>
            <w:tcW w:type="dxa" w:w="511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File upload for a count matrix and design, new schema, a new R execution path</w:t>
            </w:r>
          </w:p>
        </w:tc>
      </w:tr>
      <w:tr>
        <w:tc>
          <w:tcPr>
            <w:tcW w:type="dxa" w:w="2106"/>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Deployment</w:t>
            </w:r>
          </w:p>
        </w:tc>
        <w:tc>
          <w:tcPr>
            <w:tcW w:type="dxa" w:w="180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Not started</w:t>
            </w:r>
          </w:p>
        </w:tc>
        <w:tc>
          <w:tcPr>
            <w:tcW w:type="dxa" w:w="5115"/>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Docker image containing Python, R, Bioconductor and the RNAhybrid binary; a host with a real URL; authentication</w:t>
            </w:r>
          </w:p>
        </w:tc>
      </w:tr>
      <w:tr>
        <w:tc>
          <w:tcPr>
            <w:tcW w:type="dxa" w:w="2106"/>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miRanda</w:t>
            </w:r>
          </w:p>
        </w:tc>
        <w:tc>
          <w:tcPr>
            <w:tcW w:type="dxa" w:w="180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Dropped</w:t>
            </w:r>
          </w:p>
        </w:tc>
        <w:tc>
          <w:tcPr>
            <w:tcW w:type="dxa" w:w="5115"/>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Would need a hand-built binary for a second opinion of the same kind RNAhybrid already gives</w:t>
            </w:r>
          </w:p>
        </w:tc>
      </w:tr>
    </w:tbl>
    <w:p>
      <w:pPr>
        <w:spacing w:after="120"/>
      </w:pPr>
    </w:p>
    <w:p>
      <w:pPr>
        <w:spacing w:after="120" w:line="360"/>
      </w:pPr>
      <w:r>
        <w:rPr>
          <w:rFonts w:ascii="Times New Roman" w:cs="Times New Roman" w:eastAsia="Times New Roman" w:hAnsi="Times New Roman"/>
          <w:b/>
          <w:bCs/>
          <w:sz w:val="24"/>
          <w:szCs w:val="24"/>
        </w:rPr>
        <w:t xml:space="preserve">A stated limitation of the planned benchmark, worth raising before it is run: </w:t>
      </w:r>
      <w:r>
        <w:rPr>
          <w:rFonts w:ascii="Times New Roman" w:cs="Times New Roman" w:eastAsia="Times New Roman" w:hAnsi="Times New Roman"/>
          <w:sz w:val="24"/>
          <w:szCs w:val="24"/>
        </w:rPr>
        <w:t xml:space="preserve">there are no true negatives. "False positive" will mean "predicted but not reported", which is partly a statement about how much attention a gene has received rather than about biology.</w:t>
      </w:r>
    </w:p>
    <w:p>
      <w:r>
        <w:br w:type="page"/>
      </w:r>
    </w:p>
    <w:p>
      <w:pPr>
        <w:pStyle w:val="Heading1"/>
        <w:spacing w:after="160" w:before="360" w:line="360"/>
      </w:pPr>
      <w:r>
        <w:rPr>
          <w:rFonts w:ascii="Times New Roman" w:cs="Times New Roman" w:eastAsia="Times New Roman" w:hAnsi="Times New Roman"/>
          <w:b/>
          <w:bCs/>
          <w:color w:val="1F3864"/>
          <w:sz w:val="32"/>
          <w:szCs w:val="32"/>
        </w:rPr>
        <w:t xml:space="preserve">20. How to reproduce every result in this document</w:t>
      </w:r>
    </w:p>
    <w:p>
      <w:pPr>
        <w:pStyle w:val="Heading2"/>
        <w:spacing w:after="120" w:before="260" w:line="360"/>
      </w:pPr>
      <w:r>
        <w:rPr>
          <w:rFonts w:ascii="Times New Roman" w:cs="Times New Roman" w:eastAsia="Times New Roman" w:hAnsi="Times New Roman"/>
          <w:b/>
          <w:bCs/>
          <w:color w:val="2E5496"/>
          <w:sz w:val="26"/>
          <w:szCs w:val="26"/>
        </w:rPr>
        <w:t xml:space="preserve">Running the system</w:t>
      </w:r>
    </w:p>
    <w:p>
      <w:pPr>
        <w:shd w:fill="F4F4F4" w:val="clear"/>
        <w:spacing w:after="0" w:before="100" w:line="240"/>
        <w:ind w:left="240"/>
      </w:pPr>
      <w:r>
        <w:rPr>
          <w:rFonts w:ascii="Consolas" w:cs="Consolas" w:eastAsia="Consolas" w:hAnsi="Consolas"/>
          <w:sz w:val="19"/>
          <w:szCs w:val="19"/>
        </w:rPr>
        <w:t xml:space="preserve">cd ~/mirna-tool &amp;&amp; source venv/bin/activate</w:t>
      </w:r>
    </w:p>
    <w:p>
      <w:pPr>
        <w:shd w:fill="F4F4F4" w:val="clear"/>
        <w:spacing w:after="0" w:before="0" w:line="240"/>
        <w:ind w:left="240"/>
      </w:pPr>
      <w:r>
        <w:rPr>
          <w:rFonts w:ascii="Consolas" w:cs="Consolas" w:eastAsia="Consolas" w:hAnsi="Consolas"/>
          <w:sz w:val="19"/>
          <w:szCs w:val="19"/>
        </w:rPr>
        <w:t xml:space="preserve"> </w:t>
      </w:r>
    </w:p>
    <w:p>
      <w:pPr>
        <w:shd w:fill="F4F4F4" w:val="clear"/>
        <w:spacing w:after="0" w:before="0" w:line="240"/>
        <w:ind w:left="240"/>
      </w:pPr>
      <w:r>
        <w:rPr>
          <w:rFonts w:ascii="Consolas" w:cs="Consolas" w:eastAsia="Consolas" w:hAnsi="Consolas"/>
          <w:sz w:val="19"/>
          <w:szCs w:val="19"/>
        </w:rPr>
        <w:t xml:space="preserve"># terminal 1 — the API and the web interface</w:t>
      </w:r>
    </w:p>
    <w:p>
      <w:pPr>
        <w:shd w:fill="F4F4F4" w:val="clear"/>
        <w:spacing w:after="0" w:before="0" w:line="240"/>
        <w:ind w:left="240"/>
      </w:pPr>
      <w:r>
        <w:rPr>
          <w:rFonts w:ascii="Consolas" w:cs="Consolas" w:eastAsia="Consolas" w:hAnsi="Consolas"/>
          <w:sz w:val="19"/>
          <w:szCs w:val="19"/>
        </w:rPr>
        <w:t xml:space="preserve">uvicorn api:app --app-dir src --port 8000</w:t>
      </w:r>
    </w:p>
    <w:p>
      <w:pPr>
        <w:shd w:fill="F4F4F4" w:val="clear"/>
        <w:spacing w:after="0" w:before="0" w:line="240"/>
        <w:ind w:left="240"/>
      </w:pPr>
      <w:r>
        <w:rPr>
          <w:rFonts w:ascii="Consolas" w:cs="Consolas" w:eastAsia="Consolas" w:hAnsi="Consolas"/>
          <w:sz w:val="19"/>
          <w:szCs w:val="19"/>
        </w:rPr>
        <w:t xml:space="preserve"> </w:t>
      </w:r>
    </w:p>
    <w:p>
      <w:pPr>
        <w:shd w:fill="F4F4F4" w:val="clear"/>
        <w:spacing w:after="0" w:before="0" w:line="240"/>
        <w:ind w:left="240"/>
      </w:pPr>
      <w:r>
        <w:rPr>
          <w:rFonts w:ascii="Consolas" w:cs="Consolas" w:eastAsia="Consolas" w:hAnsi="Consolas"/>
          <w:sz w:val="19"/>
          <w:szCs w:val="19"/>
        </w:rPr>
        <w:t xml:space="preserve"># terminal 2 — the background worker</w:t>
      </w:r>
    </w:p>
    <w:p>
      <w:pPr>
        <w:shd w:fill="F4F4F4" w:val="clear"/>
        <w:spacing w:after="0" w:before="0" w:line="240"/>
        <w:ind w:left="240"/>
      </w:pPr>
      <w:r>
        <w:rPr>
          <w:rFonts w:ascii="Consolas" w:cs="Consolas" w:eastAsia="Consolas" w:hAnsi="Consolas"/>
          <w:sz w:val="19"/>
          <w:szCs w:val="19"/>
        </w:rPr>
        <w:t xml:space="preserve">python scripts/worker.py</w:t>
      </w:r>
    </w:p>
    <w:p>
      <w:pPr>
        <w:shd w:fill="F4F4F4" w:val="clear"/>
        <w:spacing w:after="0" w:before="0" w:line="240"/>
        <w:ind w:left="240"/>
      </w:pPr>
      <w:r>
        <w:rPr>
          <w:rFonts w:ascii="Consolas" w:cs="Consolas" w:eastAsia="Consolas" w:hAnsi="Consolas"/>
          <w:sz w:val="19"/>
          <w:szCs w:val="19"/>
        </w:rPr>
        <w:t xml:space="preserve"> </w:t>
      </w:r>
    </w:p>
    <w:p>
      <w:pPr>
        <w:shd w:fill="F4F4F4" w:val="clear"/>
        <w:spacing w:after="140" w:before="0" w:line="240"/>
        <w:ind w:left="240"/>
      </w:pPr>
      <w:r>
        <w:rPr>
          <w:rFonts w:ascii="Consolas" w:cs="Consolas" w:eastAsia="Consolas" w:hAnsi="Consolas"/>
          <w:sz w:val="19"/>
          <w:szCs w:val="19"/>
        </w:rPr>
        <w:t xml:space="preserve"># then open http://localhost:8000/</w:t>
      </w:r>
    </w:p>
    <w:p>
      <w:pPr>
        <w:pStyle w:val="Heading2"/>
        <w:spacing w:after="120" w:before="260" w:line="360"/>
      </w:pPr>
      <w:r>
        <w:rPr>
          <w:rFonts w:ascii="Times New Roman" w:cs="Times New Roman" w:eastAsia="Times New Roman" w:hAnsi="Times New Roman"/>
          <w:b/>
          <w:bCs/>
          <w:color w:val="2E5496"/>
          <w:sz w:val="26"/>
          <w:szCs w:val="26"/>
        </w:rPr>
        <w:t xml:space="preserve">The validation job</w:t>
      </w:r>
    </w:p>
    <w:p>
      <w:pPr>
        <w:shd w:fill="F4F4F4" w:val="clear"/>
        <w:spacing w:after="0" w:before="100" w:line="240"/>
        <w:ind w:left="240"/>
      </w:pPr>
      <w:r>
        <w:rPr>
          <w:rFonts w:ascii="Consolas" w:cs="Consolas" w:eastAsia="Consolas" w:hAnsi="Consolas"/>
          <w:sz w:val="19"/>
          <w:szCs w:val="19"/>
        </w:rPr>
        <w:t xml:space="preserve">python scripts/run_job.py hsa-miR-21-5p PDCD4 PTEN RECK TPM1 SPRY2 \</w:t>
      </w:r>
    </w:p>
    <w:p>
      <w:pPr>
        <w:shd w:fill="F4F4F4" w:val="clear"/>
        <w:spacing w:after="0" w:before="0" w:line="240"/>
        <w:ind w:left="240"/>
      </w:pPr>
      <w:r>
        <w:rPr>
          <w:rFonts w:ascii="Consolas" w:cs="Consolas" w:eastAsia="Consolas" w:hAnsi="Consolas"/>
          <w:sz w:val="19"/>
          <w:szCs w:val="19"/>
        </w:rPr>
        <w:t xml:space="preserve">    TIMP3 BCL2 MARCKS GAPDH \</w:t>
      </w:r>
    </w:p>
    <w:p>
      <w:pPr>
        <w:shd w:fill="F4F4F4" w:val="clear"/>
        <w:spacing w:after="140" w:before="0" w:line="240"/>
        <w:ind w:left="240"/>
      </w:pPr>
      <w:r>
        <w:rPr>
          <w:rFonts w:ascii="Consolas" w:cs="Consolas" w:eastAsia="Consolas" w:hAnsi="Consolas"/>
          <w:sz w:val="19"/>
          <w:szCs w:val="19"/>
        </w:rPr>
        <w:t xml:space="preserve">    --tools seed,targetscan,mirtarbase,rnahybrid</w:t>
      </w:r>
    </w:p>
    <w:p>
      <w:pPr>
        <w:pStyle w:val="Heading2"/>
        <w:spacing w:after="120" w:before="260" w:line="360"/>
      </w:pPr>
      <w:r>
        <w:rPr>
          <w:rFonts w:ascii="Times New Roman" w:cs="Times New Roman" w:eastAsia="Times New Roman" w:hAnsi="Times New Roman"/>
          <w:b/>
          <w:bCs/>
          <w:color w:val="2E5496"/>
          <w:sz w:val="26"/>
          <w:szCs w:val="26"/>
        </w:rPr>
        <w:t xml:space="preserve">Verification scripts</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3209"/>
        <w:gridCol w:w="5817"/>
      </w:tblGrid>
      <w:tr>
        <w:trPr>
          <w:tblHeader/>
        </w:trPr>
        <w:tc>
          <w:tcPr>
            <w:tcW w:type="dxa" w:w="3209"/>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Script</w:t>
            </w:r>
          </w:p>
        </w:tc>
        <w:tc>
          <w:tcPr>
            <w:tcW w:type="dxa" w:w="5817"/>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Checks</w:t>
            </w:r>
          </w:p>
        </w:tc>
      </w:tr>
      <w:tr>
        <w:tc>
          <w:tcPr>
            <w:tcW w:type="dxa" w:w="320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scripts/test_api.py</w:t>
            </w:r>
          </w:p>
        </w:tc>
        <w:tc>
          <w:tcPr>
            <w:tcW w:type="dxa" w:w="581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21 assertions across every endpoint, error path and sort rule</w:t>
            </w:r>
          </w:p>
        </w:tc>
      </w:tr>
      <w:tr>
        <w:tc>
          <w:tcPr>
            <w:tcW w:type="dxa" w:w="320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scripts/validate_enrichment.py</w:t>
            </w:r>
          </w:p>
        </w:tc>
        <w:tc>
          <w:tcPr>
            <w:tcW w:type="dxa" w:w="581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Database against R's own output; p-values recomputed from stored integers; reproducibility against an earlier run</w:t>
            </w:r>
          </w:p>
        </w:tc>
      </w:tr>
      <w:tr>
        <w:tc>
          <w:tcPr>
            <w:tcW w:type="dxa" w:w="320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scripts/check_rnahybrid_parity.py</w:t>
            </w:r>
          </w:p>
        </w:tc>
        <w:tc>
          <w:tcPr>
            <w:tcW w:type="dxa" w:w="581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Parallel output identical to serial, record for record</w:t>
            </w:r>
          </w:p>
        </w:tc>
      </w:tr>
      <w:tr>
        <w:tc>
          <w:tcPr>
            <w:tcW w:type="dxa" w:w="320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scripts/check_rnahybrid_positions.py</w:t>
            </w:r>
          </w:p>
        </w:tc>
        <w:tc>
          <w:tcPr>
            <w:tcW w:type="dxa" w:w="581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Every reported position rebuilt from the alignment and compared against the transcript</w:t>
            </w:r>
          </w:p>
        </w:tc>
      </w:tr>
      <w:tr>
        <w:tc>
          <w:tcPr>
            <w:tcW w:type="dxa" w:w="320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scripts/composition_control.py</w:t>
            </w:r>
          </w:p>
        </w:tc>
        <w:tc>
          <w:tcPr>
            <w:tcW w:type="dxa" w:w="581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Region enrichment against shuffled-sequence controls</w:t>
            </w:r>
          </w:p>
        </w:tc>
      </w:tr>
      <w:tr>
        <w:tc>
          <w:tcPr>
            <w:tcW w:type="dxa" w:w="3209"/>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scripts/enrich_control.py</w:t>
            </w:r>
          </w:p>
        </w:tc>
        <w:tc>
          <w:tcPr>
            <w:tcW w:type="dxa" w:w="5817"/>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Enrichment of the intersection list against random subsets of the same size</w:t>
            </w:r>
          </w:p>
        </w:tc>
      </w:tr>
      <w:tr>
        <w:tc>
          <w:tcPr>
            <w:tcW w:type="dxa" w:w="3209"/>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scripts/check_hypergeom.py</w:t>
            </w:r>
          </w:p>
        </w:tc>
        <w:tc>
          <w:tcPr>
            <w:tcW w:type="dxa" w:w="5817"/>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p-values recomputed independently of R</w:t>
            </w:r>
          </w:p>
        </w:tc>
      </w:tr>
    </w:tbl>
    <w:p>
      <w:pPr>
        <w:pStyle w:val="Heading2"/>
        <w:spacing w:after="120" w:before="260" w:line="360"/>
      </w:pPr>
      <w:r>
        <w:rPr>
          <w:rFonts w:ascii="Times New Roman" w:cs="Times New Roman" w:eastAsia="Times New Roman" w:hAnsi="Times New Roman"/>
          <w:b/>
          <w:bCs/>
          <w:color w:val="2E5496"/>
          <w:sz w:val="26"/>
          <w:szCs w:val="26"/>
        </w:rPr>
        <w:t xml:space="preserve">Where the evidence lives</w:t>
      </w:r>
    </w:p>
    <w:p>
      <w:pPr>
        <w:spacing w:after="120" w:line="360"/>
      </w:pPr>
      <w:r>
        <w:rPr>
          <w:rFonts w:ascii="Times New Roman" w:cs="Times New Roman" w:eastAsia="Times New Roman" w:hAnsi="Times New Roman"/>
          <w:sz w:val="24"/>
          <w:szCs w:val="24"/>
        </w:rPr>
        <w:t xml:space="preserve">Every finding quoted in this document is recorded in manifests/: targetscan_version_finding.md, mirtarbase_finding.md, region_composition_finding.md, rnahybrid_spike.md, phase5_design.md, phase6_api.md, validation_mir21.md and pathway_design.md. Stored enrichment runs can be queried by identifier — enr_3e67cd65200d (381 conserved genes) and enr_0ac52b947705 (the 150-gene intersection) — so any number here can be re-derived rather than taken on trust.</w:t>
      </w:r>
    </w:p>
    <w:p>
      <w:pPr>
        <w:pStyle w:val="Heading1"/>
        <w:spacing w:after="160" w:before="360" w:line="360"/>
      </w:pPr>
      <w:r>
        <w:rPr>
          <w:rFonts w:ascii="Times New Roman" w:cs="Times New Roman" w:eastAsia="Times New Roman" w:hAnsi="Times New Roman"/>
          <w:b/>
          <w:bCs/>
          <w:color w:val="1F3864"/>
          <w:sz w:val="32"/>
          <w:szCs w:val="32"/>
        </w:rPr>
        <w:t xml:space="preserve">21. Anticipated questions and short answers</w:t>
      </w:r>
    </w:p>
    <w:p>
      <w:pPr>
        <w:spacing w:after="120"/>
      </w:pPr>
    </w:p>
    <w:tbl>
      <w:tblPr>
        <w:tblW w:type="dxa" w:w="9026"/>
        <w:tblBorders>
          <w:top w:val="single" w:color="B7C3D2" w:sz="2"/>
          <w:left w:val="single" w:color="B7C3D2" w:sz="2"/>
          <w:bottom w:val="single" w:color="B7C3D2" w:sz="2"/>
          <w:right w:val="single" w:color="B7C3D2" w:sz="2"/>
          <w:insideH w:val="single" w:color="B7C3D2" w:sz="2"/>
          <w:insideV w:val="single" w:color="B7C3D2" w:sz="2"/>
        </w:tblBorders>
      </w:tblPr>
      <w:tblGrid>
        <w:gridCol w:w="2608"/>
        <w:gridCol w:w="6418"/>
      </w:tblGrid>
      <w:tr>
        <w:trPr>
          <w:tblHeader/>
        </w:trPr>
        <w:tc>
          <w:tcPr>
            <w:tcW w:type="dxa" w:w="2608"/>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Question</w:t>
            </w:r>
          </w:p>
        </w:tc>
        <w:tc>
          <w:tcPr>
            <w:tcW w:type="dxa" w:w="6418"/>
            <w:shd w:fill="DEE6F0" w:val="clear"/>
            <w:tcMar>
              <w:top w:type="dxa" w:w="60"/>
              <w:left w:type="dxa" w:w="90"/>
              <w:bottom w:type="dxa" w:w="60"/>
              <w:right w:type="dxa" w:w="90"/>
            </w:tcMar>
          </w:tcPr>
          <w:p>
            <w:pPr>
              <w:spacing w:after="0" w:line="240"/>
            </w:pPr>
            <w:r>
              <w:rPr>
                <w:rFonts w:ascii="Times New Roman" w:cs="Times New Roman" w:eastAsia="Times New Roman" w:hAnsi="Times New Roman"/>
                <w:b/>
                <w:bCs/>
                <w:sz w:val="21"/>
                <w:szCs w:val="21"/>
              </w:rPr>
              <w:t xml:space="preserve">Answer</w:t>
            </w:r>
          </w:p>
        </w:tc>
      </w:tr>
      <w:tr>
        <w:tc>
          <w:tcPr>
            <w:tcW w:type="dxa" w:w="26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Why not produce a single combined score, like some other tools?</w:t>
            </w:r>
          </w:p>
        </w:tc>
        <w:tc>
          <w:tcPr>
            <w:tcW w:type="dxa" w:w="641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Because the four tools measure different quantities in different units. Concretely: PTEN has 91 strong functional experiments and a context++ of −0.012. Any averaging ranks the best-validated target in the set last. The approach follows miRWalk (own model scored separately, other tools shown alongside) rather than mirDIP (normalised fusion)</w:t>
            </w:r>
          </w:p>
        </w:tc>
      </w:tr>
      <w:tr>
        <w:tc>
          <w:tcPr>
            <w:tcW w:type="dxa" w:w="26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Why MANE Select rather than all transcripts?</w:t>
            </w:r>
          </w:p>
        </w:tc>
        <w:tc>
          <w:tcPr>
            <w:tcW w:type="dxa" w:w="641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A position is only meaningful against the sequence it was measured on. One agreed transcript per gene makes the seed analyser's coordinate and RNAhybrid's coordinate directly comparable. The cost is visible in the TPM1 case and is stated</w:t>
            </w:r>
          </w:p>
        </w:tc>
      </w:tr>
      <w:tr>
        <w:tc>
          <w:tcPr>
            <w:tcW w:type="dxa" w:w="26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Why is TargetScan shown without positions?</w:t>
            </w:r>
          </w:p>
        </w:tc>
        <w:tc>
          <w:tcPr>
            <w:tcW w:type="dxa" w:w="641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Its representative transcript differs from MANE Select for 38.7% of genes, so a position would refer to a different sequence. Gene-level join, no position — a measured decision, not a simplification</w:t>
            </w:r>
          </w:p>
        </w:tc>
      </w:tr>
      <w:tr>
        <w:tc>
          <w:tcPr>
            <w:tcW w:type="dxa" w:w="26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Is the 8mer count evidence of 3′UTR targeting?</w:t>
            </w:r>
          </w:p>
        </w:tc>
        <w:tc>
          <w:tcPr>
            <w:tcW w:type="dxa" w:w="641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No. Measured against shuffled controls, the real seed's enrichment falls inside the range produced by shuffling the same six bases. Region counts reflect composition, not preference</w:t>
            </w:r>
          </w:p>
        </w:tc>
      </w:tr>
      <w:tr>
        <w:tc>
          <w:tcPr>
            <w:tcW w:type="dxa" w:w="26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How do you know the enrichment numbers are right?</w:t>
            </w:r>
          </w:p>
        </w:tc>
        <w:tc>
          <w:tcPr>
            <w:tcW w:type="dxa" w:w="641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Three separate checks: the database matches the TSV R wrote exactly; every p-value recomputes from the four stored integers to within 7.2 × 10⁻¹¹; and results reproduce against an earlier independent run</w:t>
            </w:r>
          </w:p>
        </w:tc>
      </w:tr>
      <w:tr>
        <w:tc>
          <w:tcPr>
            <w:tcW w:type="dxa" w:w="26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What happens when a tool fails?</w:t>
            </w:r>
          </w:p>
        </w:tc>
        <w:tc>
          <w:tcPr>
            <w:tcW w:type="dxa" w:w="641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It is recorded in tool_runs with status 'failed' and the exception text. The other tools still run and their results are stored. A blank cell is never ambiguous — the interface distinguishes not run, not covered and no site</w:t>
            </w:r>
          </w:p>
        </w:tc>
      </w:tr>
      <w:tr>
        <w:tc>
          <w:tcPr>
            <w:tcW w:type="dxa" w:w="26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Can the results be reproduced next year?</w:t>
            </w:r>
          </w:p>
        </w:tc>
        <w:tc>
          <w:tcPr>
            <w:tcW w:type="dxa" w:w="641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The stored runs, yes — nothing is deleted, and every version is recorded. A new KEGG query, no: KEGG is fetched live, which is why kegg_fetched_at is stored</w:t>
            </w:r>
          </w:p>
        </w:tc>
      </w:tr>
      <w:tr>
        <w:tc>
          <w:tcPr>
            <w:tcW w:type="dxa" w:w="260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What would you do differently?</w:t>
            </w:r>
          </w:p>
        </w:tc>
        <w:tc>
          <w:tcPr>
            <w:tcW w:type="dxa" w:w="6418"/>
            <w:shd w:fill="F7F9FB" w:val="clear"/>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Test the parallelisation at full scale rather than on a 2,000-transcript subset; the pipe-buffer bug was only reachable at production size. And query results from the database rather than reading them out of a terminal — one enrichment figure was misreported that way and had to be corrected</w:t>
            </w:r>
          </w:p>
        </w:tc>
      </w:tr>
      <w:tr>
        <w:tc>
          <w:tcPr>
            <w:tcW w:type="dxa" w:w="260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What is the weakest part of the project?</w:t>
            </w:r>
          </w:p>
        </w:tc>
        <w:tc>
          <w:tcPr>
            <w:tcW w:type="dxa" w:w="6418"/>
            <w:tcMar>
              <w:top w:type="dxa" w:w="60"/>
              <w:left w:type="dxa" w:w="90"/>
              <w:bottom w:type="dxa" w:w="60"/>
              <w:right w:type="dxa" w:w="90"/>
            </w:tcMar>
          </w:tcPr>
          <w:p>
            <w:pPr>
              <w:spacing w:after="0" w:line="240"/>
            </w:pPr>
            <w:r>
              <w:rPr>
                <w:rFonts w:ascii="Times New Roman" w:cs="Times New Roman" w:eastAsia="Times New Roman" w:hAnsi="Times New Roman"/>
                <w:sz w:val="21"/>
                <w:szCs w:val="21"/>
              </w:rPr>
              <w:t xml:space="preserve">The absence of a benchmark. Recall on nine hand-picked positives says nothing about precision or false-positive rate. The design is settled and the scripts are written</w:t>
            </w:r>
          </w:p>
        </w:tc>
      </w:tr>
    </w:tbl>
    <w:p>
      <w:pPr>
        <w:spacing w:after="120"/>
      </w:pPr>
    </w:p>
    <w:p>
      <w:pPr>
        <w:spacing w:after="120" w:line="360"/>
      </w:pPr>
      <w:r>
        <w:rPr>
          <w:rFonts w:ascii="Times New Roman" w:cs="Times New Roman" w:eastAsia="Times New Roman" w:hAnsi="Times New Roman"/>
          <w:i/>
          <w:iCs/>
          <w:sz w:val="24"/>
          <w:szCs w:val="24"/>
        </w:rPr>
        <w:t xml:space="preserve">Prepared from the project's own manifests, database and source. Every figure is re-queryable; every decision named here has a recorded measurement behind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2026-09-14T09:00:06.886Z</dcterms:created>
  <dcterms:modified xsi:type="dcterms:W3CDTF">2026-09-14T09:00:06.900Z</dcterms:modified>
</cp:coreProperties>
</file>

<file path=docProps/custom.xml><?xml version="1.0" encoding="utf-8"?>
<Properties xmlns="http://schemas.openxmlformats.org/officeDocument/2006/custom-properties" xmlns:vt="http://schemas.openxmlformats.org/officeDocument/2006/docPropsVTypes"/>
</file>