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4FC76" w14:textId="57B1C295" w:rsidR="003D4765" w:rsidRPr="008E694E" w:rsidRDefault="0064253C" w:rsidP="00412B82">
      <w:pPr>
        <w:spacing w:after="0" w:line="240" w:lineRule="auto"/>
        <w:rPr>
          <w:rFonts w:eastAsia="Calibri"/>
          <w:b/>
          <w:bCs/>
          <w:color w:val="000000"/>
          <w:sz w:val="60"/>
          <w:szCs w:val="60"/>
        </w:rPr>
      </w:pPr>
      <w:r w:rsidRPr="008E694E">
        <w:rPr>
          <w:noProof/>
        </w:rPr>
        <w:drawing>
          <wp:anchor distT="0" distB="0" distL="0" distR="0" simplePos="0" relativeHeight="251659264" behindDoc="1" locked="0" layoutInCell="1" hidden="0" allowOverlap="1" wp14:anchorId="06127812" wp14:editId="495A95C1">
            <wp:simplePos x="0" y="0"/>
            <wp:positionH relativeFrom="page">
              <wp:posOffset>-30480</wp:posOffset>
            </wp:positionH>
            <wp:positionV relativeFrom="paragraph">
              <wp:posOffset>-731520</wp:posOffset>
            </wp:positionV>
            <wp:extent cx="9377045" cy="13270865"/>
            <wp:effectExtent l="0" t="0" r="0" b="6985"/>
            <wp:wrapNone/>
            <wp:docPr id="95096310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9377045" cy="13270865"/>
                    </a:xfrm>
                    <a:prstGeom prst="rect">
                      <a:avLst/>
                    </a:prstGeom>
                    <a:ln/>
                  </pic:spPr>
                </pic:pic>
              </a:graphicData>
            </a:graphic>
          </wp:anchor>
        </w:drawing>
      </w:r>
    </w:p>
    <w:p w14:paraId="5A54FC77" w14:textId="5CC048B2" w:rsidR="003D4765" w:rsidRPr="008E694E" w:rsidRDefault="003D4765" w:rsidP="00412B82">
      <w:pPr>
        <w:keepNext/>
        <w:keepLines/>
        <w:spacing w:after="60"/>
        <w:rPr>
          <w:color w:val="000000"/>
          <w:sz w:val="60"/>
          <w:szCs w:val="60"/>
        </w:rPr>
      </w:pPr>
      <w:bookmarkStart w:id="0" w:name="_heading=h.i9hk7psfkii8" w:colFirst="0" w:colLast="0"/>
      <w:bookmarkEnd w:id="0"/>
    </w:p>
    <w:p w14:paraId="5A54FC78" w14:textId="77777777" w:rsidR="003D4765" w:rsidRPr="008E694E" w:rsidRDefault="003D4765">
      <w:pPr>
        <w:spacing w:after="0"/>
        <w:jc w:val="center"/>
        <w:rPr>
          <w:color w:val="000000"/>
        </w:rPr>
      </w:pPr>
      <w:bookmarkStart w:id="1" w:name="_heading=h.pqkdion7417b" w:colFirst="0" w:colLast="0"/>
      <w:bookmarkEnd w:id="1"/>
    </w:p>
    <w:p w14:paraId="5A54FC7C" w14:textId="77777777" w:rsidR="003D4765" w:rsidRPr="008E694E" w:rsidRDefault="003D4765">
      <w:pPr>
        <w:spacing w:after="0"/>
        <w:jc w:val="center"/>
        <w:rPr>
          <w:color w:val="000000"/>
        </w:rPr>
      </w:pPr>
    </w:p>
    <w:p w14:paraId="46A7553D" w14:textId="77777777" w:rsidR="008E694E" w:rsidRPr="008E694E" w:rsidRDefault="008E694E" w:rsidP="008E694E">
      <w:pPr>
        <w:spacing w:line="269" w:lineRule="auto"/>
        <w:rPr>
          <w:rFonts w:eastAsia="Open Sans"/>
          <w:color w:val="F69342"/>
          <w:sz w:val="62"/>
          <w:szCs w:val="62"/>
        </w:rPr>
      </w:pPr>
      <w:bookmarkStart w:id="2" w:name="_heading=h.r0sf5h4ydhek" w:colFirst="0" w:colLast="0"/>
      <w:bookmarkEnd w:id="2"/>
      <w:r w:rsidRPr="008E694E">
        <w:rPr>
          <w:rFonts w:eastAsia="Open Sans"/>
          <w:b/>
          <w:bCs/>
          <w:color w:val="F69342"/>
          <w:sz w:val="62"/>
          <w:szCs w:val="62"/>
        </w:rPr>
        <w:t>Digital dashboards </w:t>
      </w:r>
    </w:p>
    <w:p w14:paraId="62649A0E" w14:textId="77777777" w:rsidR="008E694E" w:rsidRPr="008E694E" w:rsidRDefault="008E694E" w:rsidP="008E694E">
      <w:pPr>
        <w:spacing w:line="269" w:lineRule="auto"/>
        <w:rPr>
          <w:rFonts w:eastAsia="Open Sans"/>
          <w:color w:val="F69342"/>
          <w:sz w:val="62"/>
          <w:szCs w:val="62"/>
          <w:lang w:val="en-US"/>
        </w:rPr>
      </w:pPr>
      <w:r w:rsidRPr="008E694E">
        <w:rPr>
          <w:rFonts w:eastAsia="Open Sans"/>
          <w:color w:val="F69342"/>
          <w:sz w:val="62"/>
          <w:szCs w:val="62"/>
          <w:lang w:val="en-US"/>
        </w:rPr>
        <w:t xml:space="preserve">Good Practice Guide </w:t>
      </w:r>
    </w:p>
    <w:p w14:paraId="243FB068" w14:textId="1C8E37F9" w:rsidR="008E694E" w:rsidRPr="008E694E" w:rsidRDefault="008E694E" w:rsidP="008E694E">
      <w:pPr>
        <w:spacing w:line="269" w:lineRule="auto"/>
        <w:rPr>
          <w:rFonts w:eastAsia="Open Sans"/>
          <w:color w:val="F69342"/>
          <w:sz w:val="62"/>
          <w:szCs w:val="62"/>
          <w:lang w:val="en-US"/>
        </w:rPr>
      </w:pPr>
      <w:r w:rsidRPr="008E694E">
        <w:rPr>
          <w:rFonts w:eastAsia="Open Sans"/>
          <w:color w:val="F69342"/>
          <w:sz w:val="62"/>
          <w:szCs w:val="62"/>
          <w:lang w:val="en-US"/>
        </w:rPr>
        <w:t xml:space="preserve">for data </w:t>
      </w:r>
      <w:r w:rsidRPr="008E694E">
        <w:rPr>
          <w:rFonts w:eastAsia="Open Sans"/>
          <w:color w:val="F69342"/>
          <w:sz w:val="62"/>
          <w:szCs w:val="62"/>
          <w:lang w:val="en-US"/>
        </w:rPr>
        <w:t>visualization</w:t>
      </w:r>
    </w:p>
    <w:p w14:paraId="6A961705" w14:textId="77777777" w:rsidR="008E694E" w:rsidRPr="008E694E" w:rsidRDefault="008E694E" w:rsidP="008E694E">
      <w:pPr>
        <w:spacing w:line="269" w:lineRule="auto"/>
        <w:rPr>
          <w:rFonts w:eastAsia="Open Sans"/>
          <w:color w:val="F69342"/>
          <w:sz w:val="62"/>
          <w:szCs w:val="62"/>
          <w:lang w:val="en-US"/>
        </w:rPr>
      </w:pPr>
    </w:p>
    <w:p w14:paraId="5C7C43B6" w14:textId="77777777" w:rsidR="008E694E" w:rsidRPr="008E694E" w:rsidRDefault="008E694E" w:rsidP="008E694E">
      <w:pPr>
        <w:spacing w:line="269" w:lineRule="auto"/>
        <w:rPr>
          <w:rFonts w:eastAsia="Open Sans"/>
          <w:color w:val="F69342"/>
          <w:sz w:val="62"/>
          <w:szCs w:val="62"/>
          <w:lang w:val="en-US"/>
        </w:rPr>
      </w:pPr>
    </w:p>
    <w:p w14:paraId="3A5F4A44" w14:textId="77777777" w:rsidR="008E694E" w:rsidRPr="008E694E" w:rsidRDefault="008E694E" w:rsidP="008E694E">
      <w:pPr>
        <w:spacing w:line="269" w:lineRule="auto"/>
        <w:rPr>
          <w:rFonts w:eastAsia="Open Sans"/>
          <w:color w:val="F69342"/>
          <w:sz w:val="62"/>
          <w:szCs w:val="62"/>
          <w:lang w:val="en-US"/>
        </w:rPr>
      </w:pPr>
      <w:r w:rsidRPr="008E694E">
        <w:rPr>
          <w:rFonts w:eastAsia="Open Sans"/>
          <w:color w:val="F69342"/>
          <w:sz w:val="62"/>
          <w:szCs w:val="62"/>
          <w:lang w:val="en-US"/>
        </w:rPr>
        <w:t>Developer: CEMIC</w:t>
      </w:r>
    </w:p>
    <w:p w14:paraId="74B0ED4A" w14:textId="77777777" w:rsidR="008E694E" w:rsidRPr="008E694E" w:rsidRDefault="008E694E" w:rsidP="008E694E">
      <w:pPr>
        <w:spacing w:line="269" w:lineRule="auto"/>
        <w:rPr>
          <w:rFonts w:eastAsia="Open Sans"/>
          <w:color w:val="F69342"/>
          <w:sz w:val="62"/>
          <w:szCs w:val="62"/>
          <w:lang w:val="it-IT"/>
        </w:rPr>
      </w:pPr>
      <w:r w:rsidRPr="008E694E">
        <w:rPr>
          <w:rFonts w:eastAsia="Open Sans"/>
          <w:color w:val="F69342"/>
          <w:sz w:val="48"/>
          <w:szCs w:val="48"/>
          <w:lang w:val="it-IT"/>
        </w:rPr>
        <w:t>Authors: Fernando Poletta, Juan Gili, Maximiliano Giordano</w:t>
      </w:r>
    </w:p>
    <w:p w14:paraId="428C20E0" w14:textId="77777777" w:rsidR="008E694E" w:rsidRPr="008E694E" w:rsidRDefault="008E694E" w:rsidP="008E694E">
      <w:pPr>
        <w:spacing w:line="269" w:lineRule="auto"/>
        <w:rPr>
          <w:rFonts w:eastAsia="Open Sans"/>
          <w:b/>
          <w:bCs/>
          <w:color w:val="F69342"/>
          <w:sz w:val="36"/>
          <w:szCs w:val="36"/>
          <w:lang w:val="en-US"/>
        </w:rPr>
      </w:pPr>
      <w:r w:rsidRPr="008E694E">
        <w:rPr>
          <w:rFonts w:eastAsia="Open Sans"/>
          <w:color w:val="F69342"/>
          <w:sz w:val="62"/>
          <w:szCs w:val="62"/>
          <w:lang w:val="en-US"/>
        </w:rPr>
        <w:t>Version 2.0</w:t>
      </w:r>
    </w:p>
    <w:p w14:paraId="5A54FC7F" w14:textId="050C60A1" w:rsidR="003D4765" w:rsidRPr="008E694E" w:rsidRDefault="008F5C9D">
      <w:pPr>
        <w:keepNext/>
        <w:keepLines/>
        <w:spacing w:before="320" w:after="80"/>
        <w:jc w:val="center"/>
        <w:rPr>
          <w:color w:val="434343"/>
          <w:sz w:val="28"/>
          <w:szCs w:val="28"/>
        </w:rPr>
      </w:pPr>
      <w:r w:rsidRPr="008E694E">
        <w:br w:type="page"/>
      </w:r>
    </w:p>
    <w:p w14:paraId="5A54FC80" w14:textId="77777777" w:rsidR="003D4765" w:rsidRDefault="008F5C9D" w:rsidP="008E694E">
      <w:pPr>
        <w:spacing w:after="0" w:line="360" w:lineRule="auto"/>
        <w:jc w:val="both"/>
        <w:rPr>
          <w:b/>
          <w:bCs/>
          <w:color w:val="000000"/>
          <w:sz w:val="24"/>
          <w:szCs w:val="24"/>
        </w:rPr>
      </w:pPr>
      <w:r w:rsidRPr="008E694E">
        <w:rPr>
          <w:b/>
          <w:bCs/>
          <w:color w:val="000000"/>
          <w:sz w:val="24"/>
          <w:szCs w:val="24"/>
        </w:rPr>
        <w:lastRenderedPageBreak/>
        <w:t>Intended Users, Administration, and Adaptation to Other Contexts</w:t>
      </w:r>
    </w:p>
    <w:p w14:paraId="4CE88613" w14:textId="77777777" w:rsidR="008E694E" w:rsidRPr="008E694E" w:rsidRDefault="008E694E" w:rsidP="008E694E">
      <w:pPr>
        <w:spacing w:after="0" w:line="360" w:lineRule="auto"/>
        <w:jc w:val="both"/>
        <w:rPr>
          <w:b/>
          <w:bCs/>
          <w:color w:val="000000"/>
          <w:sz w:val="24"/>
          <w:szCs w:val="24"/>
        </w:rPr>
      </w:pPr>
    </w:p>
    <w:p w14:paraId="5A54FC81" w14:textId="77777777" w:rsidR="003D4765" w:rsidRPr="008E694E" w:rsidRDefault="008F5C9D" w:rsidP="008E694E">
      <w:pPr>
        <w:spacing w:after="0" w:line="360" w:lineRule="auto"/>
        <w:jc w:val="both"/>
        <w:rPr>
          <w:color w:val="000000"/>
          <w:sz w:val="24"/>
          <w:szCs w:val="24"/>
        </w:rPr>
      </w:pPr>
      <w:r w:rsidRPr="008E694E">
        <w:rPr>
          <w:color w:val="000000"/>
          <w:sz w:val="24"/>
          <w:szCs w:val="24"/>
        </w:rPr>
        <w:t xml:space="preserve">This application is intended to support public health surveillance and response activities and may be used by healthcare professionals, public health officers, and other personnel responsible for reporting, reviewing, managing, or </w:t>
      </w:r>
      <w:proofErr w:type="spellStart"/>
      <w:r w:rsidRPr="008E694E">
        <w:rPr>
          <w:sz w:val="24"/>
          <w:szCs w:val="24"/>
        </w:rPr>
        <w:t>analysing</w:t>
      </w:r>
      <w:proofErr w:type="spellEnd"/>
      <w:r w:rsidRPr="008E694E">
        <w:rPr>
          <w:color w:val="000000"/>
          <w:sz w:val="24"/>
          <w:szCs w:val="24"/>
        </w:rPr>
        <w:t xml:space="preserve"> epidemiological information. Depending on the implementation context, municipal or regional health secretariats, public health authorities, or local National Statistical Office (NSO) teams</w:t>
      </w:r>
      <w:r w:rsidRPr="008E694E">
        <w:rPr>
          <w:sz w:val="24"/>
          <w:szCs w:val="24"/>
        </w:rPr>
        <w:t xml:space="preserve"> may also carry out the application's administration, configuration, and maintenance</w:t>
      </w:r>
      <w:r w:rsidRPr="008E694E">
        <w:rPr>
          <w:color w:val="000000"/>
          <w:sz w:val="24"/>
          <w:szCs w:val="24"/>
        </w:rPr>
        <w:t xml:space="preserve">. </w:t>
      </w:r>
    </w:p>
    <w:p w14:paraId="5A54FC82" w14:textId="77777777" w:rsidR="003D4765" w:rsidRPr="008E694E" w:rsidRDefault="008F5C9D" w:rsidP="008E694E">
      <w:pPr>
        <w:spacing w:after="0" w:line="360" w:lineRule="auto"/>
        <w:jc w:val="both"/>
        <w:rPr>
          <w:color w:val="000000"/>
          <w:sz w:val="24"/>
          <w:szCs w:val="24"/>
        </w:rPr>
      </w:pPr>
      <w:r w:rsidRPr="008E694E">
        <w:rPr>
          <w:color w:val="000000"/>
          <w:sz w:val="24"/>
          <w:szCs w:val="24"/>
        </w:rPr>
        <w:t>The examples, screenshots, and simulated datasets included in this document are based on the administrative and data structure used by the National Institute for Statistic</w:t>
      </w:r>
      <w:r w:rsidRPr="008E694E">
        <w:rPr>
          <w:sz w:val="24"/>
          <w:szCs w:val="24"/>
        </w:rPr>
        <w:t>s and Censuses (</w:t>
      </w:r>
      <w:r w:rsidRPr="008E694E">
        <w:rPr>
          <w:color w:val="000000"/>
          <w:sz w:val="24"/>
          <w:szCs w:val="24"/>
        </w:rPr>
        <w:t>INDEC) in Argentina and are provided as a reference implementation. However, the application can be adapted for use in other countries and institutional settings, regardless of whether they have an established national epidemiological surveillance system. Detailed guidance on adaptation, configuration, and implementation in other national contexts is provided throughout this Technical Documentation and in the additional technical, support, and version-control materials available in the project GitHub reposi</w:t>
      </w:r>
      <w:r w:rsidRPr="008E694E">
        <w:rPr>
          <w:color w:val="000000"/>
          <w:sz w:val="24"/>
          <w:szCs w:val="24"/>
        </w:rPr>
        <w:t>tory.</w:t>
      </w:r>
    </w:p>
    <w:p w14:paraId="5A54FC83" w14:textId="77777777" w:rsidR="003D4765" w:rsidRPr="008E694E" w:rsidRDefault="008F5C9D" w:rsidP="008E694E">
      <w:pPr>
        <w:spacing w:after="0" w:line="360" w:lineRule="auto"/>
        <w:jc w:val="both"/>
        <w:rPr>
          <w:color w:val="000000"/>
          <w:sz w:val="24"/>
          <w:szCs w:val="24"/>
        </w:rPr>
      </w:pPr>
      <w:r w:rsidRPr="008E694E">
        <w:rPr>
          <w:color w:val="000000"/>
          <w:sz w:val="24"/>
          <w:szCs w:val="24"/>
        </w:rPr>
        <w:t xml:space="preserve">The National Statistical Office (NSO), or an equivalent national technical authority, may support users by providing guidance on how to interpret the outputs of this tool. This may include advice on data quality, geographic </w:t>
      </w:r>
      <w:proofErr w:type="spellStart"/>
      <w:r w:rsidRPr="008E694E">
        <w:rPr>
          <w:color w:val="000000"/>
          <w:sz w:val="24"/>
          <w:szCs w:val="24"/>
        </w:rPr>
        <w:t>standardisation</w:t>
      </w:r>
      <w:proofErr w:type="spellEnd"/>
      <w:r w:rsidRPr="008E694E">
        <w:rPr>
          <w:color w:val="000000"/>
          <w:sz w:val="24"/>
          <w:szCs w:val="24"/>
        </w:rPr>
        <w:t>, and the appropriate use of spatial indicators within national public health and statistical frameworks.</w:t>
      </w:r>
    </w:p>
    <w:p w14:paraId="5A54FC84" w14:textId="77777777" w:rsidR="003D4765" w:rsidRPr="008E694E" w:rsidRDefault="003D4765">
      <w:pPr>
        <w:spacing w:line="240" w:lineRule="auto"/>
        <w:jc w:val="center"/>
        <w:rPr>
          <w:b/>
          <w:bCs/>
          <w:color w:val="000000"/>
          <w:sz w:val="42"/>
          <w:szCs w:val="42"/>
        </w:rPr>
      </w:pPr>
    </w:p>
    <w:p w14:paraId="5A54FC85" w14:textId="77777777" w:rsidR="003D4765" w:rsidRPr="008E694E" w:rsidRDefault="003D4765">
      <w:pPr>
        <w:spacing w:after="200" w:line="276" w:lineRule="auto"/>
        <w:rPr>
          <w:b/>
          <w:bCs/>
          <w:color w:val="324027"/>
          <w:sz w:val="40"/>
          <w:szCs w:val="40"/>
        </w:rPr>
      </w:pPr>
    </w:p>
    <w:p w14:paraId="5A54FC86" w14:textId="77777777" w:rsidR="003D4765" w:rsidRPr="008E694E" w:rsidRDefault="008F5C9D">
      <w:pPr>
        <w:spacing w:after="200" w:line="276" w:lineRule="auto"/>
        <w:rPr>
          <w:b/>
          <w:bCs/>
          <w:color w:val="324027"/>
          <w:sz w:val="40"/>
          <w:szCs w:val="40"/>
        </w:rPr>
      </w:pPr>
      <w:r w:rsidRPr="008E694E">
        <w:br w:type="page"/>
      </w:r>
    </w:p>
    <w:p w14:paraId="5A54FC87" w14:textId="77777777" w:rsidR="003D4765" w:rsidRPr="008E694E" w:rsidRDefault="008F5C9D">
      <w:pPr>
        <w:widowControl w:val="0"/>
        <w:spacing w:after="210" w:line="408" w:lineRule="auto"/>
        <w:ind w:right="600"/>
        <w:jc w:val="right"/>
        <w:rPr>
          <w:sz w:val="20"/>
          <w:szCs w:val="20"/>
        </w:rPr>
      </w:pPr>
      <w:r w:rsidRPr="008E694E">
        <w:rPr>
          <w:color w:val="555555"/>
          <w:sz w:val="28"/>
          <w:szCs w:val="28"/>
        </w:rPr>
        <w:lastRenderedPageBreak/>
        <w:t xml:space="preserve"> </w:t>
      </w:r>
      <w:sdt>
        <w:sdtPr>
          <w:tag w:val="goog_rdk_0"/>
          <w:id w:val="-1476721425"/>
        </w:sdtPr>
        <w:sdtEndPr/>
        <w:sdtContent>
          <w:r w:rsidRPr="008E694E">
            <w:rPr>
              <w:rFonts w:ascii="Segoe UI Symbol" w:eastAsia="Arial Unicode MS" w:hAnsi="Segoe UI Symbol" w:cs="Segoe UI Symbol"/>
              <w:sz w:val="24"/>
              <w:szCs w:val="24"/>
            </w:rPr>
            <w:t>⏱</w:t>
          </w:r>
          <w:r w:rsidRPr="008E694E">
            <w:rPr>
              <w:rFonts w:eastAsia="Arial Unicode MS"/>
              <w:sz w:val="24"/>
              <w:szCs w:val="24"/>
            </w:rPr>
            <w:t xml:space="preserve"> Estimated learning time: 75–80 minutes</w:t>
          </w:r>
        </w:sdtContent>
      </w:sdt>
    </w:p>
    <w:p w14:paraId="5A54FC89" w14:textId="77777777" w:rsidR="003D4765" w:rsidRPr="008E694E" w:rsidRDefault="008F5C9D">
      <w:pPr>
        <w:jc w:val="center"/>
      </w:pPr>
      <w:r w:rsidRPr="008E694E">
        <w:rPr>
          <w:b/>
          <w:bCs/>
          <w:color w:val="324027"/>
          <w:sz w:val="40"/>
          <w:szCs w:val="40"/>
        </w:rPr>
        <w:t xml:space="preserve">Good practice guide for data </w:t>
      </w:r>
      <w:proofErr w:type="spellStart"/>
      <w:r w:rsidRPr="008E694E">
        <w:rPr>
          <w:b/>
          <w:bCs/>
          <w:color w:val="324027"/>
          <w:sz w:val="40"/>
          <w:szCs w:val="40"/>
        </w:rPr>
        <w:t>visualisation</w:t>
      </w:r>
      <w:proofErr w:type="spellEnd"/>
    </w:p>
    <w:p w14:paraId="5A54FC8A" w14:textId="77777777" w:rsidR="003D4765" w:rsidRPr="008E694E" w:rsidRDefault="008F5C9D">
      <w:pPr>
        <w:jc w:val="center"/>
      </w:pPr>
      <w:r w:rsidRPr="008E694E">
        <w:rPr>
          <w:b/>
          <w:bCs/>
          <w:color w:val="F59342"/>
          <w:sz w:val="32"/>
          <w:szCs w:val="32"/>
        </w:rPr>
        <w:t>Digital Dashboard</w:t>
      </w:r>
    </w:p>
    <w:p w14:paraId="5A54FC8B" w14:textId="77777777" w:rsidR="003D4765" w:rsidRPr="008E694E" w:rsidRDefault="008F5C9D">
      <w:pPr>
        <w:jc w:val="center"/>
      </w:pPr>
      <w:r w:rsidRPr="008E694E">
        <w:rPr>
          <w:sz w:val="24"/>
          <w:szCs w:val="24"/>
        </w:rPr>
        <w:t>Practical guidance for interpreting CUSUM and geospatial outputs</w:t>
      </w:r>
    </w:p>
    <w:p w14:paraId="5A54FC8C" w14:textId="77777777" w:rsidR="003D4765" w:rsidRPr="008E694E" w:rsidRDefault="008F5C9D">
      <w:pPr>
        <w:jc w:val="center"/>
      </w:pPr>
      <w:r w:rsidRPr="008E694E">
        <w:t>[June 2026]</w:t>
      </w:r>
    </w:p>
    <w:p w14:paraId="5A54FC8D" w14:textId="77777777" w:rsidR="003D4765" w:rsidRPr="008E694E" w:rsidRDefault="003D4765">
      <w:pPr>
        <w:jc w:val="center"/>
      </w:pPr>
    </w:p>
    <w:p w14:paraId="5A54FC8E" w14:textId="77777777" w:rsidR="003D4765" w:rsidRPr="008E694E" w:rsidRDefault="008F5C9D">
      <w:pPr>
        <w:pBdr>
          <w:top w:val="nil"/>
          <w:left w:val="nil"/>
          <w:bottom w:val="nil"/>
          <w:right w:val="nil"/>
          <w:between w:val="nil"/>
        </w:pBdr>
        <w:spacing w:before="200" w:after="80" w:line="276" w:lineRule="auto"/>
        <w:rPr>
          <w:b/>
          <w:bCs/>
          <w:color w:val="324027"/>
          <w:sz w:val="30"/>
          <w:szCs w:val="30"/>
        </w:rPr>
      </w:pPr>
      <w:r w:rsidRPr="008E694E">
        <w:rPr>
          <w:b/>
          <w:bCs/>
          <w:color w:val="324027"/>
          <w:sz w:val="30"/>
          <w:szCs w:val="30"/>
        </w:rPr>
        <w:t>Contents</w:t>
      </w:r>
    </w:p>
    <w:sdt>
      <w:sdtPr>
        <w:id w:val="1896937075"/>
        <w:docPartObj>
          <w:docPartGallery w:val="Table of Contents"/>
          <w:docPartUnique/>
        </w:docPartObj>
      </w:sdtPr>
      <w:sdtEndPr/>
      <w:sdtContent>
        <w:p w14:paraId="5A54FC8F" w14:textId="77777777" w:rsidR="003D4765" w:rsidRPr="008E694E" w:rsidRDefault="008F5C9D">
          <w:pPr>
            <w:widowControl w:val="0"/>
            <w:tabs>
              <w:tab w:val="right" w:pos="12000"/>
            </w:tabs>
            <w:spacing w:before="60" w:after="0" w:line="240" w:lineRule="auto"/>
            <w:rPr>
              <w:b/>
              <w:bCs/>
              <w:color w:val="000000"/>
            </w:rPr>
          </w:pPr>
          <w:r w:rsidRPr="008E694E">
            <w:fldChar w:fldCharType="begin"/>
          </w:r>
          <w:r w:rsidRPr="008E694E">
            <w:instrText xml:space="preserve"> TOC \h \u \z \t "Heading 1,1,Heading 2,2,Heading 3,3,Heading 4,4,Heading 5,5,Heading 6,6,"</w:instrText>
          </w:r>
          <w:r w:rsidRPr="008E694E">
            <w:fldChar w:fldCharType="separate"/>
          </w:r>
          <w:hyperlink w:anchor="_heading=h.iu6x857s166z">
            <w:r w:rsidRPr="008E694E">
              <w:rPr>
                <w:b/>
                <w:bCs/>
                <w:color w:val="000000"/>
              </w:rPr>
              <w:t>Section 1. Purpose and scope</w:t>
            </w:r>
            <w:r w:rsidRPr="008E694E">
              <w:rPr>
                <w:b/>
                <w:bCs/>
                <w:color w:val="000000"/>
              </w:rPr>
              <w:tab/>
              <w:t>2</w:t>
            </w:r>
          </w:hyperlink>
        </w:p>
        <w:p w14:paraId="5A54FC90" w14:textId="77777777" w:rsidR="003D4765" w:rsidRPr="008E694E" w:rsidRDefault="008F5C9D">
          <w:pPr>
            <w:widowControl w:val="0"/>
            <w:tabs>
              <w:tab w:val="right" w:pos="12000"/>
            </w:tabs>
            <w:spacing w:before="60" w:after="0" w:line="240" w:lineRule="auto"/>
            <w:rPr>
              <w:b/>
              <w:bCs/>
              <w:color w:val="000000"/>
            </w:rPr>
          </w:pPr>
          <w:hyperlink w:anchor="_heading=h.hr4e0xtreyml">
            <w:r w:rsidRPr="008E694E">
              <w:rPr>
                <w:b/>
                <w:bCs/>
                <w:color w:val="000000"/>
              </w:rPr>
              <w:t>Section 2. What the current dashboard actually shows</w:t>
            </w:r>
            <w:r w:rsidRPr="008E694E">
              <w:rPr>
                <w:b/>
                <w:bCs/>
                <w:color w:val="000000"/>
              </w:rPr>
              <w:tab/>
              <w:t>3</w:t>
            </w:r>
          </w:hyperlink>
          <w:r w:rsidRPr="008E694E">
            <w:fldChar w:fldCharType="end"/>
          </w:r>
        </w:p>
      </w:sdtContent>
    </w:sdt>
    <w:p w14:paraId="5A54FC91" w14:textId="77777777" w:rsidR="003D4765" w:rsidRPr="008E694E" w:rsidRDefault="003D4765">
      <w:pPr>
        <w:spacing w:after="40"/>
        <w:ind w:left="360"/>
      </w:pPr>
    </w:p>
    <w:p w14:paraId="5A54FC92" w14:textId="77777777" w:rsidR="003D4765" w:rsidRPr="008E694E" w:rsidRDefault="008F5C9D">
      <w:pPr>
        <w:pStyle w:val="Ttulo2"/>
        <w:spacing w:after="80" w:line="276" w:lineRule="auto"/>
        <w:rPr>
          <w:rFonts w:ascii="Arial" w:hAnsi="Arial" w:cs="Arial"/>
        </w:rPr>
      </w:pPr>
      <w:bookmarkStart w:id="3" w:name="_heading=h.iu6x857s166z" w:colFirst="0" w:colLast="0"/>
      <w:bookmarkEnd w:id="3"/>
      <w:r w:rsidRPr="008E694E">
        <w:rPr>
          <w:rFonts w:ascii="Arial" w:eastAsia="Arial" w:hAnsi="Arial" w:cs="Arial"/>
          <w:color w:val="324027"/>
          <w:sz w:val="30"/>
          <w:szCs w:val="30"/>
        </w:rPr>
        <w:t>Section 1. Purpose and scope</w:t>
      </w:r>
    </w:p>
    <w:p w14:paraId="5A54FC93" w14:textId="77777777" w:rsidR="003D4765" w:rsidRPr="008E694E" w:rsidRDefault="008F5C9D">
      <w:pPr>
        <w:spacing w:before="240" w:after="240"/>
        <w:jc w:val="both"/>
        <w:rPr>
          <w:sz w:val="24"/>
          <w:szCs w:val="24"/>
        </w:rPr>
      </w:pPr>
      <w:r w:rsidRPr="008E694E">
        <w:rPr>
          <w:sz w:val="24"/>
          <w:szCs w:val="24"/>
        </w:rPr>
        <w:t xml:space="preserve">This guide sets out good practice for data </w:t>
      </w:r>
      <w:proofErr w:type="spellStart"/>
      <w:r w:rsidRPr="008E694E">
        <w:rPr>
          <w:sz w:val="24"/>
          <w:szCs w:val="24"/>
        </w:rPr>
        <w:t>visualisation</w:t>
      </w:r>
      <w:proofErr w:type="spellEnd"/>
      <w:r w:rsidRPr="008E694E">
        <w:rPr>
          <w:sz w:val="24"/>
          <w:szCs w:val="24"/>
        </w:rPr>
        <w:t xml:space="preserve"> within the current version of the Digital Dashboard. It does not describe every type of epidemiological chart that might be useful in a broader surveillance platform. Instead, it focuses on the outputs currently produced by the dashboard: the CUSUM alarms overview, the CUSUM series plot, the CUSUM process plot, the prevalence map, the LISA cluster map, the Global Moran summary, the results tables and the prepared data views.</w:t>
      </w:r>
    </w:p>
    <w:p w14:paraId="5A54FC94" w14:textId="77777777" w:rsidR="003D4765" w:rsidRPr="008E694E" w:rsidRDefault="008F5C9D">
      <w:pPr>
        <w:spacing w:before="240" w:after="240"/>
        <w:jc w:val="both"/>
        <w:rPr>
          <w:sz w:val="24"/>
          <w:szCs w:val="24"/>
        </w:rPr>
      </w:pPr>
      <w:r w:rsidRPr="008E694E">
        <w:rPr>
          <w:sz w:val="24"/>
          <w:szCs w:val="24"/>
        </w:rPr>
        <w:t>The main purpose of this guide is to support the consistent interpretation of these outputs. It is intended to help analysts, epidemiologists and public health decision-makers interpret dashboard results consistently and avoid common errors. It is also relevant to developers because it describes the visual conventions that should be preserved when the application is updated. In a surveillance environment, a chart cannot be considered effective solely because it is visually appealing; it must also communicat</w:t>
      </w:r>
      <w:r w:rsidRPr="008E694E">
        <w:rPr>
          <w:sz w:val="24"/>
          <w:szCs w:val="24"/>
        </w:rPr>
        <w:t>e its meaning accurately and support appropriate interpretation. The emphasis is therefore on meaning, comparability and the practical use of results to inform action.</w:t>
      </w:r>
    </w:p>
    <w:p w14:paraId="5A54FC95" w14:textId="77777777" w:rsidR="003D4765" w:rsidRPr="008E694E" w:rsidRDefault="008F5C9D">
      <w:pPr>
        <w:spacing w:before="240" w:after="240"/>
        <w:jc w:val="both"/>
        <w:rPr>
          <w:sz w:val="24"/>
          <w:szCs w:val="24"/>
        </w:rPr>
      </w:pPr>
      <w:r w:rsidRPr="008E694E">
        <w:rPr>
          <w:sz w:val="24"/>
          <w:szCs w:val="24"/>
        </w:rPr>
        <w:t xml:space="preserve">Examples throughout the document are drawn from the practical laboratory developed for the Digital Dashboard. The laboratory uses a simulated 2025 dataset for the Ciudad </w:t>
      </w:r>
      <w:proofErr w:type="spellStart"/>
      <w:r w:rsidRPr="008E694E">
        <w:rPr>
          <w:sz w:val="24"/>
          <w:szCs w:val="24"/>
        </w:rPr>
        <w:t>Autónoma</w:t>
      </w:r>
      <w:proofErr w:type="spellEnd"/>
      <w:r w:rsidRPr="008E694E">
        <w:rPr>
          <w:sz w:val="24"/>
          <w:szCs w:val="24"/>
        </w:rPr>
        <w:t xml:space="preserve"> de Buenos Aires, covering 10 communes, 236 census fractions and 52 epidemiological weeks. It includes three clearly differentiated temporal CUSUM scenarios and three geospatial analysis periods. These examples help illustrate what the dashboard should display before an outbreak signal emerges, while the signal is active and when data are examined over a longer surveillance period.</w:t>
      </w:r>
    </w:p>
    <w:p w14:paraId="5A54FC96" w14:textId="77777777" w:rsidR="003D4765" w:rsidRPr="008E694E" w:rsidRDefault="003D4765">
      <w:pPr>
        <w:jc w:val="both"/>
      </w:pPr>
    </w:p>
    <w:p w14:paraId="5A54FC97" w14:textId="77777777" w:rsidR="003D4765" w:rsidRPr="008E694E" w:rsidRDefault="003D4765">
      <w:pPr>
        <w:pStyle w:val="Ttulo2"/>
        <w:spacing w:after="80" w:line="276" w:lineRule="auto"/>
        <w:rPr>
          <w:rFonts w:ascii="Arial" w:eastAsia="Arial" w:hAnsi="Arial" w:cs="Arial"/>
          <w:color w:val="324027"/>
          <w:sz w:val="30"/>
          <w:szCs w:val="30"/>
        </w:rPr>
      </w:pPr>
      <w:bookmarkStart w:id="4" w:name="_heading=h.hxggbdon9w0j" w:colFirst="0" w:colLast="0"/>
      <w:bookmarkEnd w:id="4"/>
    </w:p>
    <w:p w14:paraId="5A54FC98" w14:textId="77777777" w:rsidR="003D4765" w:rsidRPr="008E694E" w:rsidRDefault="008F5C9D">
      <w:pPr>
        <w:pStyle w:val="Ttulo2"/>
        <w:spacing w:after="80" w:line="276" w:lineRule="auto"/>
        <w:rPr>
          <w:rFonts w:ascii="Arial" w:hAnsi="Arial" w:cs="Arial"/>
        </w:rPr>
      </w:pPr>
      <w:bookmarkStart w:id="5" w:name="_heading=h.hr4e0xtreyml" w:colFirst="0" w:colLast="0"/>
      <w:bookmarkEnd w:id="5"/>
      <w:r w:rsidRPr="008E694E">
        <w:rPr>
          <w:rFonts w:ascii="Arial" w:eastAsia="Arial" w:hAnsi="Arial" w:cs="Arial"/>
          <w:color w:val="324027"/>
          <w:sz w:val="30"/>
          <w:szCs w:val="30"/>
        </w:rPr>
        <w:t xml:space="preserve">Section 2. What the current dashboard </w:t>
      </w:r>
      <w:proofErr w:type="gramStart"/>
      <w:r w:rsidRPr="008E694E">
        <w:rPr>
          <w:rFonts w:ascii="Arial" w:eastAsia="Arial" w:hAnsi="Arial" w:cs="Arial"/>
          <w:color w:val="324027"/>
          <w:sz w:val="30"/>
          <w:szCs w:val="30"/>
        </w:rPr>
        <w:t>actually shows</w:t>
      </w:r>
      <w:proofErr w:type="gramEnd"/>
    </w:p>
    <w:p w14:paraId="5A54FC99" w14:textId="77777777" w:rsidR="003D4765" w:rsidRPr="008E694E" w:rsidRDefault="008F5C9D">
      <w:pPr>
        <w:spacing w:before="240" w:after="240"/>
        <w:jc w:val="both"/>
        <w:rPr>
          <w:sz w:val="24"/>
          <w:szCs w:val="24"/>
        </w:rPr>
      </w:pPr>
      <w:r w:rsidRPr="008E694E">
        <w:rPr>
          <w:sz w:val="24"/>
          <w:szCs w:val="24"/>
        </w:rPr>
        <w:t>The current dashboard brings together two analytical engines within a single interface. One engine is temporal and is based on CUSUM. The other is spatial and is based on prevalence mapping and Local Indicators of Spatial Association, or LISA. The dashboard also includes a shared file-upload process, common filters, configurable display options, results tables and downloadable prepared datasets.</w:t>
      </w:r>
    </w:p>
    <w:p w14:paraId="5A54FC9A" w14:textId="77777777" w:rsidR="003D4765" w:rsidRPr="008E694E" w:rsidRDefault="008F5C9D">
      <w:pPr>
        <w:spacing w:before="240" w:after="240"/>
        <w:jc w:val="both"/>
        <w:rPr>
          <w:sz w:val="24"/>
          <w:szCs w:val="24"/>
        </w:rPr>
      </w:pPr>
      <w:r w:rsidRPr="008E694E">
        <w:rPr>
          <w:sz w:val="24"/>
          <w:szCs w:val="24"/>
        </w:rPr>
        <w:t xml:space="preserve">This means that the good practice guide should be </w:t>
      </w:r>
      <w:proofErr w:type="spellStart"/>
      <w:r w:rsidRPr="008E694E">
        <w:rPr>
          <w:sz w:val="24"/>
          <w:szCs w:val="24"/>
        </w:rPr>
        <w:t>organised</w:t>
      </w:r>
      <w:proofErr w:type="spellEnd"/>
      <w:r w:rsidRPr="008E694E">
        <w:rPr>
          <w:sz w:val="24"/>
          <w:szCs w:val="24"/>
        </w:rPr>
        <w:t xml:space="preserve"> around a limited number of clearly defined visual outputs, rather than as a generic catalogue of chart types. The dashboard is not currently designed as a demographic profiling tool and does not include dedicated views for comparisons by sex or age. Its main functions are temporal alerting, spatial pattern detection and the review of results at the selected geographical level.</w:t>
      </w:r>
    </w:p>
    <w:p w14:paraId="5A54FC9B" w14:textId="77777777" w:rsidR="003D4765" w:rsidRPr="008E694E" w:rsidRDefault="008F5C9D">
      <w:pPr>
        <w:spacing w:before="240" w:after="240"/>
        <w:jc w:val="both"/>
        <w:rPr>
          <w:b/>
          <w:bCs/>
          <w:sz w:val="24"/>
          <w:szCs w:val="24"/>
        </w:rPr>
      </w:pPr>
      <w:r w:rsidRPr="008E694E">
        <w:rPr>
          <w:sz w:val="24"/>
          <w:szCs w:val="24"/>
        </w:rPr>
        <w:t xml:space="preserve">The central design question is therefore not </w:t>
      </w:r>
      <w:r w:rsidRPr="008E694E">
        <w:rPr>
          <w:b/>
          <w:bCs/>
          <w:sz w:val="24"/>
          <w:szCs w:val="24"/>
        </w:rPr>
        <w:t>‘Which chart could be used in theory?’</w:t>
      </w:r>
      <w:r w:rsidRPr="008E694E">
        <w:rPr>
          <w:sz w:val="24"/>
          <w:szCs w:val="24"/>
        </w:rPr>
        <w:t xml:space="preserve">, but </w:t>
      </w:r>
      <w:r w:rsidRPr="008E694E">
        <w:rPr>
          <w:b/>
          <w:bCs/>
          <w:sz w:val="24"/>
          <w:szCs w:val="24"/>
        </w:rPr>
        <w:t>‘How should users interpret the outputs that the dashboard currently provides?’</w:t>
      </w:r>
    </w:p>
    <w:p w14:paraId="5A54FC9C" w14:textId="77777777" w:rsidR="003D4765" w:rsidRPr="008E694E" w:rsidRDefault="003D4765"/>
    <w:p w14:paraId="5A54FC9D" w14:textId="77777777" w:rsidR="003D4765" w:rsidRPr="008E694E" w:rsidRDefault="003D4765"/>
    <w:tbl>
      <w:tblPr>
        <w:tblStyle w:val="a"/>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3D4765" w:rsidRPr="008E694E" w14:paraId="5A54FCA1" w14:textId="77777777">
        <w:trPr>
          <w:jc w:val="center"/>
        </w:trPr>
        <w:tc>
          <w:tcPr>
            <w:tcW w:w="3360" w:type="dxa"/>
            <w:shd w:val="clear" w:color="auto" w:fill="F4F6F5"/>
          </w:tcPr>
          <w:p w14:paraId="5A54FC9E" w14:textId="77777777" w:rsidR="003D4765" w:rsidRPr="008E694E" w:rsidRDefault="008F5C9D">
            <w:r w:rsidRPr="008E694E">
              <w:rPr>
                <w:b/>
                <w:bCs/>
              </w:rPr>
              <w:t>Output</w:t>
            </w:r>
          </w:p>
        </w:tc>
        <w:tc>
          <w:tcPr>
            <w:tcW w:w="3360" w:type="dxa"/>
            <w:shd w:val="clear" w:color="auto" w:fill="F4F6F5"/>
          </w:tcPr>
          <w:p w14:paraId="5A54FC9F" w14:textId="77777777" w:rsidR="003D4765" w:rsidRPr="008E694E" w:rsidRDefault="008F5C9D">
            <w:r w:rsidRPr="008E694E">
              <w:rPr>
                <w:b/>
                <w:bCs/>
              </w:rPr>
              <w:t>Main analytical question</w:t>
            </w:r>
          </w:p>
        </w:tc>
        <w:tc>
          <w:tcPr>
            <w:tcW w:w="3360" w:type="dxa"/>
            <w:shd w:val="clear" w:color="auto" w:fill="F4F6F5"/>
          </w:tcPr>
          <w:p w14:paraId="5A54FCA0" w14:textId="77777777" w:rsidR="003D4765" w:rsidRPr="008E694E" w:rsidRDefault="008F5C9D">
            <w:r w:rsidRPr="008E694E">
              <w:rPr>
                <w:b/>
                <w:bCs/>
              </w:rPr>
              <w:t>Main interpretation risk</w:t>
            </w:r>
          </w:p>
        </w:tc>
      </w:tr>
      <w:tr w:rsidR="003D4765" w:rsidRPr="008E694E" w14:paraId="5A54FCA5" w14:textId="77777777">
        <w:trPr>
          <w:jc w:val="center"/>
        </w:trPr>
        <w:tc>
          <w:tcPr>
            <w:tcW w:w="3360" w:type="dxa"/>
          </w:tcPr>
          <w:p w14:paraId="5A54FCA2" w14:textId="77777777" w:rsidR="003D4765" w:rsidRPr="008E694E" w:rsidRDefault="008F5C9D">
            <w:r w:rsidRPr="008E694E">
              <w:rPr>
                <w:sz w:val="20"/>
                <w:szCs w:val="20"/>
              </w:rPr>
              <w:t>CUSUM alarms overview</w:t>
            </w:r>
          </w:p>
        </w:tc>
        <w:tc>
          <w:tcPr>
            <w:tcW w:w="3360" w:type="dxa"/>
          </w:tcPr>
          <w:p w14:paraId="5A54FCA3" w14:textId="77777777" w:rsidR="003D4765" w:rsidRPr="008E694E" w:rsidRDefault="008F5C9D">
            <w:r w:rsidRPr="008E694E">
              <w:rPr>
                <w:sz w:val="20"/>
                <w:szCs w:val="20"/>
              </w:rPr>
              <w:t>Which units show alarm weeks over time?</w:t>
            </w:r>
          </w:p>
        </w:tc>
        <w:tc>
          <w:tcPr>
            <w:tcW w:w="3360" w:type="dxa"/>
          </w:tcPr>
          <w:p w14:paraId="5A54FCA4" w14:textId="77777777" w:rsidR="003D4765" w:rsidRPr="008E694E" w:rsidRDefault="008F5C9D">
            <w:pPr>
              <w:rPr>
                <w:sz w:val="21"/>
                <w:szCs w:val="21"/>
              </w:rPr>
            </w:pPr>
            <w:r w:rsidRPr="008E694E">
              <w:rPr>
                <w:sz w:val="21"/>
                <w:szCs w:val="21"/>
              </w:rPr>
              <w:t>Interpreting every red cell as confirmation of an outbreak, rather than as an early-warning signal</w:t>
            </w:r>
          </w:p>
        </w:tc>
      </w:tr>
      <w:tr w:rsidR="003D4765" w:rsidRPr="008E694E" w14:paraId="5A54FCA9" w14:textId="77777777">
        <w:trPr>
          <w:jc w:val="center"/>
        </w:trPr>
        <w:tc>
          <w:tcPr>
            <w:tcW w:w="3360" w:type="dxa"/>
          </w:tcPr>
          <w:p w14:paraId="5A54FCA6" w14:textId="77777777" w:rsidR="003D4765" w:rsidRPr="008E694E" w:rsidRDefault="008F5C9D">
            <w:r w:rsidRPr="008E694E">
              <w:rPr>
                <w:sz w:val="20"/>
                <w:szCs w:val="20"/>
              </w:rPr>
              <w:t>CUSUM series plot</w:t>
            </w:r>
          </w:p>
        </w:tc>
        <w:tc>
          <w:tcPr>
            <w:tcW w:w="3360" w:type="dxa"/>
          </w:tcPr>
          <w:p w14:paraId="5A54FCA7" w14:textId="77777777" w:rsidR="003D4765" w:rsidRPr="008E694E" w:rsidRDefault="008F5C9D">
            <w:r w:rsidRPr="008E694E">
              <w:rPr>
                <w:sz w:val="20"/>
                <w:szCs w:val="20"/>
              </w:rPr>
              <w:t>How do observed values compare with expected values?</w:t>
            </w:r>
          </w:p>
        </w:tc>
        <w:tc>
          <w:tcPr>
            <w:tcW w:w="3360" w:type="dxa"/>
          </w:tcPr>
          <w:p w14:paraId="5A54FCA8" w14:textId="77777777" w:rsidR="003D4765" w:rsidRPr="008E694E" w:rsidRDefault="008F5C9D">
            <w:pPr>
              <w:rPr>
                <w:sz w:val="21"/>
                <w:szCs w:val="21"/>
              </w:rPr>
            </w:pPr>
            <w:r w:rsidRPr="008E694E">
              <w:rPr>
                <w:sz w:val="21"/>
                <w:szCs w:val="21"/>
              </w:rPr>
              <w:t>Ignoring the expected baseline and interpreting the observed series in isolation</w:t>
            </w:r>
          </w:p>
        </w:tc>
      </w:tr>
      <w:tr w:rsidR="003D4765" w:rsidRPr="008E694E" w14:paraId="5A54FCAD" w14:textId="77777777">
        <w:trPr>
          <w:jc w:val="center"/>
        </w:trPr>
        <w:tc>
          <w:tcPr>
            <w:tcW w:w="3360" w:type="dxa"/>
          </w:tcPr>
          <w:p w14:paraId="5A54FCAA" w14:textId="77777777" w:rsidR="003D4765" w:rsidRPr="008E694E" w:rsidRDefault="008F5C9D">
            <w:r w:rsidRPr="008E694E">
              <w:rPr>
                <w:sz w:val="20"/>
                <w:szCs w:val="20"/>
              </w:rPr>
              <w:t>CUSUM process plot</w:t>
            </w:r>
          </w:p>
        </w:tc>
        <w:tc>
          <w:tcPr>
            <w:tcW w:w="3360" w:type="dxa"/>
          </w:tcPr>
          <w:p w14:paraId="5A54FCAB" w14:textId="77777777" w:rsidR="003D4765" w:rsidRPr="008E694E" w:rsidRDefault="008F5C9D">
            <w:r w:rsidRPr="008E694E">
              <w:rPr>
                <w:sz w:val="20"/>
                <w:szCs w:val="20"/>
              </w:rPr>
              <w:t>When does cumulative excess cross the threshold?</w:t>
            </w:r>
          </w:p>
        </w:tc>
        <w:tc>
          <w:tcPr>
            <w:tcW w:w="3360" w:type="dxa"/>
          </w:tcPr>
          <w:p w14:paraId="5A54FCAC" w14:textId="77777777" w:rsidR="003D4765" w:rsidRPr="008E694E" w:rsidRDefault="008F5C9D">
            <w:pPr>
              <w:rPr>
                <w:sz w:val="21"/>
                <w:szCs w:val="21"/>
              </w:rPr>
            </w:pPr>
            <w:r w:rsidRPr="008E694E">
              <w:rPr>
                <w:sz w:val="21"/>
                <w:szCs w:val="21"/>
              </w:rPr>
              <w:t>Interpreting resets following an alarm as a data or system error</w:t>
            </w:r>
          </w:p>
        </w:tc>
      </w:tr>
      <w:tr w:rsidR="003D4765" w:rsidRPr="008E694E" w14:paraId="5A54FCB1" w14:textId="77777777">
        <w:trPr>
          <w:jc w:val="center"/>
        </w:trPr>
        <w:tc>
          <w:tcPr>
            <w:tcW w:w="3360" w:type="dxa"/>
          </w:tcPr>
          <w:p w14:paraId="5A54FCAE" w14:textId="77777777" w:rsidR="003D4765" w:rsidRPr="008E694E" w:rsidRDefault="008F5C9D">
            <w:r w:rsidRPr="008E694E">
              <w:rPr>
                <w:sz w:val="20"/>
                <w:szCs w:val="20"/>
              </w:rPr>
              <w:t>Prevalence map</w:t>
            </w:r>
          </w:p>
        </w:tc>
        <w:tc>
          <w:tcPr>
            <w:tcW w:w="3360" w:type="dxa"/>
          </w:tcPr>
          <w:p w14:paraId="5A54FCAF" w14:textId="77777777" w:rsidR="003D4765" w:rsidRPr="008E694E" w:rsidRDefault="008F5C9D">
            <w:r w:rsidRPr="008E694E">
              <w:rPr>
                <w:sz w:val="20"/>
                <w:szCs w:val="20"/>
              </w:rPr>
              <w:t>Which areas have higher observed burden in the selected period?</w:t>
            </w:r>
          </w:p>
        </w:tc>
        <w:tc>
          <w:tcPr>
            <w:tcW w:w="3360" w:type="dxa"/>
          </w:tcPr>
          <w:p w14:paraId="5A54FCB0" w14:textId="77777777" w:rsidR="003D4765" w:rsidRPr="008E694E" w:rsidRDefault="008F5C9D">
            <w:pPr>
              <w:rPr>
                <w:sz w:val="21"/>
                <w:szCs w:val="21"/>
              </w:rPr>
            </w:pPr>
            <w:r w:rsidRPr="008E694E">
              <w:rPr>
                <w:sz w:val="21"/>
                <w:szCs w:val="21"/>
              </w:rPr>
              <w:t>Confusing high case counts with high rates, or interpreting missing data as zero</w:t>
            </w:r>
          </w:p>
        </w:tc>
      </w:tr>
      <w:tr w:rsidR="003D4765" w:rsidRPr="008E694E" w14:paraId="5A54FCB5" w14:textId="77777777">
        <w:trPr>
          <w:jc w:val="center"/>
        </w:trPr>
        <w:tc>
          <w:tcPr>
            <w:tcW w:w="3360" w:type="dxa"/>
          </w:tcPr>
          <w:p w14:paraId="5A54FCB2" w14:textId="77777777" w:rsidR="003D4765" w:rsidRPr="008E694E" w:rsidRDefault="008F5C9D">
            <w:r w:rsidRPr="008E694E">
              <w:rPr>
                <w:sz w:val="20"/>
                <w:szCs w:val="20"/>
              </w:rPr>
              <w:t>LISA cluster map</w:t>
            </w:r>
          </w:p>
        </w:tc>
        <w:tc>
          <w:tcPr>
            <w:tcW w:w="3360" w:type="dxa"/>
          </w:tcPr>
          <w:p w14:paraId="5A54FCB3" w14:textId="77777777" w:rsidR="003D4765" w:rsidRPr="008E694E" w:rsidRDefault="008F5C9D">
            <w:r w:rsidRPr="008E694E">
              <w:rPr>
                <w:sz w:val="20"/>
                <w:szCs w:val="20"/>
              </w:rPr>
              <w:t xml:space="preserve">Which areas belong to a statistically </w:t>
            </w:r>
            <w:proofErr w:type="spellStart"/>
            <w:r w:rsidRPr="008E694E">
              <w:rPr>
                <w:sz w:val="20"/>
                <w:szCs w:val="20"/>
              </w:rPr>
              <w:t>localised</w:t>
            </w:r>
            <w:proofErr w:type="spellEnd"/>
            <w:r w:rsidRPr="008E694E">
              <w:rPr>
                <w:sz w:val="20"/>
                <w:szCs w:val="20"/>
              </w:rPr>
              <w:t xml:space="preserve"> cluster?</w:t>
            </w:r>
          </w:p>
        </w:tc>
        <w:tc>
          <w:tcPr>
            <w:tcW w:w="3360" w:type="dxa"/>
          </w:tcPr>
          <w:p w14:paraId="5A54FCB4" w14:textId="77777777" w:rsidR="003D4765" w:rsidRPr="008E694E" w:rsidRDefault="008F5C9D">
            <w:pPr>
              <w:rPr>
                <w:sz w:val="21"/>
                <w:szCs w:val="21"/>
              </w:rPr>
            </w:pPr>
            <w:r w:rsidRPr="008E694E">
              <w:rPr>
                <w:sz w:val="21"/>
                <w:szCs w:val="21"/>
              </w:rPr>
              <w:t>Treating a cluster category as evidence of causation or interpreting it without considering statistical significance</w:t>
            </w:r>
          </w:p>
        </w:tc>
      </w:tr>
      <w:tr w:rsidR="003D4765" w:rsidRPr="008E694E" w14:paraId="5A54FCB9" w14:textId="77777777">
        <w:trPr>
          <w:jc w:val="center"/>
        </w:trPr>
        <w:tc>
          <w:tcPr>
            <w:tcW w:w="3360" w:type="dxa"/>
          </w:tcPr>
          <w:p w14:paraId="5A54FCB6" w14:textId="77777777" w:rsidR="003D4765" w:rsidRPr="008E694E" w:rsidRDefault="008F5C9D">
            <w:r w:rsidRPr="008E694E">
              <w:rPr>
                <w:sz w:val="20"/>
                <w:szCs w:val="20"/>
              </w:rPr>
              <w:t>Global Moran summary</w:t>
            </w:r>
          </w:p>
        </w:tc>
        <w:tc>
          <w:tcPr>
            <w:tcW w:w="3360" w:type="dxa"/>
          </w:tcPr>
          <w:p w14:paraId="5A54FCB7" w14:textId="77777777" w:rsidR="003D4765" w:rsidRPr="008E694E" w:rsidRDefault="008F5C9D">
            <w:r w:rsidRPr="008E694E">
              <w:rPr>
                <w:sz w:val="20"/>
                <w:szCs w:val="20"/>
              </w:rPr>
              <w:t>Is there overall spatial autocorrelation?</w:t>
            </w:r>
          </w:p>
        </w:tc>
        <w:tc>
          <w:tcPr>
            <w:tcW w:w="3360" w:type="dxa"/>
          </w:tcPr>
          <w:p w14:paraId="5A54FCB8" w14:textId="77777777" w:rsidR="003D4765" w:rsidRPr="008E694E" w:rsidRDefault="008F5C9D">
            <w:pPr>
              <w:rPr>
                <w:sz w:val="21"/>
                <w:szCs w:val="21"/>
              </w:rPr>
            </w:pPr>
            <w:r w:rsidRPr="008E694E">
              <w:rPr>
                <w:sz w:val="21"/>
                <w:szCs w:val="21"/>
              </w:rPr>
              <w:t>Using the summary banner alone without examining the local spatial pattern</w:t>
            </w:r>
          </w:p>
        </w:tc>
      </w:tr>
      <w:tr w:rsidR="003D4765" w:rsidRPr="008E694E" w14:paraId="5A54FCBD" w14:textId="77777777">
        <w:trPr>
          <w:jc w:val="center"/>
        </w:trPr>
        <w:tc>
          <w:tcPr>
            <w:tcW w:w="3360" w:type="dxa"/>
          </w:tcPr>
          <w:p w14:paraId="5A54FCBA" w14:textId="77777777" w:rsidR="003D4765" w:rsidRPr="008E694E" w:rsidRDefault="008F5C9D">
            <w:r w:rsidRPr="008E694E">
              <w:rPr>
                <w:sz w:val="20"/>
                <w:szCs w:val="20"/>
              </w:rPr>
              <w:t>Results tables</w:t>
            </w:r>
          </w:p>
        </w:tc>
        <w:tc>
          <w:tcPr>
            <w:tcW w:w="3360" w:type="dxa"/>
          </w:tcPr>
          <w:p w14:paraId="5A54FCBB" w14:textId="77777777" w:rsidR="003D4765" w:rsidRPr="008E694E" w:rsidRDefault="008F5C9D">
            <w:r w:rsidRPr="008E694E">
              <w:rPr>
                <w:sz w:val="20"/>
                <w:szCs w:val="20"/>
              </w:rPr>
              <w:t>What are the exact values behind the plots and maps?</w:t>
            </w:r>
          </w:p>
        </w:tc>
        <w:tc>
          <w:tcPr>
            <w:tcW w:w="3360" w:type="dxa"/>
          </w:tcPr>
          <w:p w14:paraId="5A54FCBC" w14:textId="77777777" w:rsidR="003D4765" w:rsidRPr="008E694E" w:rsidRDefault="008F5C9D">
            <w:pPr>
              <w:rPr>
                <w:sz w:val="21"/>
                <w:szCs w:val="21"/>
              </w:rPr>
            </w:pPr>
            <w:r w:rsidRPr="008E694E">
              <w:rPr>
                <w:sz w:val="21"/>
                <w:szCs w:val="21"/>
              </w:rPr>
              <w:t xml:space="preserve">Interpreting rounded summary values without checking the units and </w:t>
            </w:r>
            <w:proofErr w:type="gramStart"/>
            <w:r w:rsidRPr="008E694E">
              <w:rPr>
                <w:sz w:val="21"/>
                <w:szCs w:val="21"/>
              </w:rPr>
              <w:t>selected</w:t>
            </w:r>
            <w:proofErr w:type="gramEnd"/>
            <w:r w:rsidRPr="008E694E">
              <w:rPr>
                <w:sz w:val="21"/>
                <w:szCs w:val="21"/>
              </w:rPr>
              <w:t xml:space="preserve"> time window</w:t>
            </w:r>
          </w:p>
        </w:tc>
      </w:tr>
      <w:tr w:rsidR="003D4765" w:rsidRPr="008E694E" w14:paraId="5A54FCC1" w14:textId="77777777">
        <w:trPr>
          <w:jc w:val="center"/>
        </w:trPr>
        <w:tc>
          <w:tcPr>
            <w:tcW w:w="3360" w:type="dxa"/>
          </w:tcPr>
          <w:p w14:paraId="5A54FCBE" w14:textId="77777777" w:rsidR="003D4765" w:rsidRPr="008E694E" w:rsidRDefault="008F5C9D">
            <w:r w:rsidRPr="008E694E">
              <w:rPr>
                <w:sz w:val="20"/>
                <w:szCs w:val="20"/>
              </w:rPr>
              <w:t>Prepared data</w:t>
            </w:r>
          </w:p>
        </w:tc>
        <w:tc>
          <w:tcPr>
            <w:tcW w:w="3360" w:type="dxa"/>
          </w:tcPr>
          <w:p w14:paraId="5A54FCBF" w14:textId="77777777" w:rsidR="003D4765" w:rsidRPr="008E694E" w:rsidRDefault="008F5C9D">
            <w:r w:rsidRPr="008E694E">
              <w:rPr>
                <w:sz w:val="20"/>
                <w:szCs w:val="20"/>
              </w:rPr>
              <w:t xml:space="preserve">What data were </w:t>
            </w:r>
            <w:proofErr w:type="spellStart"/>
            <w:r w:rsidRPr="008E694E">
              <w:rPr>
                <w:sz w:val="20"/>
                <w:szCs w:val="20"/>
              </w:rPr>
              <w:t>standardised</w:t>
            </w:r>
            <w:proofErr w:type="spellEnd"/>
            <w:r w:rsidRPr="008E694E">
              <w:rPr>
                <w:sz w:val="20"/>
                <w:szCs w:val="20"/>
              </w:rPr>
              <w:t xml:space="preserve"> and </w:t>
            </w:r>
            <w:proofErr w:type="spellStart"/>
            <w:r w:rsidRPr="008E694E">
              <w:rPr>
                <w:sz w:val="20"/>
                <w:szCs w:val="20"/>
              </w:rPr>
              <w:t>analysed</w:t>
            </w:r>
            <w:proofErr w:type="spellEnd"/>
            <w:r w:rsidRPr="008E694E">
              <w:rPr>
                <w:sz w:val="20"/>
                <w:szCs w:val="20"/>
              </w:rPr>
              <w:t>?</w:t>
            </w:r>
          </w:p>
        </w:tc>
        <w:tc>
          <w:tcPr>
            <w:tcW w:w="3360" w:type="dxa"/>
          </w:tcPr>
          <w:p w14:paraId="5A54FCC0" w14:textId="77777777" w:rsidR="003D4765" w:rsidRPr="008E694E" w:rsidRDefault="008F5C9D">
            <w:pPr>
              <w:rPr>
                <w:sz w:val="21"/>
                <w:szCs w:val="21"/>
              </w:rPr>
            </w:pPr>
            <w:r w:rsidRPr="008E694E">
              <w:rPr>
                <w:sz w:val="21"/>
                <w:szCs w:val="21"/>
              </w:rPr>
              <w:t xml:space="preserve">Assuming that the uploaded file was </w:t>
            </w:r>
            <w:proofErr w:type="spellStart"/>
            <w:r w:rsidRPr="008E694E">
              <w:rPr>
                <w:sz w:val="21"/>
                <w:szCs w:val="21"/>
              </w:rPr>
              <w:t>analysed</w:t>
            </w:r>
            <w:proofErr w:type="spellEnd"/>
            <w:r w:rsidRPr="008E694E">
              <w:rPr>
                <w:sz w:val="21"/>
                <w:szCs w:val="21"/>
              </w:rPr>
              <w:t xml:space="preserve"> without any preparation or transformation</w:t>
            </w:r>
          </w:p>
        </w:tc>
      </w:tr>
    </w:tbl>
    <w:p w14:paraId="5A54FCC2" w14:textId="77777777" w:rsidR="003D4765" w:rsidRPr="008E694E" w:rsidRDefault="003D4765">
      <w:pPr>
        <w:pBdr>
          <w:top w:val="nil"/>
          <w:left w:val="nil"/>
          <w:bottom w:val="nil"/>
          <w:right w:val="nil"/>
          <w:between w:val="nil"/>
        </w:pBdr>
        <w:spacing w:before="200" w:after="80" w:line="276" w:lineRule="auto"/>
        <w:rPr>
          <w:b/>
          <w:bCs/>
          <w:color w:val="324027"/>
          <w:sz w:val="30"/>
          <w:szCs w:val="30"/>
        </w:rPr>
      </w:pPr>
    </w:p>
    <w:p w14:paraId="5A54FCC3" w14:textId="77777777" w:rsidR="003D4765" w:rsidRPr="008E694E" w:rsidRDefault="008F5C9D">
      <w:pPr>
        <w:pStyle w:val="Ttulo2"/>
        <w:spacing w:after="80" w:line="276" w:lineRule="auto"/>
        <w:rPr>
          <w:rFonts w:ascii="Arial" w:hAnsi="Arial" w:cs="Arial"/>
        </w:rPr>
      </w:pPr>
      <w:bookmarkStart w:id="6" w:name="_heading=h.8er33mkqunqz" w:colFirst="0" w:colLast="0"/>
      <w:bookmarkEnd w:id="6"/>
      <w:r w:rsidRPr="008E694E">
        <w:rPr>
          <w:rFonts w:ascii="Arial" w:eastAsia="Arial" w:hAnsi="Arial" w:cs="Arial"/>
          <w:color w:val="324027"/>
          <w:sz w:val="30"/>
          <w:szCs w:val="30"/>
        </w:rPr>
        <w:t>Section 3. Shared workflow and filter context</w:t>
      </w:r>
    </w:p>
    <w:p w14:paraId="5A54FCC4" w14:textId="77777777" w:rsidR="003D4765" w:rsidRPr="008E694E" w:rsidRDefault="008F5C9D">
      <w:pPr>
        <w:spacing w:before="240" w:after="240"/>
        <w:jc w:val="both"/>
      </w:pPr>
      <w:r w:rsidRPr="008E694E">
        <w:t>A central good-practice principle in this dashboard is that interpretation begins before any chart, table or map is generated. The user uploads one or more active files, selects a geographical level, chooses the relevant locations, defines the year and map time window where applicable, configures the CUSUM parameters and then runs the analysis.</w:t>
      </w:r>
    </w:p>
    <w:p w14:paraId="5A54FCC5" w14:textId="77777777" w:rsidR="003D4765" w:rsidRPr="008E694E" w:rsidRDefault="008F5C9D">
      <w:pPr>
        <w:spacing w:before="240" w:after="240"/>
        <w:jc w:val="both"/>
      </w:pPr>
      <w:r w:rsidRPr="008E694E">
        <w:t xml:space="preserve">Each output must therefore be interpreted in relation to these prior selections. A technically correct chart may still be misunderstood if the reader does not know which </w:t>
      </w:r>
      <w:proofErr w:type="gramStart"/>
      <w:r w:rsidRPr="008E694E">
        <w:t>time period</w:t>
      </w:r>
      <w:proofErr w:type="gramEnd"/>
      <w:r w:rsidRPr="008E694E">
        <w:t>, geographical units, active files or analytical parameters were used to produce it.</w:t>
      </w:r>
    </w:p>
    <w:p w14:paraId="5A54FCC6" w14:textId="77777777" w:rsidR="003D4765" w:rsidRPr="008E694E" w:rsidRDefault="008F5C9D">
      <w:pPr>
        <w:spacing w:before="240" w:after="240"/>
        <w:jc w:val="both"/>
      </w:pPr>
      <w:r w:rsidRPr="008E694E">
        <w:t xml:space="preserve">The practical laboratory illustrates this point clearly. The same CABA dataset can support different interpretations depending on the selected display and time settings. In the CUSUM teaching example, the analyst compares </w:t>
      </w:r>
      <w:proofErr w:type="spellStart"/>
      <w:r w:rsidRPr="008E694E">
        <w:t>Comuna</w:t>
      </w:r>
      <w:proofErr w:type="spellEnd"/>
      <w:r w:rsidRPr="008E694E">
        <w:t xml:space="preserve"> 10, </w:t>
      </w:r>
      <w:proofErr w:type="spellStart"/>
      <w:r w:rsidRPr="008E694E">
        <w:t>Comuna</w:t>
      </w:r>
      <w:proofErr w:type="spellEnd"/>
      <w:r w:rsidRPr="008E694E">
        <w:t xml:space="preserve"> 14 and </w:t>
      </w:r>
      <w:proofErr w:type="spellStart"/>
      <w:r w:rsidRPr="008E694E">
        <w:t>Comuna</w:t>
      </w:r>
      <w:proofErr w:type="spellEnd"/>
      <w:r w:rsidRPr="008E694E">
        <w:t xml:space="preserve"> 12 to examine the difference between no signal, a moderate signal and a strong signal. In the geospatial exercise, the user analyses a pre-outbreak week, a single week in which all simulated outbreaks are active and a longer accumulated time window.</w:t>
      </w:r>
    </w:p>
    <w:p w14:paraId="5A54FCC7" w14:textId="77777777" w:rsidR="003D4765" w:rsidRPr="008E694E" w:rsidRDefault="008F5C9D">
      <w:pPr>
        <w:spacing w:before="240" w:after="240"/>
        <w:jc w:val="both"/>
      </w:pPr>
      <w:r w:rsidRPr="008E694E">
        <w:t xml:space="preserve">The underlying data file remains unchanged, but the analytical question and the selected parameters differ. The resulting </w:t>
      </w:r>
      <w:proofErr w:type="gramStart"/>
      <w:r w:rsidRPr="008E694E">
        <w:t>outputs</w:t>
      </w:r>
      <w:proofErr w:type="gramEnd"/>
      <w:r w:rsidRPr="008E694E">
        <w:t xml:space="preserve"> must therefore be interpreted accordingly.</w:t>
      </w:r>
    </w:p>
    <w:p w14:paraId="5A54FCC8" w14:textId="77777777" w:rsidR="003D4765" w:rsidRPr="008E694E" w:rsidRDefault="008F5C9D">
      <w:pPr>
        <w:spacing w:before="240" w:after="240"/>
      </w:pPr>
      <w:r w:rsidRPr="008E694E">
        <w:t xml:space="preserve">Good practice begins with making this context explicit. Every </w:t>
      </w:r>
      <w:proofErr w:type="gramStart"/>
      <w:r w:rsidRPr="008E694E">
        <w:t>exported</w:t>
      </w:r>
      <w:proofErr w:type="gramEnd"/>
      <w:r w:rsidRPr="008E694E">
        <w:t xml:space="preserve"> chart, table and map should clearly identify:</w:t>
      </w:r>
    </w:p>
    <w:p w14:paraId="5A54FCC9" w14:textId="77777777" w:rsidR="003D4765" w:rsidRPr="008E694E" w:rsidRDefault="008F5C9D">
      <w:pPr>
        <w:numPr>
          <w:ilvl w:val="0"/>
          <w:numId w:val="1"/>
        </w:numPr>
        <w:spacing w:before="240" w:after="0"/>
        <w:jc w:val="both"/>
      </w:pPr>
      <w:r w:rsidRPr="008E694E">
        <w:t>the active dataset;</w:t>
      </w:r>
    </w:p>
    <w:p w14:paraId="5A54FCCA" w14:textId="77777777" w:rsidR="003D4765" w:rsidRPr="008E694E" w:rsidRDefault="008F5C9D">
      <w:pPr>
        <w:numPr>
          <w:ilvl w:val="0"/>
          <w:numId w:val="1"/>
        </w:numPr>
        <w:spacing w:after="0"/>
        <w:jc w:val="both"/>
      </w:pPr>
      <w:r w:rsidRPr="008E694E">
        <w:t>the selected geographical level;</w:t>
      </w:r>
    </w:p>
    <w:p w14:paraId="5A54FCCB" w14:textId="77777777" w:rsidR="003D4765" w:rsidRPr="008E694E" w:rsidRDefault="008F5C9D">
      <w:pPr>
        <w:numPr>
          <w:ilvl w:val="0"/>
          <w:numId w:val="1"/>
        </w:numPr>
        <w:spacing w:after="0"/>
        <w:jc w:val="both"/>
      </w:pPr>
      <w:r w:rsidRPr="008E694E">
        <w:t>the year;</w:t>
      </w:r>
    </w:p>
    <w:p w14:paraId="5A54FCCC" w14:textId="77777777" w:rsidR="003D4765" w:rsidRPr="008E694E" w:rsidRDefault="008F5C9D">
      <w:pPr>
        <w:numPr>
          <w:ilvl w:val="0"/>
          <w:numId w:val="1"/>
        </w:numPr>
        <w:spacing w:after="0"/>
        <w:jc w:val="both"/>
      </w:pPr>
      <w:r w:rsidRPr="008E694E">
        <w:t>the epidemiological week or week range; and</w:t>
      </w:r>
    </w:p>
    <w:p w14:paraId="5A54FCCD" w14:textId="77777777" w:rsidR="003D4765" w:rsidRPr="008E694E" w:rsidRDefault="008F5C9D">
      <w:pPr>
        <w:numPr>
          <w:ilvl w:val="0"/>
          <w:numId w:val="1"/>
        </w:numPr>
        <w:spacing w:after="240"/>
        <w:jc w:val="both"/>
      </w:pPr>
      <w:r w:rsidRPr="008E694E">
        <w:t>the key parameters used to generate the result.</w:t>
      </w:r>
    </w:p>
    <w:p w14:paraId="5A54FCCE" w14:textId="77777777" w:rsidR="003D4765" w:rsidRPr="008E694E" w:rsidRDefault="008F5C9D">
      <w:pPr>
        <w:spacing w:before="240" w:after="240"/>
        <w:jc w:val="both"/>
        <w:rPr>
          <w:b/>
          <w:bCs/>
        </w:rPr>
      </w:pPr>
      <w:r w:rsidRPr="008E694E">
        <w:t>This is particularly important in a Shiny environment, where users can change filters rapidly and may later be unable to recall which settings produced a downloaded image or table. Including this information in titles, captions or accompanying metadata helps preserve the interpretability of outputs after they have been exported from the dashboard</w:t>
      </w:r>
      <w:r w:rsidRPr="008E694E">
        <w:rPr>
          <w:b/>
          <w:bCs/>
        </w:rPr>
        <w:t>.</w:t>
      </w:r>
    </w:p>
    <w:p w14:paraId="3EB14635" w14:textId="77777777" w:rsidR="00914BFD" w:rsidRDefault="00914BFD">
      <w:pPr>
        <w:pStyle w:val="Ttulo2"/>
        <w:spacing w:after="80" w:line="276" w:lineRule="auto"/>
        <w:rPr>
          <w:rFonts w:ascii="Arial" w:eastAsia="Arial" w:hAnsi="Arial" w:cs="Arial"/>
          <w:color w:val="324027"/>
          <w:sz w:val="30"/>
          <w:szCs w:val="30"/>
        </w:rPr>
      </w:pPr>
      <w:bookmarkStart w:id="7" w:name="_heading=h.xoochq6lfxra" w:colFirst="0" w:colLast="0"/>
      <w:bookmarkEnd w:id="7"/>
    </w:p>
    <w:p w14:paraId="5A54FCD2" w14:textId="4A807FBD" w:rsidR="003D4765" w:rsidRPr="008E694E" w:rsidRDefault="008F5C9D">
      <w:pPr>
        <w:pStyle w:val="Ttulo2"/>
        <w:spacing w:after="80" w:line="276" w:lineRule="auto"/>
        <w:rPr>
          <w:rFonts w:ascii="Arial" w:hAnsi="Arial" w:cs="Arial"/>
        </w:rPr>
      </w:pPr>
      <w:r w:rsidRPr="008E694E">
        <w:rPr>
          <w:rFonts w:ascii="Arial" w:eastAsia="Arial" w:hAnsi="Arial" w:cs="Arial"/>
          <w:color w:val="324027"/>
          <w:sz w:val="30"/>
          <w:szCs w:val="30"/>
        </w:rPr>
        <w:t>Section 4. Reading CUSUM outputs</w:t>
      </w:r>
    </w:p>
    <w:p w14:paraId="5A54FCD3" w14:textId="77777777" w:rsidR="003D4765" w:rsidRPr="008E694E" w:rsidRDefault="008F5C9D">
      <w:pPr>
        <w:spacing w:before="240" w:after="240"/>
        <w:jc w:val="both"/>
        <w:rPr>
          <w:sz w:val="24"/>
          <w:szCs w:val="24"/>
        </w:rPr>
      </w:pPr>
      <w:r w:rsidRPr="008E694E">
        <w:rPr>
          <w:sz w:val="24"/>
          <w:szCs w:val="24"/>
        </w:rPr>
        <w:t xml:space="preserve">The CUSUM module is designed for early </w:t>
      </w:r>
      <w:proofErr w:type="gramStart"/>
      <w:r w:rsidRPr="008E694E">
        <w:rPr>
          <w:sz w:val="24"/>
          <w:szCs w:val="24"/>
        </w:rPr>
        <w:t>warning</w:t>
      </w:r>
      <w:proofErr w:type="gramEnd"/>
      <w:r w:rsidRPr="008E694E">
        <w:rPr>
          <w:sz w:val="24"/>
          <w:szCs w:val="24"/>
        </w:rPr>
        <w:t xml:space="preserve">. Its </w:t>
      </w:r>
      <w:proofErr w:type="gramStart"/>
      <w:r w:rsidRPr="008E694E">
        <w:rPr>
          <w:sz w:val="24"/>
          <w:szCs w:val="24"/>
        </w:rPr>
        <w:t>outputs</w:t>
      </w:r>
      <w:proofErr w:type="gramEnd"/>
      <w:r w:rsidRPr="008E694E">
        <w:rPr>
          <w:sz w:val="24"/>
          <w:szCs w:val="24"/>
        </w:rPr>
        <w:t xml:space="preserve"> should be interpreted as surveillance signals indicating an unusual accumulation of observations above the expected level. They do not constitute final diagnoses and should not replace epidemiological </w:t>
      </w:r>
      <w:proofErr w:type="gramStart"/>
      <w:r w:rsidRPr="008E694E">
        <w:rPr>
          <w:sz w:val="24"/>
          <w:szCs w:val="24"/>
        </w:rPr>
        <w:t>review</w:t>
      </w:r>
      <w:proofErr w:type="gramEnd"/>
      <w:r w:rsidRPr="008E694E">
        <w:rPr>
          <w:sz w:val="24"/>
          <w:szCs w:val="24"/>
        </w:rPr>
        <w:t>.</w:t>
      </w:r>
    </w:p>
    <w:p w14:paraId="5A54FCD4" w14:textId="77777777" w:rsidR="003D4765" w:rsidRPr="008E694E" w:rsidRDefault="008F5C9D">
      <w:pPr>
        <w:spacing w:before="240" w:after="240"/>
        <w:jc w:val="both"/>
        <w:rPr>
          <w:sz w:val="24"/>
          <w:szCs w:val="24"/>
        </w:rPr>
      </w:pPr>
      <w:r w:rsidRPr="008E694E">
        <w:rPr>
          <w:sz w:val="24"/>
          <w:szCs w:val="24"/>
        </w:rPr>
        <w:lastRenderedPageBreak/>
        <w:t xml:space="preserve">A key strength of CUSUM is its ability to detect small but sustained increases that might not be identified by a simple fixed threshold. The principal visual interpretation challenge is that users may </w:t>
      </w:r>
      <w:proofErr w:type="spellStart"/>
      <w:r w:rsidRPr="008E694E">
        <w:rPr>
          <w:sz w:val="24"/>
          <w:szCs w:val="24"/>
        </w:rPr>
        <w:t>recognise</w:t>
      </w:r>
      <w:proofErr w:type="spellEnd"/>
      <w:r w:rsidRPr="008E694E">
        <w:rPr>
          <w:sz w:val="24"/>
          <w:szCs w:val="24"/>
        </w:rPr>
        <w:t xml:space="preserve"> the red alarm indicators without understanding the comparison with the expected baseline that generated them.</w:t>
      </w:r>
    </w:p>
    <w:p w14:paraId="5A54FCD5" w14:textId="77777777" w:rsidR="003D4765" w:rsidRPr="008E694E" w:rsidRDefault="003D4765">
      <w:pPr>
        <w:pBdr>
          <w:top w:val="nil"/>
          <w:left w:val="nil"/>
          <w:bottom w:val="nil"/>
          <w:right w:val="nil"/>
          <w:between w:val="nil"/>
        </w:pBdr>
        <w:spacing w:before="120" w:after="80" w:line="276" w:lineRule="auto"/>
        <w:rPr>
          <w:b/>
          <w:bCs/>
          <w:color w:val="48553F"/>
          <w:sz w:val="25"/>
          <w:szCs w:val="25"/>
        </w:rPr>
      </w:pPr>
    </w:p>
    <w:p w14:paraId="5A54FCD6" w14:textId="77777777" w:rsidR="003D4765" w:rsidRPr="008E694E" w:rsidRDefault="008F5C9D">
      <w:pPr>
        <w:pStyle w:val="Ttulo3"/>
        <w:spacing w:before="120" w:after="80" w:line="276" w:lineRule="auto"/>
        <w:rPr>
          <w:rFonts w:ascii="Arial" w:hAnsi="Arial" w:cs="Arial"/>
          <w:sz w:val="18"/>
          <w:szCs w:val="18"/>
        </w:rPr>
      </w:pPr>
      <w:bookmarkStart w:id="8" w:name="_heading=h.8vp5gntkols2" w:colFirst="0" w:colLast="0"/>
      <w:bookmarkEnd w:id="8"/>
      <w:r w:rsidRPr="008E694E">
        <w:rPr>
          <w:rFonts w:ascii="Arial" w:eastAsia="Arial" w:hAnsi="Arial" w:cs="Arial"/>
          <w:color w:val="324027"/>
          <w:sz w:val="26"/>
          <w:szCs w:val="26"/>
        </w:rPr>
        <w:t>4.1 CUSUM alarms overview</w:t>
      </w:r>
    </w:p>
    <w:p w14:paraId="5A54FCD7" w14:textId="77777777" w:rsidR="003D4765" w:rsidRPr="008E694E" w:rsidRDefault="008F5C9D">
      <w:pPr>
        <w:spacing w:before="240" w:after="240"/>
        <w:jc w:val="both"/>
        <w:rPr>
          <w:sz w:val="24"/>
          <w:szCs w:val="24"/>
        </w:rPr>
      </w:pPr>
      <w:r w:rsidRPr="008E694E">
        <w:rPr>
          <w:sz w:val="24"/>
          <w:szCs w:val="24"/>
        </w:rPr>
        <w:t>The alarms overview is the most condensed temporal display in the dashboard. It is a unit-by-time heatmap that allows users to scan multiple selected geographical units quickly. Its primary purpose is to support initial triage by showing where and when alarm weeks occurred.</w:t>
      </w:r>
    </w:p>
    <w:p w14:paraId="5A54FCD8" w14:textId="77777777" w:rsidR="003D4765" w:rsidRPr="008E694E" w:rsidRDefault="008F5C9D">
      <w:pPr>
        <w:spacing w:before="240" w:after="240"/>
        <w:jc w:val="both"/>
        <w:rPr>
          <w:sz w:val="24"/>
          <w:szCs w:val="24"/>
        </w:rPr>
      </w:pPr>
      <w:r w:rsidRPr="008E694E">
        <w:rPr>
          <w:sz w:val="24"/>
          <w:szCs w:val="24"/>
        </w:rPr>
        <w:t>This view is particularly useful for managers and surveillance teams requiring a rapid overview of activity across several units. However, it should not be used on its own for detailed interpretation.</w:t>
      </w:r>
    </w:p>
    <w:p w14:paraId="5A54FCD9" w14:textId="77777777" w:rsidR="003D4765" w:rsidRPr="008E694E" w:rsidRDefault="008F5C9D">
      <w:pPr>
        <w:spacing w:before="240" w:after="240"/>
        <w:jc w:val="both"/>
        <w:rPr>
          <w:sz w:val="24"/>
          <w:szCs w:val="24"/>
        </w:rPr>
      </w:pPr>
      <w:r w:rsidRPr="008E694E">
        <w:rPr>
          <w:sz w:val="24"/>
          <w:szCs w:val="24"/>
        </w:rPr>
        <w:t xml:space="preserve">Good practice is to interpret the alarms overview as an alert display rather than a ranking of severity. A unit with a larger number of alarm weeks is not necessarily more severely affected than a unit with fewer alarms. The number and timing of alarms depend on the observed pattern, the selected parameters, the time window and the reset </w:t>
      </w:r>
      <w:proofErr w:type="spellStart"/>
      <w:r w:rsidRPr="008E694E">
        <w:rPr>
          <w:sz w:val="24"/>
          <w:szCs w:val="24"/>
        </w:rPr>
        <w:t>behaviour</w:t>
      </w:r>
      <w:proofErr w:type="spellEnd"/>
      <w:r w:rsidRPr="008E694E">
        <w:rPr>
          <w:sz w:val="24"/>
          <w:szCs w:val="24"/>
        </w:rPr>
        <w:t xml:space="preserve"> of the monitoring process.</w:t>
      </w:r>
    </w:p>
    <w:p w14:paraId="5A54FCDA" w14:textId="77777777" w:rsidR="003D4765" w:rsidRPr="008E694E" w:rsidRDefault="008F5C9D">
      <w:pPr>
        <w:spacing w:before="240" w:after="240"/>
        <w:jc w:val="both"/>
        <w:rPr>
          <w:sz w:val="24"/>
          <w:szCs w:val="24"/>
        </w:rPr>
      </w:pPr>
      <w:r w:rsidRPr="008E694E">
        <w:rPr>
          <w:sz w:val="24"/>
          <w:szCs w:val="24"/>
        </w:rPr>
        <w:t>The heatmap is therefore most useful as a navigation tool, helping users identify the units that require closer examination in the CUSUM series and process plots.</w:t>
      </w:r>
    </w:p>
    <w:p w14:paraId="5A54FCDC" w14:textId="77777777" w:rsidR="003D4765" w:rsidRPr="008E694E" w:rsidRDefault="003D4765">
      <w:pPr>
        <w:pBdr>
          <w:top w:val="nil"/>
          <w:left w:val="nil"/>
          <w:bottom w:val="nil"/>
          <w:right w:val="nil"/>
          <w:between w:val="nil"/>
        </w:pBdr>
        <w:spacing w:before="120" w:after="80" w:line="276" w:lineRule="auto"/>
        <w:rPr>
          <w:b/>
          <w:bCs/>
          <w:color w:val="48553F"/>
          <w:sz w:val="25"/>
          <w:szCs w:val="25"/>
        </w:rPr>
      </w:pPr>
    </w:p>
    <w:p w14:paraId="5A54FCDD" w14:textId="77777777" w:rsidR="003D4765" w:rsidRPr="008E694E" w:rsidRDefault="008F5C9D">
      <w:pPr>
        <w:pStyle w:val="Ttulo3"/>
        <w:spacing w:before="120" w:after="80" w:line="276" w:lineRule="auto"/>
        <w:rPr>
          <w:rFonts w:ascii="Arial" w:hAnsi="Arial" w:cs="Arial"/>
        </w:rPr>
      </w:pPr>
      <w:bookmarkStart w:id="9" w:name="_heading=h.h7zsg022j48r" w:colFirst="0" w:colLast="0"/>
      <w:bookmarkEnd w:id="9"/>
      <w:r w:rsidRPr="008E694E">
        <w:rPr>
          <w:rFonts w:ascii="Arial" w:eastAsia="Arial" w:hAnsi="Arial" w:cs="Arial"/>
          <w:color w:val="324027"/>
          <w:sz w:val="26"/>
          <w:szCs w:val="26"/>
        </w:rPr>
        <w:t>4.2 CUSUM series plot</w:t>
      </w:r>
    </w:p>
    <w:p w14:paraId="5A54FCDE" w14:textId="77777777" w:rsidR="003D4765" w:rsidRPr="008E694E" w:rsidRDefault="008F5C9D">
      <w:pPr>
        <w:spacing w:before="240" w:after="240"/>
        <w:jc w:val="both"/>
        <w:rPr>
          <w:sz w:val="24"/>
          <w:szCs w:val="24"/>
        </w:rPr>
      </w:pPr>
      <w:r w:rsidRPr="008E694E">
        <w:rPr>
          <w:sz w:val="24"/>
          <w:szCs w:val="24"/>
        </w:rPr>
        <w:t>The series plot shows the relationship between observed and expected values over time. It should always be interpreted comparatively. The central question is not simply whether the observed series is high, but whether it remains consistently above the expected baseline.</w:t>
      </w:r>
    </w:p>
    <w:p w14:paraId="5A54FCDF" w14:textId="77777777" w:rsidR="003D4765" w:rsidRPr="008E694E" w:rsidRDefault="008F5C9D">
      <w:pPr>
        <w:spacing w:before="240" w:after="240"/>
        <w:jc w:val="both"/>
        <w:rPr>
          <w:sz w:val="24"/>
          <w:szCs w:val="24"/>
        </w:rPr>
      </w:pPr>
      <w:r w:rsidRPr="008E694E">
        <w:rPr>
          <w:sz w:val="24"/>
          <w:szCs w:val="24"/>
        </w:rPr>
        <w:t>In outbreak surveillance, a moderate but sustained elevation may be more relevant than a single large spike.</w:t>
      </w:r>
    </w:p>
    <w:p w14:paraId="5A54FCE0" w14:textId="77777777" w:rsidR="003D4765" w:rsidRPr="008E694E" w:rsidRDefault="008F5C9D">
      <w:pPr>
        <w:spacing w:before="240" w:after="240"/>
        <w:jc w:val="both"/>
        <w:rPr>
          <w:sz w:val="24"/>
          <w:szCs w:val="24"/>
        </w:rPr>
      </w:pPr>
      <w:r w:rsidRPr="008E694E">
        <w:rPr>
          <w:sz w:val="24"/>
          <w:szCs w:val="24"/>
        </w:rPr>
        <w:t>The practical laboratory provides a clear teaching comparison:</w:t>
      </w:r>
    </w:p>
    <w:p w14:paraId="5A54FCE1" w14:textId="77777777" w:rsidR="003D4765" w:rsidRPr="008E694E" w:rsidRDefault="008F5C9D">
      <w:pPr>
        <w:numPr>
          <w:ilvl w:val="0"/>
          <w:numId w:val="4"/>
        </w:numPr>
        <w:spacing w:before="240" w:after="0"/>
        <w:jc w:val="both"/>
        <w:rPr>
          <w:sz w:val="24"/>
          <w:szCs w:val="24"/>
        </w:rPr>
      </w:pPr>
      <w:proofErr w:type="spellStart"/>
      <w:r w:rsidRPr="008E694E">
        <w:rPr>
          <w:sz w:val="24"/>
          <w:szCs w:val="24"/>
        </w:rPr>
        <w:t>Comuna</w:t>
      </w:r>
      <w:proofErr w:type="spellEnd"/>
      <w:r w:rsidRPr="008E694E">
        <w:rPr>
          <w:sz w:val="24"/>
          <w:szCs w:val="24"/>
        </w:rPr>
        <w:t xml:space="preserve"> 10 represents the no-signal scenario. Observed prevalence fluctuates around the baseline, and the series should appear broadly stable.</w:t>
      </w:r>
    </w:p>
    <w:p w14:paraId="5A54FCE2" w14:textId="77777777" w:rsidR="003D4765" w:rsidRPr="008E694E" w:rsidRDefault="008F5C9D">
      <w:pPr>
        <w:numPr>
          <w:ilvl w:val="0"/>
          <w:numId w:val="4"/>
        </w:numPr>
        <w:spacing w:after="0"/>
        <w:jc w:val="both"/>
        <w:rPr>
          <w:sz w:val="24"/>
          <w:szCs w:val="24"/>
        </w:rPr>
      </w:pPr>
      <w:proofErr w:type="spellStart"/>
      <w:r w:rsidRPr="008E694E">
        <w:rPr>
          <w:sz w:val="24"/>
          <w:szCs w:val="24"/>
        </w:rPr>
        <w:t>Comuna</w:t>
      </w:r>
      <w:proofErr w:type="spellEnd"/>
      <w:r w:rsidRPr="008E694E">
        <w:rPr>
          <w:sz w:val="24"/>
          <w:szCs w:val="24"/>
        </w:rPr>
        <w:t xml:space="preserve"> 14 represents the moderate-signal scenario. The increase after Week 20 is not extreme, but it is sustained.</w:t>
      </w:r>
    </w:p>
    <w:p w14:paraId="5A54FCE3" w14:textId="77777777" w:rsidR="003D4765" w:rsidRPr="008E694E" w:rsidRDefault="008F5C9D">
      <w:pPr>
        <w:numPr>
          <w:ilvl w:val="0"/>
          <w:numId w:val="4"/>
        </w:numPr>
        <w:spacing w:after="240"/>
        <w:jc w:val="both"/>
        <w:rPr>
          <w:sz w:val="24"/>
          <w:szCs w:val="24"/>
        </w:rPr>
      </w:pPr>
      <w:proofErr w:type="spellStart"/>
      <w:r w:rsidRPr="008E694E">
        <w:rPr>
          <w:sz w:val="24"/>
          <w:szCs w:val="24"/>
        </w:rPr>
        <w:lastRenderedPageBreak/>
        <w:t>Comuna</w:t>
      </w:r>
      <w:proofErr w:type="spellEnd"/>
      <w:r w:rsidRPr="008E694E">
        <w:rPr>
          <w:sz w:val="24"/>
          <w:szCs w:val="24"/>
        </w:rPr>
        <w:t xml:space="preserve"> 12 represents the strong-signal scenario. The increase after Week 12 occurs earlier and is larger.</w:t>
      </w:r>
    </w:p>
    <w:p w14:paraId="5A54FCE4" w14:textId="77777777" w:rsidR="003D4765" w:rsidRPr="008E694E" w:rsidRDefault="008F5C9D">
      <w:pPr>
        <w:spacing w:before="240" w:after="240"/>
        <w:jc w:val="both"/>
        <w:rPr>
          <w:sz w:val="24"/>
          <w:szCs w:val="24"/>
        </w:rPr>
      </w:pPr>
      <w:r w:rsidRPr="008E694E">
        <w:rPr>
          <w:sz w:val="24"/>
          <w:szCs w:val="24"/>
        </w:rPr>
        <w:t>The same type of chart therefore supports three different operational interpretations: routine fluctuation, an emerging signal and a clear alarm pattern.</w:t>
      </w:r>
    </w:p>
    <w:p w14:paraId="5A54FCE5" w14:textId="77777777" w:rsidR="003D4765" w:rsidRPr="008E694E" w:rsidRDefault="008F5C9D">
      <w:pPr>
        <w:spacing w:before="240" w:after="240"/>
        <w:jc w:val="both"/>
        <w:rPr>
          <w:sz w:val="24"/>
          <w:szCs w:val="24"/>
        </w:rPr>
      </w:pPr>
      <w:r w:rsidRPr="008E694E">
        <w:rPr>
          <w:sz w:val="24"/>
          <w:szCs w:val="24"/>
        </w:rPr>
        <w:t xml:space="preserve">Good practice is to keep the expected baseline visually distinguishable from the observed series and to preserve the temporal sequence. Epidemiological weeks should remain equally spaced, and the year should remain visible when </w:t>
      </w:r>
      <w:proofErr w:type="gramStart"/>
      <w:r w:rsidRPr="008E694E">
        <w:rPr>
          <w:sz w:val="24"/>
          <w:szCs w:val="24"/>
        </w:rPr>
        <w:t>longer time</w:t>
      </w:r>
      <w:proofErr w:type="gramEnd"/>
      <w:r w:rsidRPr="008E694E">
        <w:rPr>
          <w:sz w:val="24"/>
          <w:szCs w:val="24"/>
        </w:rPr>
        <w:t xml:space="preserve"> series are displayed.</w:t>
      </w:r>
    </w:p>
    <w:p w14:paraId="5A54FCE6" w14:textId="77777777" w:rsidR="003D4765" w:rsidRPr="008E694E" w:rsidRDefault="008F5C9D">
      <w:pPr>
        <w:spacing w:before="240" w:after="240"/>
        <w:jc w:val="both"/>
        <w:rPr>
          <w:sz w:val="24"/>
          <w:szCs w:val="24"/>
        </w:rPr>
      </w:pPr>
      <w:r w:rsidRPr="008E694E">
        <w:rPr>
          <w:sz w:val="24"/>
          <w:szCs w:val="24"/>
        </w:rPr>
        <w:t>If the dashboard uses counts because a population denominator is unavailable, this should be stated explicitly. Counts and rates answer different questions, and counts cannot be compared directly between geographical areas in the same way as population-</w:t>
      </w:r>
      <w:proofErr w:type="spellStart"/>
      <w:r w:rsidRPr="008E694E">
        <w:rPr>
          <w:sz w:val="24"/>
          <w:szCs w:val="24"/>
        </w:rPr>
        <w:t>standardised</w:t>
      </w:r>
      <w:proofErr w:type="spellEnd"/>
      <w:r w:rsidRPr="008E694E">
        <w:rPr>
          <w:sz w:val="24"/>
          <w:szCs w:val="24"/>
        </w:rPr>
        <w:t xml:space="preserve"> measures.</w:t>
      </w:r>
    </w:p>
    <w:p w14:paraId="5A54FCE8" w14:textId="77777777" w:rsidR="003D4765" w:rsidRPr="008E694E" w:rsidRDefault="003D4765">
      <w:pPr>
        <w:pBdr>
          <w:top w:val="nil"/>
          <w:left w:val="nil"/>
          <w:bottom w:val="nil"/>
          <w:right w:val="nil"/>
          <w:between w:val="nil"/>
        </w:pBdr>
        <w:spacing w:before="120" w:after="80" w:line="276" w:lineRule="auto"/>
        <w:rPr>
          <w:b/>
          <w:bCs/>
          <w:color w:val="48553F"/>
          <w:sz w:val="25"/>
          <w:szCs w:val="25"/>
        </w:rPr>
      </w:pPr>
    </w:p>
    <w:p w14:paraId="5A54FCE9" w14:textId="77777777" w:rsidR="003D4765" w:rsidRPr="008E694E" w:rsidRDefault="008F5C9D">
      <w:pPr>
        <w:pStyle w:val="Ttulo3"/>
        <w:spacing w:before="120" w:after="80" w:line="276" w:lineRule="auto"/>
        <w:rPr>
          <w:rFonts w:ascii="Arial" w:hAnsi="Arial" w:cs="Arial"/>
        </w:rPr>
      </w:pPr>
      <w:bookmarkStart w:id="10" w:name="_heading=h.fm2a2ajb3xw9" w:colFirst="0" w:colLast="0"/>
      <w:bookmarkEnd w:id="10"/>
      <w:r w:rsidRPr="008E694E">
        <w:rPr>
          <w:rFonts w:ascii="Arial" w:eastAsia="Arial" w:hAnsi="Arial" w:cs="Arial"/>
          <w:color w:val="324027"/>
          <w:sz w:val="26"/>
          <w:szCs w:val="26"/>
        </w:rPr>
        <w:t>4.3 CUSUM process plot</w:t>
      </w:r>
    </w:p>
    <w:p w14:paraId="5A54FCEA" w14:textId="77777777" w:rsidR="003D4765" w:rsidRPr="008E694E" w:rsidRDefault="008F5C9D">
      <w:pPr>
        <w:spacing w:before="240" w:after="240"/>
        <w:jc w:val="both"/>
        <w:rPr>
          <w:sz w:val="24"/>
          <w:szCs w:val="24"/>
        </w:rPr>
      </w:pPr>
      <w:r w:rsidRPr="008E694E">
        <w:rPr>
          <w:sz w:val="24"/>
          <w:szCs w:val="24"/>
        </w:rPr>
        <w:t xml:space="preserve">The process plot is the most technical CUSUM display. It shows how the cumulative excess develops over time and when the monitoring statistic crosses the threshold </w:t>
      </w:r>
      <w:proofErr w:type="spellStart"/>
      <w:r w:rsidRPr="008E694E">
        <w:rPr>
          <w:sz w:val="24"/>
          <w:szCs w:val="24"/>
        </w:rPr>
        <w:t>hhh</w:t>
      </w:r>
      <w:proofErr w:type="spellEnd"/>
      <w:r w:rsidRPr="008E694E">
        <w:rPr>
          <w:sz w:val="24"/>
          <w:szCs w:val="24"/>
        </w:rPr>
        <w:t>.</w:t>
      </w:r>
    </w:p>
    <w:p w14:paraId="5A54FCEB" w14:textId="77777777" w:rsidR="003D4765" w:rsidRPr="008E694E" w:rsidRDefault="008F5C9D">
      <w:pPr>
        <w:spacing w:before="240" w:after="240"/>
        <w:jc w:val="both"/>
        <w:rPr>
          <w:sz w:val="24"/>
          <w:szCs w:val="24"/>
        </w:rPr>
      </w:pPr>
      <w:r w:rsidRPr="008E694E">
        <w:rPr>
          <w:sz w:val="24"/>
          <w:szCs w:val="24"/>
        </w:rPr>
        <w:t xml:space="preserve">This line should not be interpreted as the number of observed cases. It represents a monitoring statistic calculated from the difference between the observed and expected values after accounting for the allowance parameter </w:t>
      </w:r>
      <w:proofErr w:type="spellStart"/>
      <w:r w:rsidRPr="008E694E">
        <w:rPr>
          <w:sz w:val="24"/>
          <w:szCs w:val="24"/>
        </w:rPr>
        <w:t>kkk</w:t>
      </w:r>
      <w:proofErr w:type="spellEnd"/>
      <w:r w:rsidRPr="008E694E">
        <w:rPr>
          <w:sz w:val="24"/>
          <w:szCs w:val="24"/>
        </w:rPr>
        <w:t>.</w:t>
      </w:r>
    </w:p>
    <w:p w14:paraId="5A54FCEC" w14:textId="77777777" w:rsidR="003D4765" w:rsidRPr="008E694E" w:rsidRDefault="008F5C9D">
      <w:pPr>
        <w:spacing w:before="240" w:after="240"/>
        <w:jc w:val="both"/>
        <w:rPr>
          <w:sz w:val="24"/>
          <w:szCs w:val="24"/>
        </w:rPr>
      </w:pPr>
      <w:r w:rsidRPr="008E694E">
        <w:rPr>
          <w:sz w:val="24"/>
          <w:szCs w:val="24"/>
        </w:rPr>
        <w:t>An important feature of the current dashboard is the explicit visual reset following an alarm. This helps users understand that the monitoring process has generated a signal and then restarted. Without this visual reset, users might incorrectly assume that the same uninterrupted event continues accumulating throughout the entire period.</w:t>
      </w:r>
    </w:p>
    <w:p w14:paraId="5A54FCED" w14:textId="77777777" w:rsidR="003D4765" w:rsidRPr="008E694E" w:rsidRDefault="008F5C9D">
      <w:pPr>
        <w:spacing w:before="240" w:after="240"/>
        <w:jc w:val="both"/>
        <w:rPr>
          <w:sz w:val="24"/>
          <w:szCs w:val="24"/>
        </w:rPr>
      </w:pPr>
      <w:r w:rsidRPr="008E694E">
        <w:rPr>
          <w:sz w:val="24"/>
          <w:szCs w:val="24"/>
        </w:rPr>
        <w:t>The reset also helps explain why the same commune may generate repeated alarms during a year rather than producing one continuously rising CUSUM line.</w:t>
      </w:r>
    </w:p>
    <w:p w14:paraId="5A54FCEE" w14:textId="77777777" w:rsidR="003D4765" w:rsidRPr="008E694E" w:rsidRDefault="008F5C9D">
      <w:pPr>
        <w:spacing w:before="240" w:after="240"/>
        <w:jc w:val="both"/>
        <w:rPr>
          <w:sz w:val="24"/>
          <w:szCs w:val="24"/>
        </w:rPr>
      </w:pPr>
      <w:r w:rsidRPr="008E694E">
        <w:rPr>
          <w:sz w:val="24"/>
          <w:szCs w:val="24"/>
        </w:rPr>
        <w:t>In the CABA practical laboratory:</w:t>
      </w:r>
    </w:p>
    <w:p w14:paraId="5A54FCEF" w14:textId="77777777" w:rsidR="003D4765" w:rsidRPr="008E694E" w:rsidRDefault="008F5C9D">
      <w:pPr>
        <w:numPr>
          <w:ilvl w:val="0"/>
          <w:numId w:val="8"/>
        </w:numPr>
        <w:spacing w:before="240" w:after="0"/>
        <w:jc w:val="both"/>
        <w:rPr>
          <w:sz w:val="24"/>
          <w:szCs w:val="24"/>
        </w:rPr>
      </w:pPr>
      <w:r w:rsidRPr="008E694E">
        <w:rPr>
          <w:sz w:val="24"/>
          <w:szCs w:val="24"/>
        </w:rPr>
        <w:t xml:space="preserve">the process statistic should remain low for </w:t>
      </w:r>
      <w:proofErr w:type="spellStart"/>
      <w:r w:rsidRPr="008E694E">
        <w:rPr>
          <w:sz w:val="24"/>
          <w:szCs w:val="24"/>
        </w:rPr>
        <w:t>Comuna</w:t>
      </w:r>
      <w:proofErr w:type="spellEnd"/>
      <w:r w:rsidRPr="008E694E">
        <w:rPr>
          <w:sz w:val="24"/>
          <w:szCs w:val="24"/>
        </w:rPr>
        <w:t xml:space="preserve"> 10;</w:t>
      </w:r>
    </w:p>
    <w:p w14:paraId="5A54FCF0" w14:textId="77777777" w:rsidR="003D4765" w:rsidRPr="008E694E" w:rsidRDefault="008F5C9D">
      <w:pPr>
        <w:numPr>
          <w:ilvl w:val="0"/>
          <w:numId w:val="8"/>
        </w:numPr>
        <w:spacing w:after="0"/>
        <w:jc w:val="both"/>
        <w:rPr>
          <w:sz w:val="24"/>
          <w:szCs w:val="24"/>
        </w:rPr>
      </w:pPr>
      <w:r w:rsidRPr="008E694E">
        <w:rPr>
          <w:sz w:val="24"/>
          <w:szCs w:val="24"/>
        </w:rPr>
        <w:t xml:space="preserve">it should rise more gradually for </w:t>
      </w:r>
      <w:proofErr w:type="spellStart"/>
      <w:r w:rsidRPr="008E694E">
        <w:rPr>
          <w:sz w:val="24"/>
          <w:szCs w:val="24"/>
        </w:rPr>
        <w:t>Comuna</w:t>
      </w:r>
      <w:proofErr w:type="spellEnd"/>
      <w:r w:rsidRPr="008E694E">
        <w:rPr>
          <w:sz w:val="24"/>
          <w:szCs w:val="24"/>
        </w:rPr>
        <w:t xml:space="preserve"> 14; and</w:t>
      </w:r>
    </w:p>
    <w:p w14:paraId="5A54FCF1" w14:textId="77777777" w:rsidR="003D4765" w:rsidRPr="008E694E" w:rsidRDefault="008F5C9D">
      <w:pPr>
        <w:numPr>
          <w:ilvl w:val="0"/>
          <w:numId w:val="8"/>
        </w:numPr>
        <w:spacing w:after="240"/>
        <w:jc w:val="both"/>
        <w:rPr>
          <w:sz w:val="24"/>
          <w:szCs w:val="24"/>
        </w:rPr>
      </w:pPr>
      <w:r w:rsidRPr="008E694E">
        <w:rPr>
          <w:sz w:val="24"/>
          <w:szCs w:val="24"/>
        </w:rPr>
        <w:t xml:space="preserve">it should rise rapidly for </w:t>
      </w:r>
      <w:proofErr w:type="spellStart"/>
      <w:r w:rsidRPr="008E694E">
        <w:rPr>
          <w:sz w:val="24"/>
          <w:szCs w:val="24"/>
        </w:rPr>
        <w:t>Comuna</w:t>
      </w:r>
      <w:proofErr w:type="spellEnd"/>
      <w:r w:rsidRPr="008E694E">
        <w:rPr>
          <w:sz w:val="24"/>
          <w:szCs w:val="24"/>
        </w:rPr>
        <w:t xml:space="preserve"> 12.</w:t>
      </w:r>
    </w:p>
    <w:p w14:paraId="5A54FCF2" w14:textId="77777777" w:rsidR="003D4765" w:rsidRPr="008E694E" w:rsidRDefault="008F5C9D">
      <w:pPr>
        <w:spacing w:before="240" w:after="240"/>
        <w:jc w:val="both"/>
        <w:rPr>
          <w:sz w:val="24"/>
          <w:szCs w:val="24"/>
        </w:rPr>
      </w:pPr>
      <w:r w:rsidRPr="008E694E">
        <w:rPr>
          <w:sz w:val="24"/>
          <w:szCs w:val="24"/>
        </w:rPr>
        <w:t xml:space="preserve">This makes the plot useful for demonstrating how CUSUM responds to signals of different magnitudes. A strong signal should cross </w:t>
      </w:r>
      <w:proofErr w:type="spellStart"/>
      <w:r w:rsidRPr="008E694E">
        <w:rPr>
          <w:sz w:val="24"/>
          <w:szCs w:val="24"/>
        </w:rPr>
        <w:t>hhh</w:t>
      </w:r>
      <w:proofErr w:type="spellEnd"/>
      <w:r w:rsidRPr="008E694E">
        <w:rPr>
          <w:sz w:val="24"/>
          <w:szCs w:val="24"/>
        </w:rPr>
        <w:t xml:space="preserve"> quickly, while a moderate signal may require several weeks of accumulation. In the no-signal scenario, the </w:t>
      </w:r>
      <w:proofErr w:type="gramStart"/>
      <w:r w:rsidRPr="008E694E">
        <w:rPr>
          <w:sz w:val="24"/>
          <w:szCs w:val="24"/>
        </w:rPr>
        <w:t>statistic</w:t>
      </w:r>
      <w:proofErr w:type="gramEnd"/>
      <w:r w:rsidRPr="008E694E">
        <w:rPr>
          <w:sz w:val="24"/>
          <w:szCs w:val="24"/>
        </w:rPr>
        <w:t xml:space="preserve"> should remain below </w:t>
      </w:r>
      <w:proofErr w:type="spellStart"/>
      <w:r w:rsidRPr="008E694E">
        <w:rPr>
          <w:sz w:val="24"/>
          <w:szCs w:val="24"/>
        </w:rPr>
        <w:t>hhh</w:t>
      </w:r>
      <w:proofErr w:type="spellEnd"/>
      <w:r w:rsidRPr="008E694E">
        <w:rPr>
          <w:sz w:val="24"/>
          <w:szCs w:val="24"/>
        </w:rPr>
        <w:t>, apart from possible short-term fluctuations.</w:t>
      </w:r>
    </w:p>
    <w:p w14:paraId="5A54FCF3" w14:textId="77777777" w:rsidR="003D4765" w:rsidRPr="008E694E" w:rsidRDefault="003D4765"/>
    <w:p w14:paraId="5A54FCF4" w14:textId="77777777" w:rsidR="003D4765" w:rsidRPr="008E694E" w:rsidRDefault="003D4765">
      <w:pPr>
        <w:pBdr>
          <w:top w:val="nil"/>
          <w:left w:val="nil"/>
          <w:bottom w:val="nil"/>
          <w:right w:val="nil"/>
          <w:between w:val="nil"/>
        </w:pBdr>
        <w:spacing w:before="120" w:after="80" w:line="276" w:lineRule="auto"/>
        <w:rPr>
          <w:b/>
          <w:bCs/>
          <w:color w:val="48553F"/>
          <w:sz w:val="25"/>
          <w:szCs w:val="25"/>
        </w:rPr>
      </w:pPr>
    </w:p>
    <w:p w14:paraId="5A54FCF5" w14:textId="77777777" w:rsidR="003D4765" w:rsidRPr="008E694E" w:rsidRDefault="008F5C9D">
      <w:pPr>
        <w:pStyle w:val="Ttulo3"/>
        <w:spacing w:before="120" w:after="80" w:line="276" w:lineRule="auto"/>
        <w:rPr>
          <w:rFonts w:ascii="Arial" w:hAnsi="Arial" w:cs="Arial"/>
        </w:rPr>
      </w:pPr>
      <w:bookmarkStart w:id="11" w:name="_heading=h.f0alu3cd11h0" w:colFirst="0" w:colLast="0"/>
      <w:bookmarkEnd w:id="11"/>
      <w:r w:rsidRPr="008E694E">
        <w:rPr>
          <w:rFonts w:ascii="Arial" w:eastAsia="Arial" w:hAnsi="Arial" w:cs="Arial"/>
          <w:color w:val="324027"/>
          <w:sz w:val="26"/>
          <w:szCs w:val="26"/>
        </w:rPr>
        <w:t>4.4 CUSUM tables and exports</w:t>
      </w:r>
    </w:p>
    <w:p w14:paraId="5A54FCF6" w14:textId="77777777" w:rsidR="003D4765" w:rsidRPr="008E694E" w:rsidRDefault="008F5C9D">
      <w:pPr>
        <w:spacing w:before="240" w:after="240"/>
        <w:jc w:val="both"/>
        <w:rPr>
          <w:sz w:val="24"/>
          <w:szCs w:val="24"/>
        </w:rPr>
      </w:pPr>
      <w:r w:rsidRPr="008E694E">
        <w:rPr>
          <w:sz w:val="24"/>
          <w:szCs w:val="24"/>
        </w:rPr>
        <w:t>Tables should not be treated as secondary outputs. In surveillance practice, they are often used to validate and document what is shown graphically.</w:t>
      </w:r>
    </w:p>
    <w:p w14:paraId="5A54FCF7" w14:textId="77777777" w:rsidR="003D4765" w:rsidRPr="008E694E" w:rsidRDefault="008F5C9D">
      <w:pPr>
        <w:spacing w:before="240" w:after="240"/>
        <w:jc w:val="both"/>
        <w:rPr>
          <w:sz w:val="24"/>
          <w:szCs w:val="24"/>
        </w:rPr>
      </w:pPr>
      <w:r w:rsidRPr="008E694E">
        <w:rPr>
          <w:sz w:val="24"/>
          <w:szCs w:val="24"/>
        </w:rPr>
        <w:t>The weekly CUSUM results table and the unit-level reference table should therefore be used as interpretation tools, rather than only as download options. They allow users to confirm:</w:t>
      </w:r>
    </w:p>
    <w:p w14:paraId="5A54FCF8" w14:textId="77777777" w:rsidR="003D4765" w:rsidRPr="008E694E" w:rsidRDefault="008F5C9D">
      <w:pPr>
        <w:numPr>
          <w:ilvl w:val="0"/>
          <w:numId w:val="7"/>
        </w:numPr>
        <w:spacing w:before="240" w:after="0"/>
        <w:jc w:val="both"/>
        <w:rPr>
          <w:sz w:val="24"/>
          <w:szCs w:val="24"/>
        </w:rPr>
      </w:pPr>
      <w:r w:rsidRPr="008E694E">
        <w:rPr>
          <w:sz w:val="24"/>
          <w:szCs w:val="24"/>
        </w:rPr>
        <w:t>the exact epidemiological week in which an alarm occurred;</w:t>
      </w:r>
    </w:p>
    <w:p w14:paraId="5A54FCF9" w14:textId="77777777" w:rsidR="003D4765" w:rsidRPr="008E694E" w:rsidRDefault="008F5C9D">
      <w:pPr>
        <w:numPr>
          <w:ilvl w:val="0"/>
          <w:numId w:val="7"/>
        </w:numPr>
        <w:spacing w:after="0"/>
        <w:jc w:val="both"/>
        <w:rPr>
          <w:sz w:val="24"/>
          <w:szCs w:val="24"/>
        </w:rPr>
      </w:pPr>
      <w:r w:rsidRPr="008E694E">
        <w:rPr>
          <w:sz w:val="24"/>
          <w:szCs w:val="24"/>
        </w:rPr>
        <w:t>the value of the CUSUM statistic; and</w:t>
      </w:r>
    </w:p>
    <w:p w14:paraId="5A54FCFA" w14:textId="77777777" w:rsidR="003D4765" w:rsidRPr="008E694E" w:rsidRDefault="008F5C9D">
      <w:pPr>
        <w:numPr>
          <w:ilvl w:val="0"/>
          <w:numId w:val="7"/>
        </w:numPr>
        <w:spacing w:after="240"/>
        <w:jc w:val="both"/>
        <w:rPr>
          <w:sz w:val="24"/>
          <w:szCs w:val="24"/>
        </w:rPr>
      </w:pPr>
      <w:r w:rsidRPr="008E694E">
        <w:rPr>
          <w:sz w:val="24"/>
          <w:szCs w:val="24"/>
        </w:rPr>
        <w:t>the relationship between the visual alarm marker and the underlying numerical result.</w:t>
      </w:r>
    </w:p>
    <w:p w14:paraId="5A54FCFB" w14:textId="77777777" w:rsidR="003D4765" w:rsidRPr="008E694E" w:rsidRDefault="008F5C9D">
      <w:pPr>
        <w:spacing w:before="240" w:after="240"/>
        <w:jc w:val="both"/>
        <w:rPr>
          <w:sz w:val="24"/>
          <w:szCs w:val="24"/>
        </w:rPr>
      </w:pPr>
      <w:r w:rsidRPr="008E694E">
        <w:rPr>
          <w:sz w:val="24"/>
          <w:szCs w:val="24"/>
        </w:rPr>
        <w:t>Good practice is to use charts for pattern recognition and tables for numerical confirmation. A chart helps the user identify the signal, while a table allows the finding to be reported precisely.</w:t>
      </w:r>
    </w:p>
    <w:p w14:paraId="5A54FCFC" w14:textId="77777777" w:rsidR="003D4765" w:rsidRPr="008E694E" w:rsidRDefault="008F5C9D">
      <w:pPr>
        <w:spacing w:before="240" w:after="240"/>
        <w:jc w:val="both"/>
      </w:pPr>
      <w:r w:rsidRPr="008E694E">
        <w:rPr>
          <w:sz w:val="24"/>
          <w:szCs w:val="24"/>
        </w:rPr>
        <w:t>When preparing an operational note or report, the exact values and dates should be taken from the table, while the chart should be used to communicate the overall temporal pattern</w:t>
      </w:r>
      <w:r w:rsidRPr="008E694E">
        <w:t>.</w:t>
      </w:r>
    </w:p>
    <w:p w14:paraId="5A54FCFE" w14:textId="77777777" w:rsidR="003D4765" w:rsidRPr="008E694E" w:rsidRDefault="003D4765">
      <w:pPr>
        <w:pBdr>
          <w:top w:val="nil"/>
          <w:left w:val="nil"/>
          <w:bottom w:val="nil"/>
          <w:right w:val="nil"/>
          <w:between w:val="nil"/>
        </w:pBdr>
        <w:spacing w:before="200" w:after="80" w:line="276" w:lineRule="auto"/>
        <w:rPr>
          <w:b/>
          <w:bCs/>
          <w:color w:val="324027"/>
          <w:sz w:val="30"/>
          <w:szCs w:val="30"/>
        </w:rPr>
      </w:pPr>
    </w:p>
    <w:p w14:paraId="5A54FCFF" w14:textId="77777777" w:rsidR="003D4765" w:rsidRPr="008E694E" w:rsidRDefault="008F5C9D">
      <w:pPr>
        <w:pStyle w:val="Ttulo2"/>
        <w:spacing w:after="80" w:line="276" w:lineRule="auto"/>
        <w:rPr>
          <w:rFonts w:ascii="Arial" w:hAnsi="Arial" w:cs="Arial"/>
        </w:rPr>
      </w:pPr>
      <w:bookmarkStart w:id="12" w:name="_heading=h.5o3i9yzggj48" w:colFirst="0" w:colLast="0"/>
      <w:bookmarkEnd w:id="12"/>
      <w:r w:rsidRPr="008E694E">
        <w:rPr>
          <w:rFonts w:ascii="Arial" w:eastAsia="Arial" w:hAnsi="Arial" w:cs="Arial"/>
          <w:color w:val="324027"/>
          <w:sz w:val="30"/>
          <w:szCs w:val="30"/>
        </w:rPr>
        <w:t>Section 5. Reading geospatial outputs</w:t>
      </w:r>
    </w:p>
    <w:p w14:paraId="5A54FD00" w14:textId="77777777" w:rsidR="003D4765" w:rsidRPr="008E694E" w:rsidRDefault="008F5C9D">
      <w:pPr>
        <w:spacing w:before="240" w:after="240"/>
        <w:jc w:val="both"/>
        <w:rPr>
          <w:sz w:val="24"/>
          <w:szCs w:val="24"/>
        </w:rPr>
      </w:pPr>
      <w:r w:rsidRPr="008E694E">
        <w:rPr>
          <w:sz w:val="24"/>
          <w:szCs w:val="24"/>
        </w:rPr>
        <w:t>The geospatial component of the dashboard addresses a different analytical question from CUSUM. CUSUM assesses whether unusual temporal accumulation is occurring, whereas the geospatial workflow examines whether the selected time window reveals a meaningful spatial pattern.</w:t>
      </w:r>
    </w:p>
    <w:p w14:paraId="5A54FD01" w14:textId="77777777" w:rsidR="003D4765" w:rsidRPr="008E694E" w:rsidRDefault="008F5C9D">
      <w:pPr>
        <w:spacing w:before="240" w:after="240"/>
        <w:jc w:val="both"/>
        <w:rPr>
          <w:sz w:val="24"/>
          <w:szCs w:val="24"/>
        </w:rPr>
      </w:pPr>
      <w:r w:rsidRPr="008E694E">
        <w:rPr>
          <w:sz w:val="24"/>
          <w:szCs w:val="24"/>
        </w:rPr>
        <w:t>The main outputs are the prevalence map, the LISA cluster map, the Global Moran summary and the geospatial results table.</w:t>
      </w:r>
    </w:p>
    <w:p w14:paraId="5A54FD02" w14:textId="77777777" w:rsidR="003D4765" w:rsidRPr="008E694E" w:rsidRDefault="003D4765"/>
    <w:p w14:paraId="5A54FD04" w14:textId="77777777" w:rsidR="003D4765" w:rsidRPr="008E694E" w:rsidRDefault="008F5C9D">
      <w:pPr>
        <w:pStyle w:val="Ttulo3"/>
        <w:spacing w:before="120" w:after="80" w:line="276" w:lineRule="auto"/>
        <w:rPr>
          <w:rFonts w:ascii="Arial" w:hAnsi="Arial" w:cs="Arial"/>
          <w:sz w:val="18"/>
          <w:szCs w:val="18"/>
        </w:rPr>
      </w:pPr>
      <w:bookmarkStart w:id="13" w:name="_heading=h.qu9wclc8da0s" w:colFirst="0" w:colLast="0"/>
      <w:bookmarkEnd w:id="13"/>
      <w:r w:rsidRPr="008E694E">
        <w:rPr>
          <w:rFonts w:ascii="Arial" w:eastAsia="Arial" w:hAnsi="Arial" w:cs="Arial"/>
          <w:color w:val="324027"/>
          <w:sz w:val="26"/>
          <w:szCs w:val="26"/>
        </w:rPr>
        <w:t>5.1 Prevalence map</w:t>
      </w:r>
    </w:p>
    <w:p w14:paraId="5A54FD05" w14:textId="77777777" w:rsidR="003D4765" w:rsidRPr="008E694E" w:rsidRDefault="008F5C9D">
      <w:pPr>
        <w:spacing w:before="240" w:after="240"/>
        <w:jc w:val="both"/>
        <w:rPr>
          <w:sz w:val="24"/>
          <w:szCs w:val="24"/>
        </w:rPr>
      </w:pPr>
      <w:r w:rsidRPr="008E694E">
        <w:rPr>
          <w:sz w:val="24"/>
          <w:szCs w:val="24"/>
        </w:rPr>
        <w:t>The prevalence map is a descriptive choropleth. It shows prevalence relative to the population during the selected year and epidemiological week or week range.</w:t>
      </w:r>
    </w:p>
    <w:p w14:paraId="5A54FD06" w14:textId="77777777" w:rsidR="003D4765" w:rsidRPr="008E694E" w:rsidRDefault="008F5C9D">
      <w:pPr>
        <w:spacing w:before="240" w:after="240"/>
        <w:jc w:val="both"/>
        <w:rPr>
          <w:sz w:val="24"/>
          <w:szCs w:val="24"/>
        </w:rPr>
      </w:pPr>
      <w:r w:rsidRPr="008E694E">
        <w:rPr>
          <w:sz w:val="24"/>
          <w:szCs w:val="24"/>
        </w:rPr>
        <w:t xml:space="preserve">Its primary purpose is to support fair spatial comparison by </w:t>
      </w:r>
      <w:proofErr w:type="spellStart"/>
      <w:r w:rsidRPr="008E694E">
        <w:rPr>
          <w:sz w:val="24"/>
          <w:szCs w:val="24"/>
        </w:rPr>
        <w:t>standardising</w:t>
      </w:r>
      <w:proofErr w:type="spellEnd"/>
      <w:r w:rsidRPr="008E694E">
        <w:rPr>
          <w:sz w:val="24"/>
          <w:szCs w:val="24"/>
        </w:rPr>
        <w:t xml:space="preserve"> the number of cases according to population size. A larger geographical area may report more </w:t>
      </w:r>
      <w:r w:rsidRPr="008E694E">
        <w:rPr>
          <w:sz w:val="24"/>
          <w:szCs w:val="24"/>
        </w:rPr>
        <w:lastRenderedPageBreak/>
        <w:t>cases in absolute terms without necessarily having a higher population-adjusted burden. For this reason, rates should remain the default visual measure when the objective is to compare areas.</w:t>
      </w:r>
    </w:p>
    <w:p w14:paraId="5A54FD07" w14:textId="77777777" w:rsidR="003D4765" w:rsidRPr="008E694E" w:rsidRDefault="008F5C9D">
      <w:pPr>
        <w:spacing w:before="240" w:after="240"/>
        <w:jc w:val="both"/>
        <w:rPr>
          <w:sz w:val="24"/>
          <w:szCs w:val="24"/>
        </w:rPr>
      </w:pPr>
      <w:r w:rsidRPr="008E694E">
        <w:rPr>
          <w:sz w:val="24"/>
          <w:szCs w:val="24"/>
        </w:rPr>
        <w:t xml:space="preserve">The map should be interpreted as an ordered representation of values rather than as a categorical classification. The </w:t>
      </w:r>
      <w:proofErr w:type="spellStart"/>
      <w:r w:rsidRPr="008E694E">
        <w:rPr>
          <w:sz w:val="24"/>
          <w:szCs w:val="24"/>
        </w:rPr>
        <w:t>colour</w:t>
      </w:r>
      <w:proofErr w:type="spellEnd"/>
      <w:r w:rsidRPr="008E694E">
        <w:rPr>
          <w:sz w:val="24"/>
          <w:szCs w:val="24"/>
        </w:rPr>
        <w:t xml:space="preserve"> scale moves from lower to higher prevalence values, and its meaning depends on the selected time window.</w:t>
      </w:r>
    </w:p>
    <w:p w14:paraId="5A54FD08" w14:textId="77777777" w:rsidR="003D4765" w:rsidRPr="008E694E" w:rsidRDefault="008F5C9D">
      <w:pPr>
        <w:spacing w:before="240" w:after="240"/>
        <w:jc w:val="both"/>
        <w:rPr>
          <w:sz w:val="24"/>
          <w:szCs w:val="24"/>
        </w:rPr>
      </w:pPr>
      <w:r w:rsidRPr="008E694E">
        <w:rPr>
          <w:sz w:val="24"/>
          <w:szCs w:val="24"/>
        </w:rPr>
        <w:t xml:space="preserve">A very red area in Week 25 and a very red area in Weeks 20–52 do not necessarily represent the same magnitude, because the periods being </w:t>
      </w:r>
      <w:proofErr w:type="spellStart"/>
      <w:r w:rsidRPr="008E694E">
        <w:rPr>
          <w:sz w:val="24"/>
          <w:szCs w:val="24"/>
        </w:rPr>
        <w:t>summarised</w:t>
      </w:r>
      <w:proofErr w:type="spellEnd"/>
      <w:r w:rsidRPr="008E694E">
        <w:rPr>
          <w:sz w:val="24"/>
          <w:szCs w:val="24"/>
        </w:rPr>
        <w:t xml:space="preserve"> are different. Users should therefore compare geographical areas within the same analytical run before comparing </w:t>
      </w:r>
      <w:proofErr w:type="spellStart"/>
      <w:r w:rsidRPr="008E694E">
        <w:rPr>
          <w:sz w:val="24"/>
          <w:szCs w:val="24"/>
        </w:rPr>
        <w:t>colours</w:t>
      </w:r>
      <w:proofErr w:type="spellEnd"/>
      <w:r w:rsidRPr="008E694E">
        <w:rPr>
          <w:sz w:val="24"/>
          <w:szCs w:val="24"/>
        </w:rPr>
        <w:t xml:space="preserve"> across runs with different time windows.</w:t>
      </w:r>
    </w:p>
    <w:p w14:paraId="5A54FD09" w14:textId="77777777" w:rsidR="003D4765" w:rsidRPr="008E694E" w:rsidRDefault="008F5C9D">
      <w:pPr>
        <w:spacing w:before="240" w:after="240"/>
        <w:jc w:val="both"/>
        <w:rPr>
          <w:sz w:val="24"/>
          <w:szCs w:val="24"/>
        </w:rPr>
      </w:pPr>
      <w:r w:rsidRPr="008E694E">
        <w:rPr>
          <w:sz w:val="24"/>
          <w:szCs w:val="24"/>
        </w:rPr>
        <w:t>The practical laboratory provides a clear example. Before the simulated outbreak period, prevalence across the communes should remain close to the baseline, and the map should appear relatively even. At Week 25, when the simulated outbreaks are active in several communes, the north-eastern group should become more visible. Across Weeks 20–52, the accumulated signal should appear more stable and distinct.</w:t>
      </w:r>
    </w:p>
    <w:p w14:paraId="5A54FD0A" w14:textId="77777777" w:rsidR="003D4765" w:rsidRPr="008E694E" w:rsidRDefault="008F5C9D">
      <w:pPr>
        <w:spacing w:before="240" w:after="240"/>
        <w:jc w:val="both"/>
        <w:rPr>
          <w:sz w:val="24"/>
          <w:szCs w:val="24"/>
        </w:rPr>
      </w:pPr>
      <w:r w:rsidRPr="008E694E">
        <w:rPr>
          <w:sz w:val="24"/>
          <w:szCs w:val="24"/>
        </w:rPr>
        <w:t>This illustrates an important good-practice principle: the selected time window determines whether the map represents a single-week snapshot or a pattern accumulated over a longer surveillance period.</w:t>
      </w:r>
    </w:p>
    <w:p w14:paraId="5A54FD0B" w14:textId="77777777" w:rsidR="003D4765" w:rsidRPr="008E694E" w:rsidRDefault="003D4765"/>
    <w:p w14:paraId="5A54FD0D" w14:textId="77777777" w:rsidR="003D4765" w:rsidRPr="008E694E" w:rsidRDefault="008F5C9D">
      <w:pPr>
        <w:pStyle w:val="Ttulo3"/>
        <w:spacing w:before="120" w:after="80" w:line="276" w:lineRule="auto"/>
        <w:rPr>
          <w:rFonts w:ascii="Arial" w:hAnsi="Arial" w:cs="Arial"/>
        </w:rPr>
      </w:pPr>
      <w:bookmarkStart w:id="14" w:name="_heading=h.qiwgkywnrwei" w:colFirst="0" w:colLast="0"/>
      <w:bookmarkEnd w:id="14"/>
      <w:r w:rsidRPr="008E694E">
        <w:rPr>
          <w:rFonts w:ascii="Arial" w:eastAsia="Arial" w:hAnsi="Arial" w:cs="Arial"/>
          <w:color w:val="324027"/>
          <w:sz w:val="26"/>
          <w:szCs w:val="26"/>
        </w:rPr>
        <w:t>5.2 LISA cluster map</w:t>
      </w:r>
    </w:p>
    <w:p w14:paraId="5A54FD0E" w14:textId="77777777" w:rsidR="003D4765" w:rsidRPr="008E694E" w:rsidRDefault="008F5C9D">
      <w:pPr>
        <w:spacing w:before="240" w:after="240"/>
        <w:jc w:val="both"/>
        <w:rPr>
          <w:sz w:val="24"/>
          <w:szCs w:val="24"/>
        </w:rPr>
      </w:pPr>
      <w:r w:rsidRPr="008E694E">
        <w:rPr>
          <w:sz w:val="24"/>
          <w:szCs w:val="24"/>
        </w:rPr>
        <w:t>The LISA map should not be interpreted as an alternative version of the prevalence map. It answers a different analytical question.</w:t>
      </w:r>
    </w:p>
    <w:p w14:paraId="5A54FD0F" w14:textId="77777777" w:rsidR="003D4765" w:rsidRPr="008E694E" w:rsidRDefault="008F5C9D">
      <w:pPr>
        <w:spacing w:before="240" w:after="240"/>
        <w:jc w:val="both"/>
        <w:rPr>
          <w:sz w:val="24"/>
          <w:szCs w:val="24"/>
        </w:rPr>
      </w:pPr>
      <w:r w:rsidRPr="008E694E">
        <w:rPr>
          <w:sz w:val="24"/>
          <w:szCs w:val="24"/>
        </w:rPr>
        <w:t xml:space="preserve">A prevalence map displays the observed value in each area. A LISA map displays local spatial association between an area and its </w:t>
      </w:r>
      <w:proofErr w:type="spellStart"/>
      <w:r w:rsidRPr="008E694E">
        <w:rPr>
          <w:sz w:val="24"/>
          <w:szCs w:val="24"/>
        </w:rPr>
        <w:t>neighbours</w:t>
      </w:r>
      <w:proofErr w:type="spellEnd"/>
      <w:r w:rsidRPr="008E694E">
        <w:rPr>
          <w:sz w:val="24"/>
          <w:szCs w:val="24"/>
        </w:rPr>
        <w:t xml:space="preserve">. An area may have a high prevalence but may not be classified as High–High if the </w:t>
      </w:r>
      <w:proofErr w:type="spellStart"/>
      <w:r w:rsidRPr="008E694E">
        <w:rPr>
          <w:sz w:val="24"/>
          <w:szCs w:val="24"/>
        </w:rPr>
        <w:t>neighbouring</w:t>
      </w:r>
      <w:proofErr w:type="spellEnd"/>
      <w:r w:rsidRPr="008E694E">
        <w:rPr>
          <w:sz w:val="24"/>
          <w:szCs w:val="24"/>
        </w:rPr>
        <w:t xml:space="preserve"> areas do not also have high values. The two maps are therefore complementary but should not be used interchangeably.</w:t>
      </w:r>
    </w:p>
    <w:p w14:paraId="5A54FD10" w14:textId="77777777" w:rsidR="003D4765" w:rsidRPr="008E694E" w:rsidRDefault="008F5C9D">
      <w:pPr>
        <w:spacing w:before="240" w:after="240"/>
        <w:jc w:val="both"/>
        <w:rPr>
          <w:sz w:val="24"/>
          <w:szCs w:val="24"/>
        </w:rPr>
      </w:pPr>
      <w:r w:rsidRPr="008E694E">
        <w:rPr>
          <w:sz w:val="24"/>
          <w:szCs w:val="24"/>
        </w:rPr>
        <w:t>The cluster categories require careful interpretation:</w:t>
      </w:r>
    </w:p>
    <w:p w14:paraId="5A54FD11" w14:textId="77777777" w:rsidR="003D4765" w:rsidRPr="008E694E" w:rsidRDefault="008F5C9D">
      <w:pPr>
        <w:numPr>
          <w:ilvl w:val="0"/>
          <w:numId w:val="5"/>
        </w:numPr>
        <w:spacing w:before="240" w:after="0"/>
        <w:jc w:val="both"/>
        <w:rPr>
          <w:sz w:val="24"/>
          <w:szCs w:val="24"/>
        </w:rPr>
      </w:pPr>
      <w:r w:rsidRPr="008E694E">
        <w:rPr>
          <w:sz w:val="24"/>
          <w:szCs w:val="24"/>
        </w:rPr>
        <w:t xml:space="preserve">High–High: an area with a high value surrounded by </w:t>
      </w:r>
      <w:proofErr w:type="spellStart"/>
      <w:r w:rsidRPr="008E694E">
        <w:rPr>
          <w:sz w:val="24"/>
          <w:szCs w:val="24"/>
        </w:rPr>
        <w:t>neighbouring</w:t>
      </w:r>
      <w:proofErr w:type="spellEnd"/>
      <w:r w:rsidRPr="008E694E">
        <w:rPr>
          <w:sz w:val="24"/>
          <w:szCs w:val="24"/>
        </w:rPr>
        <w:t xml:space="preserve"> areas with high values.</w:t>
      </w:r>
    </w:p>
    <w:p w14:paraId="5A54FD12" w14:textId="77777777" w:rsidR="003D4765" w:rsidRPr="008E694E" w:rsidRDefault="008F5C9D">
      <w:pPr>
        <w:numPr>
          <w:ilvl w:val="0"/>
          <w:numId w:val="5"/>
        </w:numPr>
        <w:spacing w:after="0"/>
        <w:jc w:val="both"/>
        <w:rPr>
          <w:sz w:val="24"/>
          <w:szCs w:val="24"/>
        </w:rPr>
      </w:pPr>
      <w:r w:rsidRPr="008E694E">
        <w:rPr>
          <w:sz w:val="24"/>
          <w:szCs w:val="24"/>
        </w:rPr>
        <w:t xml:space="preserve">Low–Low: an area with a low value surrounded by </w:t>
      </w:r>
      <w:proofErr w:type="spellStart"/>
      <w:r w:rsidRPr="008E694E">
        <w:rPr>
          <w:sz w:val="24"/>
          <w:szCs w:val="24"/>
        </w:rPr>
        <w:t>neighbouring</w:t>
      </w:r>
      <w:proofErr w:type="spellEnd"/>
      <w:r w:rsidRPr="008E694E">
        <w:rPr>
          <w:sz w:val="24"/>
          <w:szCs w:val="24"/>
        </w:rPr>
        <w:t xml:space="preserve"> areas with low values.</w:t>
      </w:r>
    </w:p>
    <w:p w14:paraId="5A54FD13" w14:textId="77777777" w:rsidR="003D4765" w:rsidRPr="008E694E" w:rsidRDefault="008F5C9D">
      <w:pPr>
        <w:numPr>
          <w:ilvl w:val="0"/>
          <w:numId w:val="5"/>
        </w:numPr>
        <w:spacing w:after="0"/>
        <w:jc w:val="both"/>
        <w:rPr>
          <w:sz w:val="24"/>
          <w:szCs w:val="24"/>
        </w:rPr>
      </w:pPr>
      <w:r w:rsidRPr="008E694E">
        <w:rPr>
          <w:sz w:val="24"/>
          <w:szCs w:val="24"/>
        </w:rPr>
        <w:t xml:space="preserve">High–Low: an area with a high value surrounded by </w:t>
      </w:r>
      <w:proofErr w:type="spellStart"/>
      <w:r w:rsidRPr="008E694E">
        <w:rPr>
          <w:sz w:val="24"/>
          <w:szCs w:val="24"/>
        </w:rPr>
        <w:t>neighbouring</w:t>
      </w:r>
      <w:proofErr w:type="spellEnd"/>
      <w:r w:rsidRPr="008E694E">
        <w:rPr>
          <w:sz w:val="24"/>
          <w:szCs w:val="24"/>
        </w:rPr>
        <w:t xml:space="preserve"> areas with low values.</w:t>
      </w:r>
    </w:p>
    <w:p w14:paraId="5A54FD14" w14:textId="77777777" w:rsidR="003D4765" w:rsidRPr="008E694E" w:rsidRDefault="008F5C9D">
      <w:pPr>
        <w:numPr>
          <w:ilvl w:val="0"/>
          <w:numId w:val="5"/>
        </w:numPr>
        <w:spacing w:after="0"/>
        <w:jc w:val="both"/>
        <w:rPr>
          <w:sz w:val="24"/>
          <w:szCs w:val="24"/>
        </w:rPr>
      </w:pPr>
      <w:r w:rsidRPr="008E694E">
        <w:rPr>
          <w:sz w:val="24"/>
          <w:szCs w:val="24"/>
        </w:rPr>
        <w:lastRenderedPageBreak/>
        <w:t xml:space="preserve">Low–High: an area with a low value surrounded by </w:t>
      </w:r>
      <w:proofErr w:type="spellStart"/>
      <w:r w:rsidRPr="008E694E">
        <w:rPr>
          <w:sz w:val="24"/>
          <w:szCs w:val="24"/>
        </w:rPr>
        <w:t>neighbouring</w:t>
      </w:r>
      <w:proofErr w:type="spellEnd"/>
      <w:r w:rsidRPr="008E694E">
        <w:rPr>
          <w:sz w:val="24"/>
          <w:szCs w:val="24"/>
        </w:rPr>
        <w:t xml:space="preserve"> areas with high values.</w:t>
      </w:r>
    </w:p>
    <w:p w14:paraId="5A54FD15" w14:textId="77777777" w:rsidR="003D4765" w:rsidRPr="008E694E" w:rsidRDefault="008F5C9D">
      <w:pPr>
        <w:numPr>
          <w:ilvl w:val="0"/>
          <w:numId w:val="5"/>
        </w:numPr>
        <w:spacing w:after="240"/>
        <w:jc w:val="both"/>
        <w:rPr>
          <w:sz w:val="24"/>
          <w:szCs w:val="24"/>
        </w:rPr>
      </w:pPr>
      <w:r w:rsidRPr="008E694E">
        <w:rPr>
          <w:sz w:val="24"/>
          <w:szCs w:val="24"/>
        </w:rPr>
        <w:t>Not Significant: the local spatial pattern does not meet the selected statistical significance threshold.</w:t>
      </w:r>
    </w:p>
    <w:p w14:paraId="5A54FD16" w14:textId="77777777" w:rsidR="003D4765" w:rsidRPr="008E694E" w:rsidRDefault="008F5C9D">
      <w:pPr>
        <w:spacing w:before="240" w:after="240"/>
        <w:jc w:val="both"/>
        <w:rPr>
          <w:sz w:val="24"/>
          <w:szCs w:val="24"/>
        </w:rPr>
      </w:pPr>
      <w:r w:rsidRPr="008E694E">
        <w:rPr>
          <w:sz w:val="24"/>
          <w:szCs w:val="24"/>
        </w:rPr>
        <w:t>These meanings should remain explicit in the dashboard guidance because the category labels may otherwise be interpreted too loosely.</w:t>
      </w:r>
    </w:p>
    <w:p w14:paraId="5A54FD17" w14:textId="77777777" w:rsidR="003D4765" w:rsidRPr="008E694E" w:rsidRDefault="008F5C9D">
      <w:pPr>
        <w:spacing w:before="240" w:after="240"/>
        <w:jc w:val="both"/>
        <w:rPr>
          <w:sz w:val="24"/>
          <w:szCs w:val="24"/>
        </w:rPr>
      </w:pPr>
      <w:r w:rsidRPr="008E694E">
        <w:rPr>
          <w:sz w:val="24"/>
          <w:szCs w:val="24"/>
        </w:rPr>
        <w:t>The practical CABA example is particularly useful. Communes 12, 13, 14 and 15 are contiguous and have elevated relative risks in the simulated dataset. Once the simulated outbreaks are active and the signal has accumulated, these communes are expected to appear as High–High areas.</w:t>
      </w:r>
    </w:p>
    <w:p w14:paraId="5A54FD18" w14:textId="77777777" w:rsidR="003D4765" w:rsidRPr="008E694E" w:rsidRDefault="008F5C9D">
      <w:pPr>
        <w:spacing w:before="240" w:after="240"/>
        <w:jc w:val="both"/>
        <w:rPr>
          <w:sz w:val="24"/>
          <w:szCs w:val="24"/>
        </w:rPr>
      </w:pPr>
      <w:r w:rsidRPr="008E694E">
        <w:rPr>
          <w:sz w:val="24"/>
          <w:szCs w:val="24"/>
        </w:rPr>
        <w:t xml:space="preserve">This provides more information than the prevalence map alone. The LISA result indicates that the elevated values are spatially associated with elevated values in </w:t>
      </w:r>
      <w:proofErr w:type="spellStart"/>
      <w:r w:rsidRPr="008E694E">
        <w:rPr>
          <w:sz w:val="24"/>
          <w:szCs w:val="24"/>
        </w:rPr>
        <w:t>neighbouring</w:t>
      </w:r>
      <w:proofErr w:type="spellEnd"/>
      <w:r w:rsidRPr="008E694E">
        <w:rPr>
          <w:sz w:val="24"/>
          <w:szCs w:val="24"/>
        </w:rPr>
        <w:t xml:space="preserve"> communes, rather than simply showing that individual areas have high prevalence.</w:t>
      </w:r>
    </w:p>
    <w:p w14:paraId="5A54FD19" w14:textId="77777777" w:rsidR="003D4765" w:rsidRPr="008E694E" w:rsidRDefault="003D4765"/>
    <w:p w14:paraId="5A54FD1B" w14:textId="77777777" w:rsidR="003D4765" w:rsidRPr="008E694E" w:rsidRDefault="008F5C9D">
      <w:pPr>
        <w:pStyle w:val="Ttulo3"/>
        <w:spacing w:before="120" w:after="80" w:line="276" w:lineRule="auto"/>
        <w:rPr>
          <w:rFonts w:ascii="Arial" w:hAnsi="Arial" w:cs="Arial"/>
        </w:rPr>
      </w:pPr>
      <w:bookmarkStart w:id="15" w:name="_heading=h.lgtepwnkcpk7" w:colFirst="0" w:colLast="0"/>
      <w:bookmarkEnd w:id="15"/>
      <w:r w:rsidRPr="008E694E">
        <w:rPr>
          <w:rFonts w:ascii="Arial" w:eastAsia="Arial" w:hAnsi="Arial" w:cs="Arial"/>
          <w:color w:val="324027"/>
          <w:sz w:val="26"/>
          <w:szCs w:val="26"/>
        </w:rPr>
        <w:t>5.3 Global Moran summary</w:t>
      </w:r>
    </w:p>
    <w:p w14:paraId="5A54FD1C" w14:textId="77777777" w:rsidR="003D4765" w:rsidRPr="008E694E" w:rsidRDefault="008F5C9D">
      <w:pPr>
        <w:spacing w:before="240" w:after="240"/>
        <w:jc w:val="both"/>
        <w:rPr>
          <w:sz w:val="24"/>
          <w:szCs w:val="24"/>
        </w:rPr>
      </w:pPr>
      <w:r w:rsidRPr="008E694E">
        <w:rPr>
          <w:sz w:val="24"/>
          <w:szCs w:val="24"/>
        </w:rPr>
        <w:t>The Global Moran summary provides an overall indication of whether spatial autocorrelation is present in the selected dataset.</w:t>
      </w:r>
    </w:p>
    <w:p w14:paraId="5A54FD1D" w14:textId="77777777" w:rsidR="003D4765" w:rsidRPr="008E694E" w:rsidRDefault="008F5C9D">
      <w:pPr>
        <w:spacing w:before="240" w:after="240"/>
        <w:jc w:val="both"/>
        <w:rPr>
          <w:sz w:val="24"/>
          <w:szCs w:val="24"/>
        </w:rPr>
      </w:pPr>
      <w:r w:rsidRPr="008E694E">
        <w:rPr>
          <w:sz w:val="24"/>
          <w:szCs w:val="24"/>
        </w:rPr>
        <w:t>In operational use, it can function effectively as a summary banner because it indicates whether there is evidence of a broader spatial pattern. However, good practice is not to interpret the banner in isolation.</w:t>
      </w:r>
    </w:p>
    <w:p w14:paraId="5A54FD1E" w14:textId="77777777" w:rsidR="003D4765" w:rsidRPr="008E694E" w:rsidRDefault="008F5C9D">
      <w:pPr>
        <w:spacing w:before="240" w:after="240"/>
        <w:jc w:val="both"/>
        <w:rPr>
          <w:sz w:val="24"/>
          <w:szCs w:val="24"/>
        </w:rPr>
      </w:pPr>
      <w:r w:rsidRPr="008E694E">
        <w:rPr>
          <w:sz w:val="24"/>
          <w:szCs w:val="24"/>
        </w:rPr>
        <w:t>A statistically significant global result does not identify which geographical areas are contributing to the pattern. The local LISA map must therefore be examined to determine where the relevant clusters or spatial outliers are located.</w:t>
      </w:r>
    </w:p>
    <w:p w14:paraId="5A54FD1F" w14:textId="77777777" w:rsidR="003D4765" w:rsidRPr="008E694E" w:rsidRDefault="008F5C9D">
      <w:pPr>
        <w:spacing w:before="240" w:after="240"/>
        <w:jc w:val="both"/>
        <w:rPr>
          <w:sz w:val="24"/>
          <w:szCs w:val="24"/>
        </w:rPr>
      </w:pPr>
      <w:r w:rsidRPr="008E694E">
        <w:rPr>
          <w:sz w:val="24"/>
          <w:szCs w:val="24"/>
        </w:rPr>
        <w:t>Similarly, a non-significant global result does not mean that all areas have identical prevalence values. It indicates that no statistically significant overall spatial autocorrelation has been detected in the selected dataset and period.</w:t>
      </w:r>
    </w:p>
    <w:p w14:paraId="5A54FD20" w14:textId="77777777" w:rsidR="003D4765" w:rsidRPr="008E694E" w:rsidRDefault="008F5C9D">
      <w:pPr>
        <w:spacing w:before="240" w:after="240"/>
        <w:jc w:val="both"/>
        <w:rPr>
          <w:sz w:val="24"/>
          <w:szCs w:val="24"/>
        </w:rPr>
      </w:pPr>
      <w:r w:rsidRPr="008E694E">
        <w:rPr>
          <w:sz w:val="24"/>
          <w:szCs w:val="24"/>
        </w:rPr>
        <w:t xml:space="preserve">In the practical example, Week 10 should generally show a weak or non-significant global pattern because none of the simulated outbreaks </w:t>
      </w:r>
      <w:proofErr w:type="gramStart"/>
      <w:r w:rsidRPr="008E694E">
        <w:rPr>
          <w:sz w:val="24"/>
          <w:szCs w:val="24"/>
        </w:rPr>
        <w:t>has</w:t>
      </w:r>
      <w:proofErr w:type="gramEnd"/>
      <w:r w:rsidRPr="008E694E">
        <w:rPr>
          <w:sz w:val="24"/>
          <w:szCs w:val="24"/>
        </w:rPr>
        <w:t xml:space="preserve"> yet begun. By Week 25, or across Weeks 20–52, the global spatial signal should become stronger because the outbreak communes are geographically contiguous.</w:t>
      </w:r>
    </w:p>
    <w:p w14:paraId="5A54FD21" w14:textId="77777777" w:rsidR="003D4765" w:rsidRPr="008E694E" w:rsidRDefault="008F5C9D">
      <w:pPr>
        <w:spacing w:before="240" w:after="240"/>
        <w:jc w:val="both"/>
        <w:rPr>
          <w:sz w:val="24"/>
          <w:szCs w:val="24"/>
        </w:rPr>
      </w:pPr>
      <w:r w:rsidRPr="008E694E">
        <w:rPr>
          <w:sz w:val="24"/>
          <w:szCs w:val="24"/>
        </w:rPr>
        <w:t>This comparison illustrates why a single-week view may provide less stable evidence of spatial clustering than an accumulated period in which the simulated pattern is sustained.</w:t>
      </w:r>
    </w:p>
    <w:p w14:paraId="5A54FD22" w14:textId="77777777" w:rsidR="003D4765" w:rsidRPr="008E694E" w:rsidRDefault="003D4765"/>
    <w:p w14:paraId="5A54FD24" w14:textId="77777777" w:rsidR="003D4765" w:rsidRPr="008E694E" w:rsidRDefault="008F5C9D">
      <w:pPr>
        <w:pStyle w:val="Ttulo3"/>
        <w:spacing w:before="120" w:after="80" w:line="276" w:lineRule="auto"/>
        <w:rPr>
          <w:rFonts w:ascii="Arial" w:hAnsi="Arial" w:cs="Arial"/>
        </w:rPr>
      </w:pPr>
      <w:bookmarkStart w:id="16" w:name="_heading=h.5b87bu31kot4" w:colFirst="0" w:colLast="0"/>
      <w:bookmarkEnd w:id="16"/>
      <w:r w:rsidRPr="008E694E">
        <w:rPr>
          <w:rFonts w:ascii="Arial" w:eastAsia="Arial" w:hAnsi="Arial" w:cs="Arial"/>
          <w:color w:val="324027"/>
          <w:sz w:val="26"/>
          <w:szCs w:val="26"/>
        </w:rPr>
        <w:t>5.4 Geospatial results table</w:t>
      </w:r>
    </w:p>
    <w:p w14:paraId="5A54FD25" w14:textId="77777777" w:rsidR="003D4765" w:rsidRPr="008E694E" w:rsidRDefault="008F5C9D">
      <w:pPr>
        <w:spacing w:before="240" w:after="240"/>
        <w:jc w:val="both"/>
        <w:rPr>
          <w:sz w:val="24"/>
          <w:szCs w:val="24"/>
        </w:rPr>
      </w:pPr>
      <w:r w:rsidRPr="008E694E">
        <w:rPr>
          <w:sz w:val="24"/>
          <w:szCs w:val="24"/>
        </w:rPr>
        <w:t xml:space="preserve">The geospatial results table provides </w:t>
      </w:r>
      <w:proofErr w:type="gramStart"/>
      <w:r w:rsidRPr="008E694E">
        <w:rPr>
          <w:sz w:val="24"/>
          <w:szCs w:val="24"/>
        </w:rPr>
        <w:t>the numerical</w:t>
      </w:r>
      <w:proofErr w:type="gramEnd"/>
      <w:r w:rsidRPr="008E694E">
        <w:rPr>
          <w:sz w:val="24"/>
          <w:szCs w:val="24"/>
        </w:rPr>
        <w:t xml:space="preserve"> information underlying the maps. It should include:</w:t>
      </w:r>
    </w:p>
    <w:p w14:paraId="5A54FD26" w14:textId="77777777" w:rsidR="003D4765" w:rsidRPr="008E694E" w:rsidRDefault="008F5C9D">
      <w:pPr>
        <w:numPr>
          <w:ilvl w:val="0"/>
          <w:numId w:val="9"/>
        </w:numPr>
        <w:spacing w:before="240" w:after="0"/>
        <w:jc w:val="both"/>
        <w:rPr>
          <w:sz w:val="24"/>
          <w:szCs w:val="24"/>
        </w:rPr>
      </w:pPr>
      <w:r w:rsidRPr="008E694E">
        <w:rPr>
          <w:sz w:val="24"/>
          <w:szCs w:val="24"/>
        </w:rPr>
        <w:t>the spatial unit identifier;</w:t>
      </w:r>
    </w:p>
    <w:p w14:paraId="5A54FD27" w14:textId="77777777" w:rsidR="003D4765" w:rsidRPr="008E694E" w:rsidRDefault="008F5C9D">
      <w:pPr>
        <w:numPr>
          <w:ilvl w:val="0"/>
          <w:numId w:val="9"/>
        </w:numPr>
        <w:spacing w:after="0"/>
        <w:jc w:val="both"/>
        <w:rPr>
          <w:sz w:val="24"/>
          <w:szCs w:val="24"/>
        </w:rPr>
      </w:pPr>
      <w:r w:rsidRPr="008E694E">
        <w:rPr>
          <w:sz w:val="24"/>
          <w:szCs w:val="24"/>
        </w:rPr>
        <w:t>the area name;</w:t>
      </w:r>
    </w:p>
    <w:p w14:paraId="5A54FD28" w14:textId="77777777" w:rsidR="003D4765" w:rsidRPr="008E694E" w:rsidRDefault="008F5C9D">
      <w:pPr>
        <w:numPr>
          <w:ilvl w:val="0"/>
          <w:numId w:val="9"/>
        </w:numPr>
        <w:spacing w:after="0"/>
        <w:jc w:val="both"/>
        <w:rPr>
          <w:sz w:val="24"/>
          <w:szCs w:val="24"/>
        </w:rPr>
      </w:pPr>
      <w:r w:rsidRPr="008E694E">
        <w:rPr>
          <w:sz w:val="24"/>
          <w:szCs w:val="24"/>
        </w:rPr>
        <w:t>the total number of cases;</w:t>
      </w:r>
    </w:p>
    <w:p w14:paraId="5A54FD29" w14:textId="77777777" w:rsidR="003D4765" w:rsidRPr="008E694E" w:rsidRDefault="008F5C9D">
      <w:pPr>
        <w:numPr>
          <w:ilvl w:val="0"/>
          <w:numId w:val="9"/>
        </w:numPr>
        <w:spacing w:after="0"/>
        <w:jc w:val="both"/>
        <w:rPr>
          <w:sz w:val="24"/>
          <w:szCs w:val="24"/>
        </w:rPr>
      </w:pPr>
      <w:r w:rsidRPr="008E694E">
        <w:rPr>
          <w:sz w:val="24"/>
          <w:szCs w:val="24"/>
        </w:rPr>
        <w:t>the population;</w:t>
      </w:r>
    </w:p>
    <w:p w14:paraId="5A54FD2A" w14:textId="77777777" w:rsidR="003D4765" w:rsidRPr="008E694E" w:rsidRDefault="008F5C9D">
      <w:pPr>
        <w:numPr>
          <w:ilvl w:val="0"/>
          <w:numId w:val="9"/>
        </w:numPr>
        <w:spacing w:after="0"/>
        <w:jc w:val="both"/>
        <w:rPr>
          <w:sz w:val="24"/>
          <w:szCs w:val="24"/>
        </w:rPr>
      </w:pPr>
      <w:r w:rsidRPr="008E694E">
        <w:rPr>
          <w:sz w:val="24"/>
          <w:szCs w:val="24"/>
        </w:rPr>
        <w:t>the resulting prevalence;</w:t>
      </w:r>
    </w:p>
    <w:p w14:paraId="5A54FD2B" w14:textId="77777777" w:rsidR="003D4765" w:rsidRPr="008E694E" w:rsidRDefault="008F5C9D">
      <w:pPr>
        <w:numPr>
          <w:ilvl w:val="0"/>
          <w:numId w:val="9"/>
        </w:numPr>
        <w:spacing w:after="0"/>
        <w:jc w:val="both"/>
        <w:rPr>
          <w:sz w:val="24"/>
          <w:szCs w:val="24"/>
        </w:rPr>
      </w:pPr>
      <w:r w:rsidRPr="008E694E">
        <w:rPr>
          <w:sz w:val="24"/>
          <w:szCs w:val="24"/>
        </w:rPr>
        <w:t>the p-value; and</w:t>
      </w:r>
    </w:p>
    <w:p w14:paraId="5A54FD2C" w14:textId="77777777" w:rsidR="003D4765" w:rsidRPr="008E694E" w:rsidRDefault="008F5C9D">
      <w:pPr>
        <w:numPr>
          <w:ilvl w:val="0"/>
          <w:numId w:val="9"/>
        </w:numPr>
        <w:spacing w:after="240"/>
        <w:jc w:val="both"/>
        <w:rPr>
          <w:sz w:val="24"/>
          <w:szCs w:val="24"/>
        </w:rPr>
      </w:pPr>
      <w:r w:rsidRPr="008E694E">
        <w:rPr>
          <w:sz w:val="24"/>
          <w:szCs w:val="24"/>
        </w:rPr>
        <w:t>the LISA category.</w:t>
      </w:r>
    </w:p>
    <w:p w14:paraId="5A54FD2D" w14:textId="77777777" w:rsidR="003D4765" w:rsidRPr="008E694E" w:rsidRDefault="008F5C9D">
      <w:pPr>
        <w:spacing w:before="240" w:after="240"/>
        <w:jc w:val="both"/>
        <w:rPr>
          <w:sz w:val="24"/>
          <w:szCs w:val="24"/>
        </w:rPr>
      </w:pPr>
      <w:r w:rsidRPr="008E694E">
        <w:rPr>
          <w:sz w:val="24"/>
          <w:szCs w:val="24"/>
        </w:rPr>
        <w:t xml:space="preserve">The table allows users to confirm the numerical value represented by each </w:t>
      </w:r>
      <w:proofErr w:type="spellStart"/>
      <w:r w:rsidRPr="008E694E">
        <w:rPr>
          <w:sz w:val="24"/>
          <w:szCs w:val="24"/>
        </w:rPr>
        <w:t>colour</w:t>
      </w:r>
      <w:proofErr w:type="spellEnd"/>
      <w:r w:rsidRPr="008E694E">
        <w:rPr>
          <w:sz w:val="24"/>
          <w:szCs w:val="24"/>
        </w:rPr>
        <w:t xml:space="preserve"> and to report findings precisely.</w:t>
      </w:r>
    </w:p>
    <w:p w14:paraId="5A54FD2E" w14:textId="77777777" w:rsidR="003D4765" w:rsidRPr="008E694E" w:rsidRDefault="008F5C9D">
      <w:pPr>
        <w:spacing w:before="240" w:after="240"/>
        <w:jc w:val="both"/>
        <w:rPr>
          <w:sz w:val="24"/>
          <w:szCs w:val="24"/>
        </w:rPr>
      </w:pPr>
      <w:r w:rsidRPr="008E694E">
        <w:rPr>
          <w:sz w:val="24"/>
          <w:szCs w:val="24"/>
        </w:rPr>
        <w:t>Good practice is to consult this table whenever a result must be communicated outside the dashboard. A map can indicate that a spatial pattern exists, while the table can specify which areas are involved, the values observed and the statistical significance associated with the local result.</w:t>
      </w:r>
    </w:p>
    <w:p w14:paraId="5A54FD2F" w14:textId="77777777" w:rsidR="003D4765" w:rsidRPr="008E694E" w:rsidRDefault="008F5C9D">
      <w:pPr>
        <w:spacing w:before="240" w:after="240"/>
        <w:jc w:val="both"/>
        <w:rPr>
          <w:sz w:val="24"/>
          <w:szCs w:val="24"/>
        </w:rPr>
      </w:pPr>
      <w:r w:rsidRPr="008E694E">
        <w:rPr>
          <w:sz w:val="24"/>
          <w:szCs w:val="24"/>
        </w:rPr>
        <w:t>The table is also useful for examining apparently inconsistent findings, such as an area with high prevalence but a non-significant LISA result. In such cases, the prevalence map and the LISA map are not contradictory: they are presenting different aspects of the same data.</w:t>
      </w:r>
    </w:p>
    <w:p w14:paraId="5A54FD30" w14:textId="77777777" w:rsidR="003D4765" w:rsidRPr="008E694E" w:rsidRDefault="003D4765"/>
    <w:p w14:paraId="5A54FD32" w14:textId="77777777" w:rsidR="003D4765" w:rsidRPr="008E694E" w:rsidRDefault="008F5C9D">
      <w:pPr>
        <w:pStyle w:val="Ttulo2"/>
        <w:spacing w:after="80" w:line="276" w:lineRule="auto"/>
        <w:rPr>
          <w:rFonts w:ascii="Arial" w:hAnsi="Arial" w:cs="Arial"/>
          <w:sz w:val="30"/>
          <w:szCs w:val="30"/>
        </w:rPr>
      </w:pPr>
      <w:bookmarkStart w:id="17" w:name="_heading=h.y0jas7q3u1ow" w:colFirst="0" w:colLast="0"/>
      <w:bookmarkEnd w:id="17"/>
      <w:r w:rsidRPr="008E694E">
        <w:rPr>
          <w:rFonts w:ascii="Arial" w:eastAsia="Arial" w:hAnsi="Arial" w:cs="Arial"/>
          <w:color w:val="324027"/>
          <w:sz w:val="30"/>
          <w:szCs w:val="30"/>
        </w:rPr>
        <w:t>Section 6. Time and geography: how the two analyses differ</w:t>
      </w:r>
    </w:p>
    <w:p w14:paraId="5A54FD33" w14:textId="77777777" w:rsidR="003D4765" w:rsidRPr="008E694E" w:rsidRDefault="008F5C9D">
      <w:pPr>
        <w:spacing w:before="240" w:after="240"/>
        <w:jc w:val="both"/>
        <w:rPr>
          <w:sz w:val="24"/>
          <w:szCs w:val="24"/>
        </w:rPr>
      </w:pPr>
      <w:r w:rsidRPr="008E694E">
        <w:rPr>
          <w:sz w:val="24"/>
          <w:szCs w:val="24"/>
        </w:rPr>
        <w:t xml:space="preserve">A key feature of the current dashboard is that CUSUM and geospatial analysis share a common workflow but do not apply time and geography in </w:t>
      </w:r>
      <w:proofErr w:type="gramStart"/>
      <w:r w:rsidRPr="008E694E">
        <w:rPr>
          <w:sz w:val="24"/>
          <w:szCs w:val="24"/>
        </w:rPr>
        <w:t>exactly the same</w:t>
      </w:r>
      <w:proofErr w:type="gramEnd"/>
      <w:r w:rsidRPr="008E694E">
        <w:rPr>
          <w:sz w:val="24"/>
          <w:szCs w:val="24"/>
        </w:rPr>
        <w:t xml:space="preserve"> way. This is not necessarily a limitation, but it must be explained clearly because many interpretation errors arise when users assume that the same filter behaves identically across both modules.</w:t>
      </w:r>
    </w:p>
    <w:p w14:paraId="5A54FD34" w14:textId="77777777" w:rsidR="003D4765" w:rsidRPr="008E694E" w:rsidRDefault="008F5C9D">
      <w:pPr>
        <w:spacing w:before="240" w:after="240"/>
        <w:jc w:val="both"/>
        <w:rPr>
          <w:sz w:val="24"/>
          <w:szCs w:val="24"/>
        </w:rPr>
      </w:pPr>
      <w:r w:rsidRPr="008E694E">
        <w:rPr>
          <w:sz w:val="24"/>
          <w:szCs w:val="24"/>
        </w:rPr>
        <w:t xml:space="preserve">In the current implementation, the Locations filter restricts the geographical units included in the CUSUM analysis, but it does not restrict the geospatial map in the same way. The geospatial workflow continues to </w:t>
      </w:r>
      <w:proofErr w:type="gramStart"/>
      <w:r w:rsidRPr="008E694E">
        <w:rPr>
          <w:sz w:val="24"/>
          <w:szCs w:val="24"/>
        </w:rPr>
        <w:t>use</w:t>
      </w:r>
      <w:proofErr w:type="gramEnd"/>
      <w:r w:rsidRPr="008E694E">
        <w:rPr>
          <w:sz w:val="24"/>
          <w:szCs w:val="24"/>
        </w:rPr>
        <w:t xml:space="preserve"> all units available at the selected geographical level and within the selected time settings.</w:t>
      </w:r>
    </w:p>
    <w:p w14:paraId="5A54FD35" w14:textId="77777777" w:rsidR="003D4765" w:rsidRPr="008E694E" w:rsidRDefault="008F5C9D">
      <w:pPr>
        <w:spacing w:before="240" w:after="240"/>
        <w:jc w:val="both"/>
        <w:rPr>
          <w:sz w:val="24"/>
          <w:szCs w:val="24"/>
        </w:rPr>
      </w:pPr>
      <w:r w:rsidRPr="008E694E">
        <w:rPr>
          <w:sz w:val="24"/>
          <w:szCs w:val="24"/>
        </w:rPr>
        <w:t xml:space="preserve">A user may therefore correctly </w:t>
      </w:r>
      <w:proofErr w:type="gramStart"/>
      <w:r w:rsidRPr="008E694E">
        <w:rPr>
          <w:sz w:val="24"/>
          <w:szCs w:val="24"/>
        </w:rPr>
        <w:t>state, ‘</w:t>
      </w:r>
      <w:proofErr w:type="gramEnd"/>
      <w:r w:rsidRPr="008E694E">
        <w:rPr>
          <w:sz w:val="24"/>
          <w:szCs w:val="24"/>
        </w:rPr>
        <w:t>I selected one commune for the CUSUM analysis</w:t>
      </w:r>
      <w:proofErr w:type="gramStart"/>
      <w:r w:rsidRPr="008E694E">
        <w:rPr>
          <w:sz w:val="24"/>
          <w:szCs w:val="24"/>
        </w:rPr>
        <w:t>’, but</w:t>
      </w:r>
      <w:proofErr w:type="gramEnd"/>
      <w:r w:rsidRPr="008E694E">
        <w:rPr>
          <w:sz w:val="24"/>
          <w:szCs w:val="24"/>
        </w:rPr>
        <w:t xml:space="preserve"> should not assume that the map displays only that commune or a </w:t>
      </w:r>
      <w:r w:rsidRPr="008E694E">
        <w:rPr>
          <w:sz w:val="24"/>
          <w:szCs w:val="24"/>
        </w:rPr>
        <w:lastRenderedPageBreak/>
        <w:t>restricted subset. The geospatial display continues to compare all units available at the selected geographical level.</w:t>
      </w:r>
    </w:p>
    <w:p w14:paraId="5A54FD36" w14:textId="77777777" w:rsidR="003D4765" w:rsidRPr="008E694E" w:rsidRDefault="008F5C9D">
      <w:pPr>
        <w:spacing w:before="240" w:after="240"/>
        <w:jc w:val="both"/>
        <w:rPr>
          <w:sz w:val="24"/>
          <w:szCs w:val="24"/>
        </w:rPr>
      </w:pPr>
      <w:r w:rsidRPr="008E694E">
        <w:rPr>
          <w:sz w:val="24"/>
          <w:szCs w:val="24"/>
        </w:rPr>
        <w:t>Time is also handled differently across the two analyses. The CUSUM module uses the selected detection period together with the historical weekly sequence required to compare observed values with expectation and to accumulate evidence over time. The geospatial module uses the selected year and epidemiological week or week range to produce a spatial summary for a single period or an aggregated interval.</w:t>
      </w:r>
    </w:p>
    <w:p w14:paraId="5A54FD37" w14:textId="77777777" w:rsidR="003D4765" w:rsidRPr="008E694E" w:rsidRDefault="008F5C9D">
      <w:pPr>
        <w:spacing w:before="240" w:after="240"/>
        <w:jc w:val="both"/>
        <w:rPr>
          <w:sz w:val="24"/>
          <w:szCs w:val="24"/>
        </w:rPr>
      </w:pPr>
      <w:r w:rsidRPr="008E694E">
        <w:rPr>
          <w:sz w:val="24"/>
          <w:szCs w:val="24"/>
        </w:rPr>
        <w:t>These approaches are related, but they are not equivalent. Good practice is therefore to describe CUSUM outputs as temporal surveillance-process outputs and geospatial outputs as spatial summaries for the selected period.</w:t>
      </w:r>
    </w:p>
    <w:p w14:paraId="5A54FD38" w14:textId="77777777" w:rsidR="003D4765" w:rsidRPr="008E694E" w:rsidRDefault="008F5C9D">
      <w:pPr>
        <w:spacing w:before="240" w:after="240"/>
        <w:jc w:val="both"/>
        <w:rPr>
          <w:sz w:val="24"/>
          <w:szCs w:val="24"/>
        </w:rPr>
      </w:pPr>
      <w:r w:rsidRPr="008E694E">
        <w:rPr>
          <w:sz w:val="24"/>
          <w:szCs w:val="24"/>
        </w:rPr>
        <w:t>This distinction should be stated consistently in user guidance, help text and exported captions. It is particularly important in operational settings, where users may move quickly between displays and assume that all outputs have been filtered in the same way</w:t>
      </w:r>
    </w:p>
    <w:p w14:paraId="5A54FD39" w14:textId="77777777" w:rsidR="003D4765" w:rsidRPr="008E694E" w:rsidRDefault="003D4765"/>
    <w:p w14:paraId="5A54FD3A" w14:textId="77777777" w:rsidR="003D4765" w:rsidRPr="008E694E" w:rsidRDefault="008F5C9D">
      <w:pPr>
        <w:pStyle w:val="Ttulo2"/>
        <w:spacing w:after="80" w:line="276" w:lineRule="auto"/>
        <w:rPr>
          <w:rFonts w:ascii="Arial" w:hAnsi="Arial" w:cs="Arial"/>
        </w:rPr>
      </w:pPr>
      <w:bookmarkStart w:id="18" w:name="_heading=h.87cvtxorxok6" w:colFirst="0" w:colLast="0"/>
      <w:bookmarkEnd w:id="18"/>
      <w:r w:rsidRPr="008E694E">
        <w:rPr>
          <w:rFonts w:ascii="Arial" w:eastAsia="Arial" w:hAnsi="Arial" w:cs="Arial"/>
          <w:color w:val="324027"/>
          <w:sz w:val="30"/>
          <w:szCs w:val="30"/>
        </w:rPr>
        <w:t>Section 7. Display and layout choices</w:t>
      </w:r>
    </w:p>
    <w:p w14:paraId="5A54FD3B" w14:textId="77777777" w:rsidR="003D4765" w:rsidRPr="008E694E" w:rsidRDefault="008F5C9D">
      <w:pPr>
        <w:spacing w:before="240" w:after="240"/>
        <w:jc w:val="both"/>
        <w:rPr>
          <w:sz w:val="24"/>
          <w:szCs w:val="24"/>
        </w:rPr>
      </w:pPr>
      <w:r w:rsidRPr="008E694E">
        <w:rPr>
          <w:sz w:val="24"/>
          <w:szCs w:val="24"/>
        </w:rPr>
        <w:t xml:space="preserve">The Display page controls how analytical outputs are presented; it does not change the underlying data or calculated results. Users can select which outputs are visible, choose a one- or two-column layout, determine where tables are positioned, adjust font size and decimal precision, and configure reactive display </w:t>
      </w:r>
      <w:proofErr w:type="spellStart"/>
      <w:r w:rsidRPr="008E694E">
        <w:rPr>
          <w:sz w:val="24"/>
          <w:szCs w:val="24"/>
        </w:rPr>
        <w:t>behaviour</w:t>
      </w:r>
      <w:proofErr w:type="spellEnd"/>
      <w:r w:rsidRPr="008E694E">
        <w:rPr>
          <w:sz w:val="24"/>
          <w:szCs w:val="24"/>
        </w:rPr>
        <w:t>.</w:t>
      </w:r>
    </w:p>
    <w:p w14:paraId="5A54FD3C" w14:textId="77777777" w:rsidR="003D4765" w:rsidRPr="008E694E" w:rsidRDefault="008F5C9D">
      <w:pPr>
        <w:spacing w:before="240" w:after="240"/>
        <w:jc w:val="both"/>
        <w:rPr>
          <w:sz w:val="24"/>
          <w:szCs w:val="24"/>
        </w:rPr>
      </w:pPr>
      <w:r w:rsidRPr="008E694E">
        <w:rPr>
          <w:sz w:val="24"/>
          <w:szCs w:val="24"/>
        </w:rPr>
        <w:t>These options affect readability and usability, but they should not be interpreted as changes to the analysis itself.</w:t>
      </w:r>
    </w:p>
    <w:p w14:paraId="5A54FD3D" w14:textId="77777777" w:rsidR="003D4765" w:rsidRPr="008E694E" w:rsidRDefault="008F5C9D">
      <w:pPr>
        <w:spacing w:before="240" w:after="240"/>
        <w:jc w:val="both"/>
        <w:rPr>
          <w:sz w:val="24"/>
          <w:szCs w:val="24"/>
        </w:rPr>
      </w:pPr>
      <w:r w:rsidRPr="008E694E">
        <w:rPr>
          <w:sz w:val="24"/>
          <w:szCs w:val="24"/>
        </w:rPr>
        <w:t>The main good-practice principle is to preserve a clear visual hierarchy. A dashboard should not attempt to display every available panel simultaneously if doing so makes the outputs more difficult to interpret.</w:t>
      </w:r>
    </w:p>
    <w:p w14:paraId="5A54FD3E" w14:textId="77777777" w:rsidR="003D4765" w:rsidRPr="008E694E" w:rsidRDefault="008F5C9D">
      <w:pPr>
        <w:spacing w:before="240" w:after="240"/>
        <w:jc w:val="both"/>
        <w:rPr>
          <w:sz w:val="24"/>
          <w:szCs w:val="24"/>
        </w:rPr>
      </w:pPr>
      <w:r w:rsidRPr="008E694E">
        <w:rPr>
          <w:sz w:val="24"/>
          <w:szCs w:val="24"/>
        </w:rPr>
        <w:t>For rapid situational awareness, the CUSUM alarms overview or the prevalence map may be given greater prominence. For technical review and validation, the CUSUM process plot and detailed results tables may require more space. The most appropriate layout therefore depends on the intended audience and the purpose of the analysis, rather than on the number of outputs available.</w:t>
      </w:r>
    </w:p>
    <w:p w14:paraId="5A54FD3F" w14:textId="77777777" w:rsidR="003D4765" w:rsidRPr="008E694E" w:rsidRDefault="008F5C9D">
      <w:pPr>
        <w:spacing w:before="240" w:after="240"/>
        <w:jc w:val="both"/>
        <w:rPr>
          <w:sz w:val="24"/>
          <w:szCs w:val="24"/>
        </w:rPr>
      </w:pPr>
      <w:r w:rsidRPr="008E694E">
        <w:rPr>
          <w:sz w:val="24"/>
          <w:szCs w:val="24"/>
        </w:rPr>
        <w:t>Decimal precision should also be used conservatively. Displaying too many decimal places may create a false impression of precision, particularly in prevalence measures and summary tables. Good practice is to show only the level of precision required for interpretation on screen and to retain greater precision in downloadable data where this is analytically justified.</w:t>
      </w:r>
    </w:p>
    <w:p w14:paraId="5A54FD40" w14:textId="77777777" w:rsidR="003D4765" w:rsidRPr="008E694E" w:rsidRDefault="008F5C9D">
      <w:pPr>
        <w:spacing w:before="240" w:after="240"/>
        <w:jc w:val="both"/>
        <w:rPr>
          <w:sz w:val="24"/>
          <w:szCs w:val="24"/>
        </w:rPr>
      </w:pPr>
      <w:r w:rsidRPr="008E694E">
        <w:rPr>
          <w:sz w:val="24"/>
          <w:szCs w:val="24"/>
        </w:rPr>
        <w:lastRenderedPageBreak/>
        <w:t xml:space="preserve">Reactive display </w:t>
      </w:r>
      <w:proofErr w:type="spellStart"/>
      <w:r w:rsidRPr="008E694E">
        <w:rPr>
          <w:sz w:val="24"/>
          <w:szCs w:val="24"/>
        </w:rPr>
        <w:t>behaviour</w:t>
      </w:r>
      <w:proofErr w:type="spellEnd"/>
      <w:r w:rsidRPr="008E694E">
        <w:rPr>
          <w:sz w:val="24"/>
          <w:szCs w:val="24"/>
        </w:rPr>
        <w:t xml:space="preserve"> can improve usability after the initial analysis has been </w:t>
      </w:r>
      <w:proofErr w:type="gramStart"/>
      <w:r w:rsidRPr="008E694E">
        <w:rPr>
          <w:sz w:val="24"/>
          <w:szCs w:val="24"/>
        </w:rPr>
        <w:t>run</w:t>
      </w:r>
      <w:proofErr w:type="gramEnd"/>
      <w:r w:rsidRPr="008E694E">
        <w:rPr>
          <w:sz w:val="24"/>
          <w:szCs w:val="24"/>
        </w:rPr>
        <w:t>. However, it may also increase the risk that users lose track of which changes require the analysis to be rerun.</w:t>
      </w:r>
    </w:p>
    <w:p w14:paraId="5A54FD41" w14:textId="77777777" w:rsidR="003D4765" w:rsidRPr="008E694E" w:rsidRDefault="008F5C9D">
      <w:pPr>
        <w:spacing w:before="240" w:after="240"/>
        <w:jc w:val="both"/>
        <w:rPr>
          <w:sz w:val="24"/>
          <w:szCs w:val="24"/>
        </w:rPr>
      </w:pPr>
      <w:r w:rsidRPr="008E694E">
        <w:rPr>
          <w:sz w:val="24"/>
          <w:szCs w:val="24"/>
        </w:rPr>
        <w:t>Documentation should therefore continue to distinguish clearly between:</w:t>
      </w:r>
    </w:p>
    <w:p w14:paraId="5A54FD42" w14:textId="77777777" w:rsidR="003D4765" w:rsidRPr="008E694E" w:rsidRDefault="008F5C9D">
      <w:pPr>
        <w:numPr>
          <w:ilvl w:val="0"/>
          <w:numId w:val="6"/>
        </w:numPr>
        <w:spacing w:before="240" w:after="0"/>
        <w:jc w:val="both"/>
        <w:rPr>
          <w:sz w:val="24"/>
          <w:szCs w:val="24"/>
        </w:rPr>
      </w:pPr>
      <w:r w:rsidRPr="008E694E">
        <w:rPr>
          <w:sz w:val="24"/>
          <w:szCs w:val="24"/>
        </w:rPr>
        <w:t>changes that affect only the visible layout or selected display; and</w:t>
      </w:r>
    </w:p>
    <w:p w14:paraId="5A54FD43" w14:textId="77777777" w:rsidR="003D4765" w:rsidRPr="008E694E" w:rsidRDefault="008F5C9D">
      <w:pPr>
        <w:numPr>
          <w:ilvl w:val="0"/>
          <w:numId w:val="6"/>
        </w:numPr>
        <w:spacing w:after="240"/>
        <w:jc w:val="both"/>
      </w:pPr>
      <w:r w:rsidRPr="008E694E">
        <w:rPr>
          <w:sz w:val="24"/>
          <w:szCs w:val="24"/>
        </w:rPr>
        <w:t>changes to the active file, filters or analytical parameters that require users to select Run Analysis again</w:t>
      </w:r>
      <w:r w:rsidRPr="008E694E">
        <w:rPr>
          <w:b/>
          <w:bCs/>
        </w:rPr>
        <w:t>.</w:t>
      </w:r>
    </w:p>
    <w:p w14:paraId="5A54FD44" w14:textId="77777777" w:rsidR="003D4765" w:rsidRPr="008E694E" w:rsidRDefault="003D4765"/>
    <w:p w14:paraId="5A54FD46" w14:textId="77777777" w:rsidR="003D4765" w:rsidRPr="008E694E" w:rsidRDefault="008F5C9D">
      <w:pPr>
        <w:pStyle w:val="Ttulo2"/>
        <w:spacing w:after="80" w:line="276" w:lineRule="auto"/>
        <w:rPr>
          <w:rFonts w:ascii="Arial" w:hAnsi="Arial" w:cs="Arial"/>
        </w:rPr>
      </w:pPr>
      <w:bookmarkStart w:id="19" w:name="_heading=h.mv2k0mq6htyt" w:colFirst="0" w:colLast="0"/>
      <w:bookmarkEnd w:id="19"/>
      <w:r w:rsidRPr="008E694E">
        <w:rPr>
          <w:rFonts w:ascii="Arial" w:eastAsia="Arial" w:hAnsi="Arial" w:cs="Arial"/>
          <w:color w:val="324027"/>
          <w:sz w:val="30"/>
          <w:szCs w:val="30"/>
        </w:rPr>
        <w:t xml:space="preserve">Section 8. </w:t>
      </w:r>
      <w:proofErr w:type="spellStart"/>
      <w:r w:rsidRPr="008E694E">
        <w:rPr>
          <w:rFonts w:ascii="Arial" w:eastAsia="Arial" w:hAnsi="Arial" w:cs="Arial"/>
          <w:color w:val="324027"/>
          <w:sz w:val="30"/>
          <w:szCs w:val="30"/>
        </w:rPr>
        <w:t>Colour</w:t>
      </w:r>
      <w:proofErr w:type="spellEnd"/>
      <w:r w:rsidRPr="008E694E">
        <w:rPr>
          <w:rFonts w:ascii="Arial" w:eastAsia="Arial" w:hAnsi="Arial" w:cs="Arial"/>
          <w:color w:val="324027"/>
          <w:sz w:val="30"/>
          <w:szCs w:val="30"/>
        </w:rPr>
        <w:t>, labels, and metadata</w:t>
      </w:r>
    </w:p>
    <w:p w14:paraId="5A54FD47" w14:textId="77777777" w:rsidR="003D4765" w:rsidRPr="008E694E" w:rsidRDefault="008F5C9D">
      <w:pPr>
        <w:spacing w:before="240" w:after="240"/>
        <w:jc w:val="both"/>
        <w:rPr>
          <w:sz w:val="24"/>
          <w:szCs w:val="24"/>
        </w:rPr>
      </w:pPr>
      <w:proofErr w:type="spellStart"/>
      <w:r w:rsidRPr="008E694E">
        <w:rPr>
          <w:sz w:val="24"/>
          <w:szCs w:val="24"/>
        </w:rPr>
        <w:t>Colour</w:t>
      </w:r>
      <w:proofErr w:type="spellEnd"/>
      <w:r w:rsidRPr="008E694E">
        <w:rPr>
          <w:sz w:val="24"/>
          <w:szCs w:val="24"/>
        </w:rPr>
        <w:t xml:space="preserve"> is one of the most powerful and potentially misleading visual encodings in a surveillance dashboard. The guide should remain consistent with the Analysis for Action visual style, while also protecting the interpretability of the outputs. </w:t>
      </w:r>
      <w:proofErr w:type="spellStart"/>
      <w:r w:rsidRPr="008E694E">
        <w:rPr>
          <w:sz w:val="24"/>
          <w:szCs w:val="24"/>
        </w:rPr>
        <w:t>Colours</w:t>
      </w:r>
      <w:proofErr w:type="spellEnd"/>
      <w:r w:rsidRPr="008E694E">
        <w:rPr>
          <w:sz w:val="24"/>
          <w:szCs w:val="24"/>
        </w:rPr>
        <w:t xml:space="preserve"> should be consistent, restrained and meaningful. In practice, this means preserving a single, consistent meaning for </w:t>
      </w:r>
      <w:proofErr w:type="spellStart"/>
      <w:r w:rsidRPr="008E694E">
        <w:rPr>
          <w:sz w:val="24"/>
          <w:szCs w:val="24"/>
        </w:rPr>
        <w:t>colours</w:t>
      </w:r>
      <w:proofErr w:type="spellEnd"/>
      <w:r w:rsidRPr="008E694E">
        <w:rPr>
          <w:sz w:val="24"/>
          <w:szCs w:val="24"/>
        </w:rPr>
        <w:t xml:space="preserve"> used to indicate alarms or risk, using ordered palettes for ordered data and avoiding decorative </w:t>
      </w:r>
      <w:proofErr w:type="spellStart"/>
      <w:r w:rsidRPr="008E694E">
        <w:rPr>
          <w:sz w:val="24"/>
          <w:szCs w:val="24"/>
        </w:rPr>
        <w:t>colour</w:t>
      </w:r>
      <w:proofErr w:type="spellEnd"/>
      <w:r w:rsidRPr="008E694E">
        <w:rPr>
          <w:sz w:val="24"/>
          <w:szCs w:val="24"/>
        </w:rPr>
        <w:t xml:space="preserve"> variation.</w:t>
      </w:r>
    </w:p>
    <w:p w14:paraId="5A54FD48" w14:textId="77777777" w:rsidR="003D4765" w:rsidRPr="008E694E" w:rsidRDefault="008F5C9D">
      <w:pPr>
        <w:spacing w:before="240" w:after="240"/>
        <w:jc w:val="both"/>
        <w:rPr>
          <w:sz w:val="24"/>
          <w:szCs w:val="24"/>
        </w:rPr>
      </w:pPr>
      <w:r w:rsidRPr="008E694E">
        <w:rPr>
          <w:sz w:val="24"/>
          <w:szCs w:val="24"/>
        </w:rPr>
        <w:t>For CUSUM outputs, the key visual distinction is between routine monitoring and threshold exceedance. Alarm markers should remain visually prominent and should not be confused with unrelated interface elements or decorative accents.</w:t>
      </w:r>
    </w:p>
    <w:p w14:paraId="5A54FD49" w14:textId="77777777" w:rsidR="003D4765" w:rsidRPr="008E694E" w:rsidRDefault="008F5C9D">
      <w:pPr>
        <w:spacing w:before="240" w:after="240"/>
        <w:jc w:val="both"/>
        <w:rPr>
          <w:sz w:val="24"/>
          <w:szCs w:val="24"/>
        </w:rPr>
      </w:pPr>
      <w:r w:rsidRPr="008E694E">
        <w:rPr>
          <w:sz w:val="24"/>
          <w:szCs w:val="24"/>
        </w:rPr>
        <w:t xml:space="preserve">For prevalence maps, a sequential </w:t>
      </w:r>
      <w:proofErr w:type="spellStart"/>
      <w:r w:rsidRPr="008E694E">
        <w:rPr>
          <w:sz w:val="24"/>
          <w:szCs w:val="24"/>
        </w:rPr>
        <w:t>colour</w:t>
      </w:r>
      <w:proofErr w:type="spellEnd"/>
      <w:r w:rsidRPr="008E694E">
        <w:rPr>
          <w:sz w:val="24"/>
          <w:szCs w:val="24"/>
        </w:rPr>
        <w:t xml:space="preserve"> scale is appropriate because the underlying values are ordered from lower to higher prevalence. For LISA maps, categorical </w:t>
      </w:r>
      <w:proofErr w:type="spellStart"/>
      <w:r w:rsidRPr="008E694E">
        <w:rPr>
          <w:sz w:val="24"/>
          <w:szCs w:val="24"/>
        </w:rPr>
        <w:t>colours</w:t>
      </w:r>
      <w:proofErr w:type="spellEnd"/>
      <w:r w:rsidRPr="008E694E">
        <w:rPr>
          <w:sz w:val="24"/>
          <w:szCs w:val="24"/>
        </w:rPr>
        <w:t xml:space="preserve"> are appropriate because the cluster categories are discrete. However, users should still be able to interpret the map when </w:t>
      </w:r>
      <w:proofErr w:type="spellStart"/>
      <w:r w:rsidRPr="008E694E">
        <w:rPr>
          <w:sz w:val="24"/>
          <w:szCs w:val="24"/>
        </w:rPr>
        <w:t>colour</w:t>
      </w:r>
      <w:proofErr w:type="spellEnd"/>
      <w:r w:rsidRPr="008E694E">
        <w:rPr>
          <w:sz w:val="24"/>
          <w:szCs w:val="24"/>
        </w:rPr>
        <w:t xml:space="preserve"> perception is limited or imperfect. Legends, labels and captions are therefore essential and should not be treated as optional additions.</w:t>
      </w:r>
    </w:p>
    <w:p w14:paraId="5A54FD4A" w14:textId="77777777" w:rsidR="003D4765" w:rsidRPr="008E694E" w:rsidRDefault="008F5C9D">
      <w:pPr>
        <w:spacing w:before="240" w:after="240"/>
        <w:jc w:val="both"/>
        <w:rPr>
          <w:sz w:val="24"/>
          <w:szCs w:val="24"/>
        </w:rPr>
      </w:pPr>
      <w:r w:rsidRPr="008E694E">
        <w:rPr>
          <w:sz w:val="24"/>
          <w:szCs w:val="24"/>
        </w:rPr>
        <w:t xml:space="preserve">Metadata are as important as </w:t>
      </w:r>
      <w:proofErr w:type="spellStart"/>
      <w:r w:rsidRPr="008E694E">
        <w:rPr>
          <w:sz w:val="24"/>
          <w:szCs w:val="24"/>
        </w:rPr>
        <w:t>colour</w:t>
      </w:r>
      <w:proofErr w:type="spellEnd"/>
      <w:r w:rsidRPr="008E694E">
        <w:rPr>
          <w:sz w:val="24"/>
          <w:szCs w:val="24"/>
        </w:rPr>
        <w:t>. Every output should clearly state:</w:t>
      </w:r>
    </w:p>
    <w:p w14:paraId="5A54FD4B" w14:textId="77777777" w:rsidR="003D4765" w:rsidRPr="008E694E" w:rsidRDefault="008F5C9D">
      <w:pPr>
        <w:numPr>
          <w:ilvl w:val="0"/>
          <w:numId w:val="10"/>
        </w:numPr>
        <w:spacing w:before="240" w:after="0"/>
        <w:jc w:val="both"/>
        <w:rPr>
          <w:sz w:val="24"/>
          <w:szCs w:val="24"/>
        </w:rPr>
      </w:pPr>
      <w:r w:rsidRPr="008E694E">
        <w:rPr>
          <w:sz w:val="24"/>
          <w:szCs w:val="24"/>
        </w:rPr>
        <w:t>what is being shown;</w:t>
      </w:r>
    </w:p>
    <w:p w14:paraId="5A54FD4C" w14:textId="77777777" w:rsidR="003D4765" w:rsidRPr="008E694E" w:rsidRDefault="008F5C9D">
      <w:pPr>
        <w:numPr>
          <w:ilvl w:val="0"/>
          <w:numId w:val="10"/>
        </w:numPr>
        <w:spacing w:after="0"/>
        <w:jc w:val="both"/>
        <w:rPr>
          <w:sz w:val="24"/>
          <w:szCs w:val="24"/>
        </w:rPr>
      </w:pPr>
      <w:r w:rsidRPr="008E694E">
        <w:rPr>
          <w:sz w:val="24"/>
          <w:szCs w:val="24"/>
        </w:rPr>
        <w:t xml:space="preserve">the relevant </w:t>
      </w:r>
      <w:proofErr w:type="gramStart"/>
      <w:r w:rsidRPr="008E694E">
        <w:rPr>
          <w:sz w:val="24"/>
          <w:szCs w:val="24"/>
        </w:rPr>
        <w:t>time period</w:t>
      </w:r>
      <w:proofErr w:type="gramEnd"/>
      <w:r w:rsidRPr="008E694E">
        <w:rPr>
          <w:sz w:val="24"/>
          <w:szCs w:val="24"/>
        </w:rPr>
        <w:t>;</w:t>
      </w:r>
    </w:p>
    <w:p w14:paraId="5A54FD4D" w14:textId="77777777" w:rsidR="003D4765" w:rsidRPr="008E694E" w:rsidRDefault="008F5C9D">
      <w:pPr>
        <w:numPr>
          <w:ilvl w:val="0"/>
          <w:numId w:val="10"/>
        </w:numPr>
        <w:spacing w:after="0"/>
        <w:jc w:val="both"/>
        <w:rPr>
          <w:sz w:val="24"/>
          <w:szCs w:val="24"/>
        </w:rPr>
      </w:pPr>
      <w:r w:rsidRPr="008E694E">
        <w:rPr>
          <w:sz w:val="24"/>
          <w:szCs w:val="24"/>
        </w:rPr>
        <w:t>the selected geographical level;</w:t>
      </w:r>
    </w:p>
    <w:p w14:paraId="5A54FD4E" w14:textId="77777777" w:rsidR="003D4765" w:rsidRPr="008E694E" w:rsidRDefault="008F5C9D">
      <w:pPr>
        <w:numPr>
          <w:ilvl w:val="0"/>
          <w:numId w:val="10"/>
        </w:numPr>
        <w:spacing w:after="0"/>
        <w:jc w:val="both"/>
        <w:rPr>
          <w:sz w:val="24"/>
          <w:szCs w:val="24"/>
        </w:rPr>
      </w:pPr>
      <w:r w:rsidRPr="008E694E">
        <w:rPr>
          <w:sz w:val="24"/>
          <w:szCs w:val="24"/>
        </w:rPr>
        <w:t>the parameters used; and</w:t>
      </w:r>
    </w:p>
    <w:p w14:paraId="5A54FD4F" w14:textId="77777777" w:rsidR="003D4765" w:rsidRPr="008E694E" w:rsidRDefault="008F5C9D">
      <w:pPr>
        <w:numPr>
          <w:ilvl w:val="0"/>
          <w:numId w:val="10"/>
        </w:numPr>
        <w:spacing w:after="240"/>
        <w:jc w:val="both"/>
        <w:rPr>
          <w:sz w:val="24"/>
          <w:szCs w:val="24"/>
        </w:rPr>
      </w:pPr>
      <w:r w:rsidRPr="008E694E">
        <w:rPr>
          <w:sz w:val="24"/>
          <w:szCs w:val="24"/>
        </w:rPr>
        <w:t>the active dataset or datasets.</w:t>
      </w:r>
    </w:p>
    <w:p w14:paraId="5A54FD50" w14:textId="77777777" w:rsidR="003D4765" w:rsidRPr="008E694E" w:rsidRDefault="008F5C9D">
      <w:pPr>
        <w:spacing w:before="240" w:after="240"/>
        <w:jc w:val="both"/>
        <w:rPr>
          <w:sz w:val="24"/>
          <w:szCs w:val="24"/>
        </w:rPr>
      </w:pPr>
      <w:r w:rsidRPr="008E694E">
        <w:rPr>
          <w:sz w:val="24"/>
          <w:szCs w:val="24"/>
        </w:rPr>
        <w:t>This information is not an optional documentation layer added after the analysis. In a dashboard environment, metadata form part of the visual design because they establish the context required to interpret the output correctly.</w:t>
      </w:r>
    </w:p>
    <w:p w14:paraId="5A54FD51" w14:textId="77777777" w:rsidR="003D4765" w:rsidRPr="008E694E" w:rsidRDefault="008F5C9D">
      <w:pPr>
        <w:spacing w:before="240" w:after="240"/>
        <w:jc w:val="both"/>
        <w:rPr>
          <w:sz w:val="24"/>
          <w:szCs w:val="24"/>
        </w:rPr>
      </w:pPr>
      <w:r w:rsidRPr="008E694E">
        <w:rPr>
          <w:sz w:val="24"/>
          <w:szCs w:val="24"/>
        </w:rPr>
        <w:lastRenderedPageBreak/>
        <w:t>The practical examples demonstrate why this matters. A prevalence map for Week 25 and a prevalence map for Weeks 20–52 may both appear visually striking, but they represent different time periods and answer different analytical questions. Without explicit metadata, an exported image may easily be reused or interpreted outside its original context.</w:t>
      </w:r>
    </w:p>
    <w:p w14:paraId="5A54FD52" w14:textId="77777777" w:rsidR="003D4765" w:rsidRPr="008E694E" w:rsidRDefault="008F5C9D">
      <w:pPr>
        <w:spacing w:before="240" w:after="240"/>
        <w:jc w:val="both"/>
        <w:rPr>
          <w:sz w:val="24"/>
          <w:szCs w:val="24"/>
        </w:rPr>
      </w:pPr>
      <w:r w:rsidRPr="008E694E">
        <w:rPr>
          <w:sz w:val="24"/>
          <w:szCs w:val="24"/>
        </w:rPr>
        <w:t xml:space="preserve">A well-designed surveillance </w:t>
      </w:r>
      <w:proofErr w:type="spellStart"/>
      <w:r w:rsidRPr="008E694E">
        <w:rPr>
          <w:sz w:val="24"/>
          <w:szCs w:val="24"/>
        </w:rPr>
        <w:t>visualisation</w:t>
      </w:r>
      <w:proofErr w:type="spellEnd"/>
      <w:r w:rsidRPr="008E694E">
        <w:rPr>
          <w:sz w:val="24"/>
          <w:szCs w:val="24"/>
        </w:rPr>
        <w:t xml:space="preserve"> should therefore remain interpretable after export, rather than only while it is being viewed within the live application.</w:t>
      </w:r>
    </w:p>
    <w:p w14:paraId="086F51C0" w14:textId="77777777" w:rsidR="00914BFD" w:rsidRDefault="00914BFD">
      <w:pPr>
        <w:pStyle w:val="Ttulo2"/>
        <w:spacing w:after="80" w:line="276" w:lineRule="auto"/>
        <w:rPr>
          <w:rFonts w:ascii="Arial" w:eastAsia="Arial" w:hAnsi="Arial" w:cs="Arial"/>
          <w:color w:val="324027"/>
          <w:sz w:val="30"/>
          <w:szCs w:val="30"/>
        </w:rPr>
      </w:pPr>
      <w:bookmarkStart w:id="20" w:name="_heading=h.pik6wrsfhk8c" w:colFirst="0" w:colLast="0"/>
      <w:bookmarkEnd w:id="20"/>
    </w:p>
    <w:p w14:paraId="5A54FD55" w14:textId="14E0A038" w:rsidR="003D4765" w:rsidRPr="008E694E" w:rsidRDefault="008F5C9D">
      <w:pPr>
        <w:pStyle w:val="Ttulo2"/>
        <w:spacing w:after="80" w:line="276" w:lineRule="auto"/>
        <w:rPr>
          <w:rFonts w:ascii="Arial" w:hAnsi="Arial" w:cs="Arial"/>
        </w:rPr>
      </w:pPr>
      <w:r w:rsidRPr="008E694E">
        <w:rPr>
          <w:rFonts w:ascii="Arial" w:eastAsia="Arial" w:hAnsi="Arial" w:cs="Arial"/>
          <w:color w:val="324027"/>
          <w:sz w:val="30"/>
          <w:szCs w:val="30"/>
        </w:rPr>
        <w:t>Section 9. Prepared data, exports, and reproducibility</w:t>
      </w:r>
    </w:p>
    <w:p w14:paraId="5A54FD56" w14:textId="77777777" w:rsidR="003D4765" w:rsidRPr="008E694E" w:rsidRDefault="008F5C9D">
      <w:pPr>
        <w:spacing w:before="240" w:after="240"/>
        <w:jc w:val="both"/>
        <w:rPr>
          <w:sz w:val="24"/>
          <w:szCs w:val="24"/>
        </w:rPr>
      </w:pPr>
      <w:r w:rsidRPr="008E694E">
        <w:rPr>
          <w:sz w:val="24"/>
          <w:szCs w:val="24"/>
        </w:rPr>
        <w:t xml:space="preserve">One of the most useful features of the current dashboard is the Prepared Data view. This view helps users understand that uploaded data may be </w:t>
      </w:r>
      <w:proofErr w:type="spellStart"/>
      <w:r w:rsidRPr="008E694E">
        <w:rPr>
          <w:sz w:val="24"/>
          <w:szCs w:val="24"/>
        </w:rPr>
        <w:t>standardised</w:t>
      </w:r>
      <w:proofErr w:type="spellEnd"/>
      <w:r w:rsidRPr="008E694E">
        <w:rPr>
          <w:sz w:val="24"/>
          <w:szCs w:val="24"/>
        </w:rPr>
        <w:t xml:space="preserve"> before analysis. It is particularly valuable because it can reveal changes such as the restoration of leading zeros in geographical identifiers, the </w:t>
      </w:r>
      <w:proofErr w:type="spellStart"/>
      <w:r w:rsidRPr="008E694E">
        <w:rPr>
          <w:sz w:val="24"/>
          <w:szCs w:val="24"/>
        </w:rPr>
        <w:t>standardisation</w:t>
      </w:r>
      <w:proofErr w:type="spellEnd"/>
      <w:r w:rsidRPr="008E694E">
        <w:rPr>
          <w:sz w:val="24"/>
          <w:szCs w:val="24"/>
        </w:rPr>
        <w:t xml:space="preserve"> of column names and other transformations that might otherwise remain invisible.</w:t>
      </w:r>
    </w:p>
    <w:p w14:paraId="5A54FD57" w14:textId="77777777" w:rsidR="003D4765" w:rsidRPr="008E694E" w:rsidRDefault="008F5C9D">
      <w:pPr>
        <w:spacing w:before="240" w:after="240"/>
        <w:jc w:val="both"/>
        <w:rPr>
          <w:sz w:val="24"/>
          <w:szCs w:val="24"/>
        </w:rPr>
      </w:pPr>
      <w:r w:rsidRPr="008E694E">
        <w:rPr>
          <w:sz w:val="24"/>
          <w:szCs w:val="24"/>
        </w:rPr>
        <w:t xml:space="preserve">Prepared data should be regarded as part of good </w:t>
      </w:r>
      <w:proofErr w:type="spellStart"/>
      <w:r w:rsidRPr="008E694E">
        <w:rPr>
          <w:sz w:val="24"/>
          <w:szCs w:val="24"/>
        </w:rPr>
        <w:t>visualisation</w:t>
      </w:r>
      <w:proofErr w:type="spellEnd"/>
      <w:r w:rsidRPr="008E694E">
        <w:rPr>
          <w:sz w:val="24"/>
          <w:szCs w:val="24"/>
        </w:rPr>
        <w:t xml:space="preserve"> practice because trustworthy charts depend on transparent and reliable data preparation. If users do not understand which data were </w:t>
      </w:r>
      <w:proofErr w:type="gramStart"/>
      <w:r w:rsidRPr="008E694E">
        <w:rPr>
          <w:sz w:val="24"/>
          <w:szCs w:val="24"/>
        </w:rPr>
        <w:t xml:space="preserve">actually </w:t>
      </w:r>
      <w:proofErr w:type="spellStart"/>
      <w:r w:rsidRPr="008E694E">
        <w:rPr>
          <w:sz w:val="24"/>
          <w:szCs w:val="24"/>
        </w:rPr>
        <w:t>analysed</w:t>
      </w:r>
      <w:proofErr w:type="spellEnd"/>
      <w:proofErr w:type="gramEnd"/>
      <w:r w:rsidRPr="008E694E">
        <w:rPr>
          <w:sz w:val="24"/>
          <w:szCs w:val="24"/>
        </w:rPr>
        <w:t>, interpretation becomes less robust.</w:t>
      </w:r>
    </w:p>
    <w:p w14:paraId="5A54FD58" w14:textId="77777777" w:rsidR="003D4765" w:rsidRPr="008E694E" w:rsidRDefault="008F5C9D">
      <w:pPr>
        <w:spacing w:before="240" w:after="240"/>
        <w:jc w:val="both"/>
        <w:rPr>
          <w:sz w:val="24"/>
          <w:szCs w:val="24"/>
        </w:rPr>
      </w:pPr>
      <w:proofErr w:type="gramStart"/>
      <w:r w:rsidRPr="008E694E">
        <w:rPr>
          <w:sz w:val="24"/>
          <w:szCs w:val="24"/>
        </w:rPr>
        <w:t>Prepared-data</w:t>
      </w:r>
      <w:proofErr w:type="gramEnd"/>
      <w:r w:rsidRPr="008E694E">
        <w:rPr>
          <w:sz w:val="24"/>
          <w:szCs w:val="24"/>
        </w:rPr>
        <w:t xml:space="preserve"> exports and explanatory notes should therefore not be treated as secondary technical details. They are part of analytical transparency and reproducibility.</w:t>
      </w:r>
    </w:p>
    <w:p w14:paraId="5A54FD59" w14:textId="77777777" w:rsidR="003D4765" w:rsidRPr="008E694E" w:rsidRDefault="008F5C9D">
      <w:pPr>
        <w:spacing w:before="240" w:after="240"/>
        <w:jc w:val="both"/>
        <w:rPr>
          <w:sz w:val="24"/>
          <w:szCs w:val="24"/>
        </w:rPr>
      </w:pPr>
      <w:r w:rsidRPr="008E694E">
        <w:rPr>
          <w:sz w:val="24"/>
          <w:szCs w:val="24"/>
        </w:rPr>
        <w:t>The same principle applies to downloaded outputs:</w:t>
      </w:r>
    </w:p>
    <w:p w14:paraId="5A54FD5A" w14:textId="77777777" w:rsidR="003D4765" w:rsidRPr="008E694E" w:rsidRDefault="008F5C9D">
      <w:pPr>
        <w:numPr>
          <w:ilvl w:val="0"/>
          <w:numId w:val="3"/>
        </w:numPr>
        <w:spacing w:before="240" w:after="0"/>
        <w:jc w:val="both"/>
        <w:rPr>
          <w:sz w:val="24"/>
          <w:szCs w:val="24"/>
        </w:rPr>
      </w:pPr>
      <w:r w:rsidRPr="008E694E">
        <w:rPr>
          <w:sz w:val="24"/>
          <w:szCs w:val="24"/>
        </w:rPr>
        <w:t>A PNG file should include sufficient title and caption information to remain interpretable outside the dashboard.</w:t>
      </w:r>
    </w:p>
    <w:p w14:paraId="5A54FD5B" w14:textId="77777777" w:rsidR="003D4765" w:rsidRPr="008E694E" w:rsidRDefault="008F5C9D">
      <w:pPr>
        <w:numPr>
          <w:ilvl w:val="0"/>
          <w:numId w:val="3"/>
        </w:numPr>
        <w:spacing w:after="0"/>
        <w:jc w:val="both"/>
        <w:rPr>
          <w:sz w:val="24"/>
          <w:szCs w:val="24"/>
        </w:rPr>
      </w:pPr>
      <w:r w:rsidRPr="008E694E">
        <w:rPr>
          <w:sz w:val="24"/>
          <w:szCs w:val="24"/>
        </w:rPr>
        <w:t>A CSV file should clearly indicate which analytical result it contains.</w:t>
      </w:r>
    </w:p>
    <w:p w14:paraId="5A54FD5C" w14:textId="77777777" w:rsidR="003D4765" w:rsidRPr="008E694E" w:rsidRDefault="008F5C9D">
      <w:pPr>
        <w:numPr>
          <w:ilvl w:val="0"/>
          <w:numId w:val="3"/>
        </w:numPr>
        <w:spacing w:after="240"/>
        <w:jc w:val="both"/>
        <w:rPr>
          <w:sz w:val="24"/>
          <w:szCs w:val="24"/>
        </w:rPr>
      </w:pPr>
      <w:r w:rsidRPr="008E694E">
        <w:rPr>
          <w:sz w:val="24"/>
          <w:szCs w:val="24"/>
        </w:rPr>
        <w:t xml:space="preserve">A prepared-data export should state that it contains the </w:t>
      </w:r>
      <w:proofErr w:type="spellStart"/>
      <w:r w:rsidRPr="008E694E">
        <w:rPr>
          <w:sz w:val="24"/>
          <w:szCs w:val="24"/>
        </w:rPr>
        <w:t>standardised</w:t>
      </w:r>
      <w:proofErr w:type="spellEnd"/>
      <w:r w:rsidRPr="008E694E">
        <w:rPr>
          <w:sz w:val="24"/>
          <w:szCs w:val="24"/>
        </w:rPr>
        <w:t xml:space="preserve"> analytical input and may not be identical to the original uploaded file.</w:t>
      </w:r>
    </w:p>
    <w:p w14:paraId="5A54FD5D" w14:textId="77777777" w:rsidR="003D4765" w:rsidRPr="008E694E" w:rsidRDefault="008F5C9D">
      <w:pPr>
        <w:spacing w:before="240" w:after="240"/>
        <w:jc w:val="both"/>
        <w:rPr>
          <w:sz w:val="24"/>
          <w:szCs w:val="24"/>
        </w:rPr>
      </w:pPr>
      <w:r w:rsidRPr="008E694E">
        <w:rPr>
          <w:sz w:val="24"/>
          <w:szCs w:val="24"/>
        </w:rPr>
        <w:t xml:space="preserve">A public health dashboard should support reproducibility even after users leave the live interface. Downloaded outputs should retain enough contextual information to allow another user to understand what was </w:t>
      </w:r>
      <w:proofErr w:type="spellStart"/>
      <w:r w:rsidRPr="008E694E">
        <w:rPr>
          <w:sz w:val="24"/>
          <w:szCs w:val="24"/>
        </w:rPr>
        <w:t>analysed</w:t>
      </w:r>
      <w:proofErr w:type="spellEnd"/>
      <w:r w:rsidRPr="008E694E">
        <w:rPr>
          <w:sz w:val="24"/>
          <w:szCs w:val="24"/>
        </w:rPr>
        <w:t>, which transformations were applied and what the exported result represents.</w:t>
      </w:r>
    </w:p>
    <w:p w14:paraId="5A54FD5E" w14:textId="77777777" w:rsidR="003D4765" w:rsidRPr="008E694E" w:rsidRDefault="008F5C9D">
      <w:pPr>
        <w:spacing w:before="240" w:after="240"/>
        <w:jc w:val="both"/>
        <w:rPr>
          <w:sz w:val="24"/>
          <w:szCs w:val="24"/>
        </w:rPr>
      </w:pPr>
      <w:r w:rsidRPr="008E694E">
        <w:rPr>
          <w:sz w:val="24"/>
          <w:szCs w:val="24"/>
        </w:rPr>
        <w:t xml:space="preserve">The practical laboratory provides a clear example involving </w:t>
      </w:r>
      <w:r w:rsidRPr="008E694E">
        <w:rPr>
          <w:rFonts w:eastAsia="Roboto Mono"/>
          <w:color w:val="188038"/>
          <w:sz w:val="24"/>
          <w:szCs w:val="24"/>
        </w:rPr>
        <w:t>level3</w:t>
      </w:r>
      <w:r w:rsidRPr="008E694E">
        <w:rPr>
          <w:sz w:val="24"/>
          <w:szCs w:val="24"/>
        </w:rPr>
        <w:t xml:space="preserve"> census-fraction codes. If spreadsheet software removes a leading zero and the dashboard restores it using configuration rules, this constitutes a transformation of the uploaded data and should be visible to the user.</w:t>
      </w:r>
    </w:p>
    <w:p w14:paraId="5A54FD5F" w14:textId="77777777" w:rsidR="003D4765" w:rsidRPr="008E694E" w:rsidRDefault="008F5C9D">
      <w:pPr>
        <w:spacing w:before="240" w:after="240"/>
        <w:jc w:val="both"/>
        <w:rPr>
          <w:sz w:val="24"/>
          <w:szCs w:val="24"/>
        </w:rPr>
      </w:pPr>
      <w:r w:rsidRPr="008E694E">
        <w:rPr>
          <w:sz w:val="24"/>
          <w:szCs w:val="24"/>
        </w:rPr>
        <w:lastRenderedPageBreak/>
        <w:t>The Prepared Data view therefore</w:t>
      </w:r>
      <w:r w:rsidRPr="008E694E">
        <w:t xml:space="preserve"> </w:t>
      </w:r>
      <w:r w:rsidRPr="008E694E">
        <w:rPr>
          <w:sz w:val="24"/>
          <w:szCs w:val="24"/>
        </w:rPr>
        <w:t>serves both as a technical control and as a mechanism for making data preparation transparent.</w:t>
      </w:r>
    </w:p>
    <w:p w14:paraId="5A54FD60" w14:textId="77777777" w:rsidR="003D4765" w:rsidRPr="008E694E" w:rsidRDefault="003D4765"/>
    <w:p w14:paraId="5A54FD61" w14:textId="77777777" w:rsidR="003D4765" w:rsidRPr="008E694E" w:rsidRDefault="008F5C9D">
      <w:pPr>
        <w:pStyle w:val="Ttulo2"/>
        <w:spacing w:after="80" w:line="276" w:lineRule="auto"/>
        <w:rPr>
          <w:rFonts w:ascii="Arial" w:hAnsi="Arial" w:cs="Arial"/>
        </w:rPr>
      </w:pPr>
      <w:bookmarkStart w:id="21" w:name="_heading=h.5rqka3sohkw" w:colFirst="0" w:colLast="0"/>
      <w:bookmarkEnd w:id="21"/>
      <w:r w:rsidRPr="008E694E">
        <w:rPr>
          <w:rFonts w:ascii="Arial" w:eastAsia="Arial" w:hAnsi="Arial" w:cs="Arial"/>
          <w:color w:val="324027"/>
          <w:sz w:val="30"/>
          <w:szCs w:val="30"/>
        </w:rPr>
        <w:t>Section 10. Common interpretation errors to avoid</w:t>
      </w:r>
    </w:p>
    <w:tbl>
      <w:tblPr>
        <w:tblStyle w:val="a0"/>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40"/>
        <w:gridCol w:w="5040"/>
      </w:tblGrid>
      <w:tr w:rsidR="003D4765" w:rsidRPr="008E694E" w14:paraId="5A54FD64" w14:textId="77777777">
        <w:tc>
          <w:tcPr>
            <w:tcW w:w="5040" w:type="dxa"/>
            <w:shd w:val="clear" w:color="auto" w:fill="F8F5F1"/>
          </w:tcPr>
          <w:p w14:paraId="5A54FD62" w14:textId="77777777" w:rsidR="003D4765" w:rsidRPr="008E694E" w:rsidRDefault="008F5C9D">
            <w:r w:rsidRPr="008E694E">
              <w:rPr>
                <w:b/>
                <w:bCs/>
              </w:rPr>
              <w:t>Common error</w:t>
            </w:r>
          </w:p>
        </w:tc>
        <w:tc>
          <w:tcPr>
            <w:tcW w:w="5040" w:type="dxa"/>
            <w:shd w:val="clear" w:color="auto" w:fill="F8F5F1"/>
          </w:tcPr>
          <w:p w14:paraId="5A54FD63" w14:textId="77777777" w:rsidR="003D4765" w:rsidRPr="008E694E" w:rsidRDefault="008F5C9D">
            <w:r w:rsidRPr="008E694E">
              <w:rPr>
                <w:b/>
                <w:bCs/>
              </w:rPr>
              <w:t>Best-practice correction</w:t>
            </w:r>
          </w:p>
        </w:tc>
      </w:tr>
      <w:tr w:rsidR="003D4765" w:rsidRPr="008E694E" w14:paraId="5A54FD67" w14:textId="77777777">
        <w:tc>
          <w:tcPr>
            <w:tcW w:w="5040" w:type="dxa"/>
          </w:tcPr>
          <w:p w14:paraId="5A54FD65" w14:textId="77777777" w:rsidR="003D4765" w:rsidRPr="008E694E" w:rsidRDefault="008F5C9D">
            <w:r w:rsidRPr="008E694E">
              <w:t>Treating a CUSUM alarm as a confirmed outbreak</w:t>
            </w:r>
          </w:p>
        </w:tc>
        <w:tc>
          <w:tcPr>
            <w:tcW w:w="5040" w:type="dxa"/>
          </w:tcPr>
          <w:p w14:paraId="5A54FD66" w14:textId="77777777" w:rsidR="003D4765" w:rsidRPr="008E694E" w:rsidRDefault="008F5C9D">
            <w:pPr>
              <w:rPr>
                <w:sz w:val="21"/>
                <w:szCs w:val="21"/>
              </w:rPr>
            </w:pPr>
            <w:r w:rsidRPr="008E694E">
              <w:rPr>
                <w:sz w:val="21"/>
                <w:szCs w:val="21"/>
              </w:rPr>
              <w:t>A CUSUM alarm is an early-warning signal. It should prompt further review and epidemiological assessment, rather than replace epidemiological judgement.</w:t>
            </w:r>
          </w:p>
        </w:tc>
      </w:tr>
      <w:tr w:rsidR="003D4765" w:rsidRPr="008E694E" w14:paraId="5A54FD6A" w14:textId="77777777">
        <w:tc>
          <w:tcPr>
            <w:tcW w:w="5040" w:type="dxa"/>
          </w:tcPr>
          <w:p w14:paraId="5A54FD68" w14:textId="77777777" w:rsidR="003D4765" w:rsidRPr="008E694E" w:rsidRDefault="008F5C9D">
            <w:r w:rsidRPr="008E694E">
              <w:t>Reading the observed series without the expected baseline</w:t>
            </w:r>
          </w:p>
        </w:tc>
        <w:tc>
          <w:tcPr>
            <w:tcW w:w="5040" w:type="dxa"/>
          </w:tcPr>
          <w:p w14:paraId="5A54FD69" w14:textId="77777777" w:rsidR="003D4765" w:rsidRPr="008E694E" w:rsidRDefault="008F5C9D">
            <w:pPr>
              <w:rPr>
                <w:sz w:val="21"/>
                <w:szCs w:val="21"/>
              </w:rPr>
            </w:pPr>
            <w:r w:rsidRPr="008E694E">
              <w:rPr>
                <w:sz w:val="21"/>
                <w:szCs w:val="21"/>
              </w:rPr>
              <w:t>CUSUM is meaningful because it compares observed values with expected values. The observed series should therefore not be interpreted in isolation.</w:t>
            </w:r>
          </w:p>
        </w:tc>
      </w:tr>
      <w:tr w:rsidR="003D4765" w:rsidRPr="008E694E" w14:paraId="5A54FD6D" w14:textId="77777777">
        <w:tc>
          <w:tcPr>
            <w:tcW w:w="5040" w:type="dxa"/>
          </w:tcPr>
          <w:p w14:paraId="5A54FD6B" w14:textId="77777777" w:rsidR="003D4765" w:rsidRPr="008E694E" w:rsidRDefault="008F5C9D">
            <w:r w:rsidRPr="008E694E">
              <w:t>Assuming the prevalence map and the LISA map answer the same question</w:t>
            </w:r>
          </w:p>
        </w:tc>
        <w:tc>
          <w:tcPr>
            <w:tcW w:w="5040" w:type="dxa"/>
          </w:tcPr>
          <w:p w14:paraId="5A54FD6C" w14:textId="77777777" w:rsidR="003D4765" w:rsidRPr="008E694E" w:rsidRDefault="008F5C9D">
            <w:pPr>
              <w:rPr>
                <w:sz w:val="21"/>
                <w:szCs w:val="21"/>
              </w:rPr>
            </w:pPr>
            <w:r w:rsidRPr="008E694E">
              <w:rPr>
                <w:sz w:val="21"/>
                <w:szCs w:val="21"/>
              </w:rPr>
              <w:t>The prevalence map shows the observed burden relative to population, whereas the LISA map shows local spatial association. The two outputs complement each other but are not interchangeable.</w:t>
            </w:r>
          </w:p>
        </w:tc>
      </w:tr>
      <w:tr w:rsidR="003D4765" w:rsidRPr="008E694E" w14:paraId="5A54FD70" w14:textId="77777777">
        <w:tc>
          <w:tcPr>
            <w:tcW w:w="5040" w:type="dxa"/>
          </w:tcPr>
          <w:p w14:paraId="5A54FD6E" w14:textId="77777777" w:rsidR="003D4765" w:rsidRPr="008E694E" w:rsidRDefault="008F5C9D">
            <w:r w:rsidRPr="008E694E">
              <w:t>Ignoring the selected time window</w:t>
            </w:r>
          </w:p>
        </w:tc>
        <w:tc>
          <w:tcPr>
            <w:tcW w:w="5040" w:type="dxa"/>
          </w:tcPr>
          <w:p w14:paraId="5A54FD6F" w14:textId="77777777" w:rsidR="003D4765" w:rsidRPr="008E694E" w:rsidRDefault="008F5C9D">
            <w:pPr>
              <w:rPr>
                <w:sz w:val="21"/>
                <w:szCs w:val="21"/>
              </w:rPr>
            </w:pPr>
            <w:r w:rsidRPr="008E694E">
              <w:rPr>
                <w:sz w:val="21"/>
                <w:szCs w:val="21"/>
              </w:rPr>
              <w:t xml:space="preserve">Single-week maps may be affected by short-term variation, while </w:t>
            </w:r>
            <w:proofErr w:type="gramStart"/>
            <w:r w:rsidRPr="008E694E">
              <w:rPr>
                <w:sz w:val="21"/>
                <w:szCs w:val="21"/>
              </w:rPr>
              <w:t>longer time</w:t>
            </w:r>
            <w:proofErr w:type="gramEnd"/>
            <w:r w:rsidRPr="008E694E">
              <w:rPr>
                <w:sz w:val="21"/>
                <w:szCs w:val="21"/>
              </w:rPr>
              <w:t xml:space="preserve"> windows may reveal more sustained spatial patterns. Interpretation must always reflect the selected week or week range.</w:t>
            </w:r>
          </w:p>
        </w:tc>
      </w:tr>
      <w:tr w:rsidR="003D4765" w:rsidRPr="008E694E" w14:paraId="5A54FD73" w14:textId="77777777">
        <w:tc>
          <w:tcPr>
            <w:tcW w:w="5040" w:type="dxa"/>
          </w:tcPr>
          <w:p w14:paraId="5A54FD71" w14:textId="77777777" w:rsidR="003D4765" w:rsidRPr="008E694E" w:rsidRDefault="008F5C9D">
            <w:r w:rsidRPr="008E694E">
              <w:t>Assuming the Locations filter works identically everywhere</w:t>
            </w:r>
          </w:p>
        </w:tc>
        <w:tc>
          <w:tcPr>
            <w:tcW w:w="5040" w:type="dxa"/>
          </w:tcPr>
          <w:p w14:paraId="5A54FD72" w14:textId="77777777" w:rsidR="003D4765" w:rsidRPr="008E694E" w:rsidRDefault="008F5C9D">
            <w:pPr>
              <w:rPr>
                <w:sz w:val="21"/>
                <w:szCs w:val="21"/>
              </w:rPr>
            </w:pPr>
            <w:proofErr w:type="spellStart"/>
            <w:r w:rsidRPr="008E694E">
              <w:rPr>
                <w:sz w:val="21"/>
                <w:szCs w:val="21"/>
              </w:rPr>
              <w:t>n</w:t>
            </w:r>
            <w:proofErr w:type="spellEnd"/>
            <w:r w:rsidRPr="008E694E">
              <w:rPr>
                <w:sz w:val="21"/>
                <w:szCs w:val="21"/>
              </w:rPr>
              <w:t xml:space="preserve"> the current dashboard, Locations restricts the CUSUM analysis but does not subset the geospatial display in the same way.</w:t>
            </w:r>
          </w:p>
        </w:tc>
      </w:tr>
      <w:tr w:rsidR="003D4765" w:rsidRPr="008E694E" w14:paraId="5A54FD76" w14:textId="77777777">
        <w:tc>
          <w:tcPr>
            <w:tcW w:w="5040" w:type="dxa"/>
          </w:tcPr>
          <w:p w14:paraId="5A54FD74" w14:textId="77777777" w:rsidR="003D4765" w:rsidRPr="008E694E" w:rsidRDefault="008F5C9D">
            <w:r w:rsidRPr="008E694E">
              <w:t>Confusing no data with zero</w:t>
            </w:r>
          </w:p>
        </w:tc>
        <w:tc>
          <w:tcPr>
            <w:tcW w:w="5040" w:type="dxa"/>
          </w:tcPr>
          <w:p w14:paraId="5A54FD75" w14:textId="77777777" w:rsidR="003D4765" w:rsidRPr="008E694E" w:rsidRDefault="008F5C9D">
            <w:pPr>
              <w:rPr>
                <w:sz w:val="21"/>
                <w:szCs w:val="21"/>
              </w:rPr>
            </w:pPr>
            <w:r w:rsidRPr="008E694E">
              <w:rPr>
                <w:sz w:val="21"/>
                <w:szCs w:val="21"/>
              </w:rPr>
              <w:t>A blank or grey area may indicate missing data or a non-significant result, rather than an absence of cases.</w:t>
            </w:r>
          </w:p>
        </w:tc>
      </w:tr>
      <w:tr w:rsidR="003D4765" w:rsidRPr="008E694E" w14:paraId="5A54FD79" w14:textId="77777777">
        <w:tc>
          <w:tcPr>
            <w:tcW w:w="5040" w:type="dxa"/>
          </w:tcPr>
          <w:p w14:paraId="5A54FD77" w14:textId="77777777" w:rsidR="003D4765" w:rsidRPr="008E694E" w:rsidRDefault="008F5C9D">
            <w:r w:rsidRPr="008E694E">
              <w:t>Using rounded screen values as if they were exact inputs</w:t>
            </w:r>
          </w:p>
        </w:tc>
        <w:tc>
          <w:tcPr>
            <w:tcW w:w="5040" w:type="dxa"/>
          </w:tcPr>
          <w:p w14:paraId="5A54FD78" w14:textId="77777777" w:rsidR="003D4765" w:rsidRPr="008E694E" w:rsidRDefault="008F5C9D">
            <w:pPr>
              <w:rPr>
                <w:sz w:val="21"/>
                <w:szCs w:val="21"/>
              </w:rPr>
            </w:pPr>
            <w:r w:rsidRPr="008E694E">
              <w:rPr>
                <w:sz w:val="21"/>
                <w:szCs w:val="21"/>
              </w:rPr>
              <w:t>On-screen tables are intended primarily for interpretation. Exact reporting should be based on downloadable outputs and should state any rounding conventions applied.</w:t>
            </w:r>
          </w:p>
        </w:tc>
      </w:tr>
    </w:tbl>
    <w:p w14:paraId="5A54FD7A" w14:textId="77777777" w:rsidR="003D4765" w:rsidRPr="008E694E" w:rsidRDefault="003D4765">
      <w:pPr>
        <w:pBdr>
          <w:top w:val="nil"/>
          <w:left w:val="nil"/>
          <w:bottom w:val="nil"/>
          <w:right w:val="nil"/>
          <w:between w:val="nil"/>
        </w:pBdr>
        <w:spacing w:before="200" w:after="80" w:line="276" w:lineRule="auto"/>
        <w:rPr>
          <w:b/>
          <w:bCs/>
          <w:color w:val="324027"/>
          <w:sz w:val="30"/>
          <w:szCs w:val="30"/>
        </w:rPr>
      </w:pPr>
    </w:p>
    <w:p w14:paraId="5A54FD7C" w14:textId="77777777" w:rsidR="003D4765" w:rsidRPr="008E694E" w:rsidRDefault="008F5C9D">
      <w:pPr>
        <w:pStyle w:val="Ttulo2"/>
        <w:spacing w:after="80" w:line="276" w:lineRule="auto"/>
        <w:rPr>
          <w:rFonts w:ascii="Arial" w:hAnsi="Arial" w:cs="Arial"/>
        </w:rPr>
      </w:pPr>
      <w:bookmarkStart w:id="22" w:name="_heading=h.l16y1dcm8t77" w:colFirst="0" w:colLast="0"/>
      <w:bookmarkEnd w:id="22"/>
      <w:r w:rsidRPr="008E694E">
        <w:rPr>
          <w:rFonts w:ascii="Arial" w:eastAsia="Arial" w:hAnsi="Arial" w:cs="Arial"/>
          <w:color w:val="324027"/>
          <w:sz w:val="30"/>
          <w:szCs w:val="30"/>
        </w:rPr>
        <w:t>Section 11. Practical checklist</w:t>
      </w:r>
    </w:p>
    <w:p w14:paraId="5A54FD7D" w14:textId="77777777" w:rsidR="003D4765" w:rsidRPr="008E694E" w:rsidRDefault="008F5C9D">
      <w:pPr>
        <w:spacing w:before="240" w:after="240"/>
        <w:jc w:val="both"/>
        <w:rPr>
          <w:sz w:val="24"/>
          <w:szCs w:val="24"/>
        </w:rPr>
      </w:pPr>
      <w:r w:rsidRPr="008E694E">
        <w:rPr>
          <w:sz w:val="24"/>
          <w:szCs w:val="24"/>
        </w:rPr>
        <w:t>Before sharing, exporting or acting on a dashboard output, complete the following checks. This checklist is intended for routine use during surveillance analysis and reporting.</w:t>
      </w:r>
    </w:p>
    <w:p w14:paraId="5A54FD7E" w14:textId="77777777" w:rsidR="003D4765" w:rsidRPr="008E694E" w:rsidRDefault="008F5C9D">
      <w:pPr>
        <w:numPr>
          <w:ilvl w:val="0"/>
          <w:numId w:val="2"/>
        </w:numPr>
        <w:spacing w:before="240" w:after="0"/>
        <w:jc w:val="both"/>
        <w:rPr>
          <w:sz w:val="24"/>
          <w:szCs w:val="24"/>
        </w:rPr>
      </w:pPr>
      <w:r w:rsidRPr="008E694E">
        <w:rPr>
          <w:sz w:val="24"/>
          <w:szCs w:val="24"/>
        </w:rPr>
        <w:t xml:space="preserve">Confirm which active </w:t>
      </w:r>
      <w:proofErr w:type="gramStart"/>
      <w:r w:rsidRPr="008E694E">
        <w:rPr>
          <w:sz w:val="24"/>
          <w:szCs w:val="24"/>
        </w:rPr>
        <w:t>file</w:t>
      </w:r>
      <w:proofErr w:type="gramEnd"/>
      <w:r w:rsidRPr="008E694E">
        <w:rPr>
          <w:sz w:val="24"/>
          <w:szCs w:val="24"/>
        </w:rPr>
        <w:t xml:space="preserve"> or files were included in the analysis.</w:t>
      </w:r>
    </w:p>
    <w:p w14:paraId="5A54FD7F" w14:textId="77777777" w:rsidR="003D4765" w:rsidRPr="008E694E" w:rsidRDefault="008F5C9D">
      <w:pPr>
        <w:numPr>
          <w:ilvl w:val="0"/>
          <w:numId w:val="2"/>
        </w:numPr>
        <w:spacing w:after="0"/>
        <w:jc w:val="both"/>
        <w:rPr>
          <w:sz w:val="24"/>
          <w:szCs w:val="24"/>
        </w:rPr>
      </w:pPr>
      <w:r w:rsidRPr="008E694E">
        <w:rPr>
          <w:sz w:val="24"/>
          <w:szCs w:val="24"/>
        </w:rPr>
        <w:t>Confirm the selected geographical level and time settings.</w:t>
      </w:r>
    </w:p>
    <w:p w14:paraId="5A54FD80" w14:textId="77777777" w:rsidR="003D4765" w:rsidRPr="008E694E" w:rsidRDefault="008F5C9D">
      <w:pPr>
        <w:numPr>
          <w:ilvl w:val="0"/>
          <w:numId w:val="2"/>
        </w:numPr>
        <w:spacing w:after="0"/>
        <w:jc w:val="both"/>
        <w:rPr>
          <w:sz w:val="24"/>
          <w:szCs w:val="24"/>
        </w:rPr>
      </w:pPr>
      <w:r w:rsidRPr="008E694E">
        <w:rPr>
          <w:sz w:val="24"/>
          <w:szCs w:val="24"/>
        </w:rPr>
        <w:t>For CUSUM outputs, confirm that the expected baseline and parameter settings are those intended for the analysis.</w:t>
      </w:r>
    </w:p>
    <w:p w14:paraId="5A54FD81" w14:textId="77777777" w:rsidR="003D4765" w:rsidRPr="008E694E" w:rsidRDefault="008F5C9D">
      <w:pPr>
        <w:numPr>
          <w:ilvl w:val="0"/>
          <w:numId w:val="2"/>
        </w:numPr>
        <w:spacing w:after="0"/>
        <w:jc w:val="both"/>
        <w:rPr>
          <w:sz w:val="24"/>
          <w:szCs w:val="24"/>
        </w:rPr>
      </w:pPr>
      <w:r w:rsidRPr="008E694E">
        <w:rPr>
          <w:sz w:val="24"/>
          <w:szCs w:val="24"/>
        </w:rPr>
        <w:t>For geospatial outputs, confirm whether the map represents a single epidemiological week or an aggregated period.</w:t>
      </w:r>
    </w:p>
    <w:p w14:paraId="5A54FD82" w14:textId="77777777" w:rsidR="003D4765" w:rsidRPr="008E694E" w:rsidRDefault="008F5C9D">
      <w:pPr>
        <w:numPr>
          <w:ilvl w:val="0"/>
          <w:numId w:val="2"/>
        </w:numPr>
        <w:spacing w:after="0"/>
        <w:jc w:val="both"/>
        <w:rPr>
          <w:sz w:val="24"/>
          <w:szCs w:val="24"/>
        </w:rPr>
      </w:pPr>
      <w:r w:rsidRPr="008E694E">
        <w:rPr>
          <w:sz w:val="24"/>
          <w:szCs w:val="24"/>
        </w:rPr>
        <w:t xml:space="preserve">Confirm whether the </w:t>
      </w:r>
      <w:proofErr w:type="spellStart"/>
      <w:r w:rsidRPr="008E694E">
        <w:rPr>
          <w:sz w:val="24"/>
          <w:szCs w:val="24"/>
        </w:rPr>
        <w:t>visualisation</w:t>
      </w:r>
      <w:proofErr w:type="spellEnd"/>
      <w:r w:rsidRPr="008E694E">
        <w:rPr>
          <w:sz w:val="24"/>
          <w:szCs w:val="24"/>
        </w:rPr>
        <w:t xml:space="preserve"> presents rates or absolute case counts.</w:t>
      </w:r>
    </w:p>
    <w:p w14:paraId="5A54FD83" w14:textId="77777777" w:rsidR="003D4765" w:rsidRPr="008E694E" w:rsidRDefault="008F5C9D">
      <w:pPr>
        <w:numPr>
          <w:ilvl w:val="0"/>
          <w:numId w:val="2"/>
        </w:numPr>
        <w:spacing w:after="0"/>
        <w:jc w:val="both"/>
        <w:rPr>
          <w:sz w:val="24"/>
          <w:szCs w:val="24"/>
        </w:rPr>
      </w:pPr>
      <w:r w:rsidRPr="008E694E">
        <w:rPr>
          <w:sz w:val="24"/>
          <w:szCs w:val="24"/>
        </w:rPr>
        <w:lastRenderedPageBreak/>
        <w:t>Determine whether the apparent pattern is descriptive only or is also statistically significant.</w:t>
      </w:r>
    </w:p>
    <w:p w14:paraId="5A54FD84" w14:textId="77777777" w:rsidR="003D4765" w:rsidRPr="008E694E" w:rsidRDefault="008F5C9D">
      <w:pPr>
        <w:numPr>
          <w:ilvl w:val="0"/>
          <w:numId w:val="2"/>
        </w:numPr>
        <w:spacing w:after="0"/>
        <w:jc w:val="both"/>
        <w:rPr>
          <w:sz w:val="24"/>
          <w:szCs w:val="24"/>
        </w:rPr>
      </w:pPr>
      <w:r w:rsidRPr="008E694E">
        <w:rPr>
          <w:sz w:val="24"/>
          <w:szCs w:val="24"/>
        </w:rPr>
        <w:t>Use the relevant results table to verify the numerical values underlying the chart or map.</w:t>
      </w:r>
    </w:p>
    <w:p w14:paraId="5A54FD85" w14:textId="77777777" w:rsidR="003D4765" w:rsidRPr="008E694E" w:rsidRDefault="008F5C9D">
      <w:pPr>
        <w:numPr>
          <w:ilvl w:val="0"/>
          <w:numId w:val="2"/>
        </w:numPr>
        <w:spacing w:after="240"/>
        <w:jc w:val="both"/>
        <w:rPr>
          <w:sz w:val="24"/>
          <w:szCs w:val="24"/>
        </w:rPr>
      </w:pPr>
      <w:r w:rsidRPr="008E694E">
        <w:rPr>
          <w:sz w:val="24"/>
          <w:szCs w:val="24"/>
        </w:rPr>
        <w:t xml:space="preserve">When exporting an output, retain the title, caption, date, </w:t>
      </w:r>
      <w:proofErr w:type="gramStart"/>
      <w:r w:rsidRPr="008E694E">
        <w:rPr>
          <w:sz w:val="24"/>
          <w:szCs w:val="24"/>
        </w:rPr>
        <w:t>time period</w:t>
      </w:r>
      <w:proofErr w:type="gramEnd"/>
      <w:r w:rsidRPr="008E694E">
        <w:rPr>
          <w:sz w:val="24"/>
          <w:szCs w:val="24"/>
        </w:rPr>
        <w:t xml:space="preserve"> and relevant parameter information with the image or CSV file.</w:t>
      </w:r>
    </w:p>
    <w:p w14:paraId="5A54FD86" w14:textId="77777777" w:rsidR="003D4765" w:rsidRPr="008E694E" w:rsidRDefault="008F5C9D">
      <w:pPr>
        <w:spacing w:before="240" w:after="240"/>
        <w:jc w:val="both"/>
        <w:rPr>
          <w:sz w:val="24"/>
          <w:szCs w:val="24"/>
        </w:rPr>
      </w:pPr>
      <w:r w:rsidRPr="008E694E">
        <w:rPr>
          <w:sz w:val="24"/>
          <w:szCs w:val="24"/>
        </w:rPr>
        <w:t>The output should not be circulated or used to support a decision until its analytical context and underlying values have been checked.</w:t>
      </w:r>
    </w:p>
    <w:p w14:paraId="5A54FD87" w14:textId="77777777" w:rsidR="003D4765" w:rsidRPr="008E694E" w:rsidRDefault="003D4765"/>
    <w:sectPr w:rsidR="003D4765" w:rsidRPr="008E694E" w:rsidSect="008E694E">
      <w:headerReference w:type="default" r:id="rId9"/>
      <w:footerReference w:type="default" r:id="rId10"/>
      <w:pgSz w:w="11907" w:h="16840" w:code="9"/>
      <w:pgMar w:top="1418" w:right="1418" w:bottom="1418" w:left="141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CB5A5" w14:textId="77777777" w:rsidR="008F5C9D" w:rsidRDefault="008F5C9D">
      <w:pPr>
        <w:spacing w:after="0" w:line="240" w:lineRule="auto"/>
      </w:pPr>
      <w:r>
        <w:separator/>
      </w:r>
    </w:p>
  </w:endnote>
  <w:endnote w:type="continuationSeparator" w:id="0">
    <w:p w14:paraId="2D7C1499" w14:textId="77777777" w:rsidR="008F5C9D" w:rsidRDefault="008F5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21D87C-E783-4C49-AB2D-5BA86BDA0913}"/>
    <w:embedBold r:id="rId2" w:fontKey="{59AC34F5-62FD-4CC5-BFFA-AFD7F2D092AF}"/>
    <w:embedItalic r:id="rId3" w:fontKey="{BD4B500E-FFDE-407A-A749-C58DB6778677}"/>
    <w:embedBoldItalic r:id="rId4" w:fontKey="{848AEB75-94F0-40FA-A5DE-848ECE352D76}"/>
  </w:font>
  <w:font w:name="Open Sans">
    <w:charset w:val="00"/>
    <w:family w:val="swiss"/>
    <w:pitch w:val="variable"/>
    <w:sig w:usb0="E00002EF" w:usb1="4000205B" w:usb2="00000028" w:usb3="00000000" w:csb0="0000019F" w:csb1="00000000"/>
    <w:embedRegular r:id="rId5" w:fontKey="{563A7B97-6D13-48C6-B167-A5105B679C8F}"/>
    <w:embedBold r:id="rId6" w:fontKey="{D1B12702-D34A-423E-A3AB-50F873F77A8A}"/>
  </w:font>
  <w:font w:name="Segoe UI Symbol">
    <w:panose1 w:val="020B0502040204020203"/>
    <w:charset w:val="00"/>
    <w:family w:val="swiss"/>
    <w:pitch w:val="variable"/>
    <w:sig w:usb0="800001E3" w:usb1="1200FFEF" w:usb2="00040000" w:usb3="00000000" w:csb0="00000001" w:csb1="00000000"/>
    <w:embedRegular r:id="rId7" w:fontKey="{E3518FBF-B081-4983-A377-9217190A84F3}"/>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8" w:fontKey="{8F16DA0C-69C8-4538-A7D2-2E67EEE7CEEE}"/>
  </w:font>
  <w:font w:name="Cambria">
    <w:panose1 w:val="02040503050406030204"/>
    <w:charset w:val="00"/>
    <w:family w:val="roman"/>
    <w:pitch w:val="variable"/>
    <w:sig w:usb0="E00006FF" w:usb1="420024FF" w:usb2="02000000" w:usb3="00000000" w:csb0="0000019F" w:csb1="00000000"/>
    <w:embedRegular r:id="rId9" w:fontKey="{4BE49A74-9192-4989-B0DE-E5BE2313F6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4FD8A" w14:textId="521439B8" w:rsidR="003D4765" w:rsidRDefault="008F5C9D">
    <w:pPr>
      <w:jc w:val="right"/>
    </w:pPr>
    <w:r>
      <w:fldChar w:fldCharType="begin"/>
    </w:r>
    <w:r>
      <w:instrText>PAGE</w:instrText>
    </w:r>
    <w:r>
      <w:fldChar w:fldCharType="separate"/>
    </w:r>
    <w:r w:rsidR="00412B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1F9DE" w14:textId="77777777" w:rsidR="008F5C9D" w:rsidRDefault="008F5C9D">
      <w:pPr>
        <w:spacing w:after="0" w:line="240" w:lineRule="auto"/>
      </w:pPr>
      <w:r>
        <w:separator/>
      </w:r>
    </w:p>
  </w:footnote>
  <w:footnote w:type="continuationSeparator" w:id="0">
    <w:p w14:paraId="341E93B2" w14:textId="77777777" w:rsidR="008F5C9D" w:rsidRDefault="008F5C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7CE37" w14:textId="2EA3C85A" w:rsidR="008E694E" w:rsidRDefault="00914BFD" w:rsidP="00914BFD">
    <w:pPr>
      <w:pStyle w:val="Encabezado"/>
      <w:jc w:val="right"/>
    </w:pPr>
    <w:r>
      <w:rPr>
        <w:noProof/>
        <w:color w:val="000000"/>
      </w:rPr>
      <w:drawing>
        <wp:inline distT="114300" distB="114300" distL="114300" distR="114300" wp14:anchorId="5C49E043" wp14:editId="192D53B1">
          <wp:extent cx="1920875" cy="332331"/>
          <wp:effectExtent l="0" t="0" r="0" b="0"/>
          <wp:docPr id="7357619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920875" cy="332331"/>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2B7C"/>
    <w:multiLevelType w:val="multilevel"/>
    <w:tmpl w:val="FD66F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6C7313"/>
    <w:multiLevelType w:val="multilevel"/>
    <w:tmpl w:val="D5744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68467D"/>
    <w:multiLevelType w:val="multilevel"/>
    <w:tmpl w:val="E0D85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962C35"/>
    <w:multiLevelType w:val="multilevel"/>
    <w:tmpl w:val="498E3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79218E"/>
    <w:multiLevelType w:val="multilevel"/>
    <w:tmpl w:val="05780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561F30"/>
    <w:multiLevelType w:val="multilevel"/>
    <w:tmpl w:val="6276C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B72F74"/>
    <w:multiLevelType w:val="multilevel"/>
    <w:tmpl w:val="78584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B20DD9"/>
    <w:multiLevelType w:val="multilevel"/>
    <w:tmpl w:val="CFE2A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7B22A5"/>
    <w:multiLevelType w:val="multilevel"/>
    <w:tmpl w:val="7D524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9D52413"/>
    <w:multiLevelType w:val="multilevel"/>
    <w:tmpl w:val="52FAD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7935611">
    <w:abstractNumId w:val="0"/>
  </w:num>
  <w:num w:numId="2" w16cid:durableId="1392383750">
    <w:abstractNumId w:val="4"/>
  </w:num>
  <w:num w:numId="3" w16cid:durableId="1657689577">
    <w:abstractNumId w:val="3"/>
  </w:num>
  <w:num w:numId="4" w16cid:durableId="1072502539">
    <w:abstractNumId w:val="8"/>
  </w:num>
  <w:num w:numId="5" w16cid:durableId="365714422">
    <w:abstractNumId w:val="9"/>
  </w:num>
  <w:num w:numId="6" w16cid:durableId="220285453">
    <w:abstractNumId w:val="2"/>
  </w:num>
  <w:num w:numId="7" w16cid:durableId="1286497996">
    <w:abstractNumId w:val="1"/>
  </w:num>
  <w:num w:numId="8" w16cid:durableId="1095054571">
    <w:abstractNumId w:val="5"/>
  </w:num>
  <w:num w:numId="9" w16cid:durableId="1684865847">
    <w:abstractNumId w:val="7"/>
  </w:num>
  <w:num w:numId="10" w16cid:durableId="13400404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765"/>
    <w:rsid w:val="00127DD6"/>
    <w:rsid w:val="003D4765"/>
    <w:rsid w:val="00412B82"/>
    <w:rsid w:val="0064253C"/>
    <w:rsid w:val="008E694E"/>
    <w:rsid w:val="008F5C9D"/>
    <w:rsid w:val="00914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4FC76"/>
  <w15:docId w15:val="{95586799-DE7C-49E6-A00E-D5DB7597A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8E694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E694E"/>
  </w:style>
  <w:style w:type="paragraph" w:styleId="Piedepgina">
    <w:name w:val="footer"/>
    <w:basedOn w:val="Normal"/>
    <w:link w:val="PiedepginaCar"/>
    <w:uiPriority w:val="99"/>
    <w:unhideWhenUsed/>
    <w:rsid w:val="008E694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E69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Akp2kwSdxth7HoGtEcOrMX/DSw==">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4551</Words>
  <Characters>25947</Characters>
  <Application>Microsoft Office Word</Application>
  <DocSecurity>0</DocSecurity>
  <Lines>216</Lines>
  <Paragraphs>60</Paragraphs>
  <ScaleCrop>false</ScaleCrop>
  <Company/>
  <LinksUpToDate>false</LinksUpToDate>
  <CharactersWithSpaces>30438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Maisa Havela</cp:lastModifiedBy>
  <cp:revision>5</cp:revision>
  <dcterms:created xsi:type="dcterms:W3CDTF">2026-08-03T03:12:00Z</dcterms:created>
  <dcterms:modified xsi:type="dcterms:W3CDTF">2026-08-03T03:16:00Z</dcterms:modified>
</cp:coreProperties>
</file>