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8B9C4" w14:textId="554D83AB" w:rsidR="00D262E5" w:rsidRDefault="00D262E5" w:rsidP="00D262E5">
      <w:pPr>
        <w:spacing w:after="160" w:line="269" w:lineRule="auto"/>
        <w:rPr>
          <w:rFonts w:ascii="Open Sans" w:eastAsia="Open Sans" w:hAnsi="Open Sans" w:cs="Open Sans"/>
          <w:b/>
          <w:bCs/>
          <w:color w:val="F69342"/>
          <w:sz w:val="62"/>
          <w:szCs w:val="62"/>
        </w:rPr>
      </w:pPr>
      <w:r>
        <w:rPr>
          <w:noProof/>
        </w:rPr>
        <w:drawing>
          <wp:anchor distT="0" distB="0" distL="0" distR="0" simplePos="0" relativeHeight="251661312" behindDoc="1" locked="0" layoutInCell="1" hidden="0" allowOverlap="1" wp14:anchorId="3A814933" wp14:editId="5404B508">
            <wp:simplePos x="0" y="0"/>
            <wp:positionH relativeFrom="column">
              <wp:posOffset>-1248410</wp:posOffset>
            </wp:positionH>
            <wp:positionV relativeFrom="paragraph">
              <wp:posOffset>-882650</wp:posOffset>
            </wp:positionV>
            <wp:extent cx="9377045" cy="13270865"/>
            <wp:effectExtent l="0" t="0" r="0" b="0"/>
            <wp:wrapNone/>
            <wp:docPr id="95096310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9377045" cy="13270865"/>
                    </a:xfrm>
                    <a:prstGeom prst="rect">
                      <a:avLst/>
                    </a:prstGeom>
                    <a:ln/>
                  </pic:spPr>
                </pic:pic>
              </a:graphicData>
            </a:graphic>
          </wp:anchor>
        </w:drawing>
      </w:r>
    </w:p>
    <w:p w14:paraId="201ADCCE" w14:textId="77777777" w:rsidR="00D262E5" w:rsidRDefault="00D262E5" w:rsidP="00D262E5">
      <w:pPr>
        <w:spacing w:after="160" w:line="269" w:lineRule="auto"/>
        <w:rPr>
          <w:rFonts w:ascii="Open Sans" w:eastAsia="Open Sans" w:hAnsi="Open Sans" w:cs="Open Sans"/>
          <w:b/>
          <w:bCs/>
          <w:color w:val="F69342"/>
          <w:sz w:val="62"/>
          <w:szCs w:val="62"/>
        </w:rPr>
      </w:pPr>
    </w:p>
    <w:p w14:paraId="42F157FF" w14:textId="3F0F8409" w:rsidR="00D262E5" w:rsidRDefault="00CD71E4" w:rsidP="00D262E5">
      <w:pPr>
        <w:spacing w:after="160" w:line="269" w:lineRule="auto"/>
        <w:rPr>
          <w:rFonts w:ascii="Open Sans" w:eastAsia="Open Sans" w:hAnsi="Open Sans" w:cs="Open Sans"/>
          <w:color w:val="F69342"/>
          <w:sz w:val="62"/>
          <w:szCs w:val="62"/>
        </w:rPr>
      </w:pPr>
      <w:r w:rsidRPr="00CD71E4">
        <w:rPr>
          <w:rFonts w:ascii="Open Sans" w:eastAsia="Open Sans" w:hAnsi="Open Sans" w:cs="Open Sans"/>
          <w:b/>
          <w:bCs/>
          <w:color w:val="F69342"/>
          <w:sz w:val="62"/>
          <w:szCs w:val="62"/>
        </w:rPr>
        <w:t>Geospatial Analysis</w:t>
      </w:r>
      <w:r w:rsidR="00D262E5">
        <w:rPr>
          <w:rFonts w:ascii="Open Sans" w:eastAsia="Open Sans" w:hAnsi="Open Sans" w:cs="Open Sans"/>
          <w:b/>
          <w:bCs/>
          <w:color w:val="F69342"/>
          <w:sz w:val="62"/>
          <w:szCs w:val="62"/>
        </w:rPr>
        <w:t> </w:t>
      </w:r>
    </w:p>
    <w:p w14:paraId="05947104" w14:textId="77777777" w:rsidR="00BE6460" w:rsidRDefault="00BE6460" w:rsidP="00D262E5">
      <w:pPr>
        <w:spacing w:after="160" w:line="269" w:lineRule="auto"/>
        <w:rPr>
          <w:rFonts w:ascii="Open Sans" w:eastAsia="Open Sans" w:hAnsi="Open Sans" w:cs="Open Sans"/>
          <w:b/>
          <w:bCs/>
          <w:color w:val="F69342"/>
          <w:sz w:val="62"/>
          <w:szCs w:val="62"/>
        </w:rPr>
      </w:pPr>
      <w:r>
        <w:rPr>
          <w:rFonts w:ascii="Open Sans" w:eastAsia="Open Sans" w:hAnsi="Open Sans" w:cs="Open Sans"/>
          <w:b/>
          <w:bCs/>
          <w:color w:val="F69342"/>
          <w:sz w:val="62"/>
          <w:szCs w:val="62"/>
        </w:rPr>
        <w:t>CUSUM RAP</w:t>
      </w:r>
    </w:p>
    <w:p w14:paraId="3FC9B9A3" w14:textId="1FF498BE" w:rsidR="00D262E5" w:rsidRDefault="00D262E5" w:rsidP="00D262E5">
      <w:pPr>
        <w:spacing w:after="160" w:line="269" w:lineRule="auto"/>
        <w:rPr>
          <w:rFonts w:ascii="Open Sans" w:eastAsia="Open Sans" w:hAnsi="Open Sans" w:cs="Open Sans"/>
          <w:color w:val="F69342"/>
          <w:sz w:val="62"/>
          <w:szCs w:val="62"/>
        </w:rPr>
      </w:pPr>
      <w:r>
        <w:rPr>
          <w:rFonts w:ascii="Open Sans" w:eastAsia="Open Sans" w:hAnsi="Open Sans" w:cs="Open Sans"/>
          <w:b/>
          <w:bCs/>
          <w:color w:val="F69342"/>
          <w:sz w:val="62"/>
          <w:szCs w:val="62"/>
        </w:rPr>
        <w:t>User manual</w:t>
      </w:r>
    </w:p>
    <w:p w14:paraId="38E3808D" w14:textId="7FDD779C" w:rsidR="00D262E5" w:rsidRDefault="00D262E5" w:rsidP="00D262E5">
      <w:pPr>
        <w:spacing w:after="160" w:line="269" w:lineRule="auto"/>
        <w:rPr>
          <w:rFonts w:ascii="Open Sans" w:eastAsia="Open Sans" w:hAnsi="Open Sans" w:cs="Open Sans"/>
          <w:color w:val="F69342"/>
          <w:sz w:val="62"/>
          <w:szCs w:val="62"/>
        </w:rPr>
      </w:pPr>
      <w:bookmarkStart w:id="0" w:name="_heading=h.i9hk7psfkii8" w:colFirst="0" w:colLast="0"/>
      <w:bookmarkEnd w:id="0"/>
    </w:p>
    <w:p w14:paraId="0AC76F00" w14:textId="0B3A9697" w:rsidR="00D262E5" w:rsidRPr="00862961" w:rsidRDefault="00D262E5" w:rsidP="00D262E5">
      <w:pPr>
        <w:spacing w:after="160" w:line="269" w:lineRule="auto"/>
        <w:rPr>
          <w:rFonts w:ascii="Open Sans" w:eastAsia="Open Sans" w:hAnsi="Open Sans" w:cs="Open Sans"/>
          <w:color w:val="F69342"/>
          <w:sz w:val="62"/>
          <w:szCs w:val="62"/>
          <w:lang w:val="it-IT"/>
        </w:rPr>
      </w:pPr>
      <w:r w:rsidRPr="00862961">
        <w:rPr>
          <w:rFonts w:ascii="Open Sans" w:eastAsia="Open Sans" w:hAnsi="Open Sans" w:cs="Open Sans"/>
          <w:color w:val="F69342"/>
          <w:sz w:val="62"/>
          <w:szCs w:val="62"/>
          <w:lang w:val="it-IT"/>
        </w:rPr>
        <w:t>Developer: CEMIC</w:t>
      </w:r>
    </w:p>
    <w:p w14:paraId="1FFA1B4F" w14:textId="51FFE8BC" w:rsidR="00D262E5" w:rsidRPr="004115C9" w:rsidRDefault="00D262E5" w:rsidP="00D262E5">
      <w:pPr>
        <w:spacing w:after="160" w:line="269" w:lineRule="auto"/>
        <w:rPr>
          <w:rFonts w:ascii="Open Sans" w:eastAsia="Open Sans" w:hAnsi="Open Sans" w:cs="Open Sans"/>
          <w:color w:val="F69342"/>
          <w:sz w:val="62"/>
          <w:szCs w:val="62"/>
          <w:lang w:val="it-IT"/>
        </w:rPr>
      </w:pPr>
      <w:r w:rsidRPr="004115C9">
        <w:rPr>
          <w:rFonts w:ascii="Open Sans" w:eastAsia="Open Sans" w:hAnsi="Open Sans" w:cs="Open Sans"/>
          <w:color w:val="F69342"/>
          <w:sz w:val="48"/>
          <w:szCs w:val="48"/>
          <w:lang w:val="it-IT"/>
        </w:rPr>
        <w:t>Author</w:t>
      </w:r>
      <w:r w:rsidR="00B64E13">
        <w:rPr>
          <w:rFonts w:ascii="Open Sans" w:eastAsia="Open Sans" w:hAnsi="Open Sans" w:cs="Open Sans"/>
          <w:color w:val="F69342"/>
          <w:sz w:val="48"/>
          <w:szCs w:val="48"/>
          <w:lang w:val="it-IT"/>
        </w:rPr>
        <w:t>s</w:t>
      </w:r>
      <w:r w:rsidRPr="004115C9">
        <w:rPr>
          <w:rFonts w:ascii="Open Sans" w:eastAsia="Open Sans" w:hAnsi="Open Sans" w:cs="Open Sans"/>
          <w:color w:val="F69342"/>
          <w:sz w:val="48"/>
          <w:szCs w:val="48"/>
          <w:lang w:val="it-IT"/>
        </w:rPr>
        <w:t>: Fernando Poletta</w:t>
      </w:r>
      <w:r w:rsidR="004115C9" w:rsidRPr="004115C9">
        <w:rPr>
          <w:rFonts w:ascii="Open Sans" w:eastAsia="Open Sans" w:hAnsi="Open Sans" w:cs="Open Sans"/>
          <w:color w:val="F69342"/>
          <w:sz w:val="48"/>
          <w:szCs w:val="48"/>
          <w:lang w:val="it-IT"/>
        </w:rPr>
        <w:t>, J</w:t>
      </w:r>
      <w:r w:rsidR="004115C9">
        <w:rPr>
          <w:rFonts w:ascii="Open Sans" w:eastAsia="Open Sans" w:hAnsi="Open Sans" w:cs="Open Sans"/>
          <w:color w:val="F69342"/>
          <w:sz w:val="48"/>
          <w:szCs w:val="48"/>
          <w:lang w:val="it-IT"/>
        </w:rPr>
        <w:t>uan Gili</w:t>
      </w:r>
      <w:r w:rsidR="00862961">
        <w:rPr>
          <w:rFonts w:ascii="Open Sans" w:eastAsia="Open Sans" w:hAnsi="Open Sans" w:cs="Open Sans"/>
          <w:color w:val="F69342"/>
          <w:sz w:val="48"/>
          <w:szCs w:val="48"/>
          <w:lang w:val="it-IT"/>
        </w:rPr>
        <w:t xml:space="preserve">, </w:t>
      </w:r>
      <w:r w:rsidR="00862961" w:rsidRPr="00862961">
        <w:rPr>
          <w:rFonts w:ascii="Open Sans" w:eastAsia="Open Sans" w:hAnsi="Open Sans" w:cs="Open Sans"/>
          <w:color w:val="F69342"/>
          <w:sz w:val="48"/>
          <w:szCs w:val="48"/>
          <w:lang w:val="it-IT"/>
        </w:rPr>
        <w:t>Maximiliano Giordano</w:t>
      </w:r>
    </w:p>
    <w:p w14:paraId="58F6640A" w14:textId="42F5745C" w:rsidR="00D262E5" w:rsidRPr="00B64E13" w:rsidRDefault="00D262E5" w:rsidP="00D262E5">
      <w:pPr>
        <w:spacing w:after="160" w:line="269" w:lineRule="auto"/>
        <w:rPr>
          <w:rFonts w:ascii="Open Sans" w:eastAsia="Open Sans" w:hAnsi="Open Sans" w:cs="Open Sans"/>
          <w:b/>
          <w:bCs/>
          <w:color w:val="F69342"/>
          <w:sz w:val="36"/>
          <w:szCs w:val="36"/>
          <w:lang w:val="en-US"/>
        </w:rPr>
      </w:pPr>
      <w:r w:rsidRPr="00B64E13">
        <w:rPr>
          <w:rFonts w:ascii="Open Sans" w:eastAsia="Open Sans" w:hAnsi="Open Sans" w:cs="Open Sans"/>
          <w:color w:val="F69342"/>
          <w:sz w:val="62"/>
          <w:szCs w:val="62"/>
          <w:lang w:val="en-US"/>
        </w:rPr>
        <w:t xml:space="preserve">Version </w:t>
      </w:r>
      <w:r w:rsidR="00BE6460" w:rsidRPr="00B64E13">
        <w:rPr>
          <w:rFonts w:ascii="Open Sans" w:eastAsia="Open Sans" w:hAnsi="Open Sans" w:cs="Open Sans"/>
          <w:color w:val="F69342"/>
          <w:sz w:val="62"/>
          <w:szCs w:val="62"/>
          <w:lang w:val="en-US"/>
        </w:rPr>
        <w:t>2.0</w:t>
      </w:r>
    </w:p>
    <w:p w14:paraId="7F68B244" w14:textId="27D0C52D" w:rsidR="00D262E5" w:rsidRPr="00B64E13" w:rsidRDefault="00D262E5" w:rsidP="00D262E5">
      <w:pPr>
        <w:spacing w:after="160" w:line="269" w:lineRule="auto"/>
        <w:rPr>
          <w:rFonts w:ascii="Open Sans" w:eastAsia="Open Sans" w:hAnsi="Open Sans" w:cs="Open Sans"/>
          <w:b/>
          <w:bCs/>
          <w:color w:val="324027"/>
          <w:sz w:val="36"/>
          <w:szCs w:val="36"/>
          <w:lang w:val="en-US"/>
        </w:rPr>
      </w:pPr>
      <w:r w:rsidRPr="00B64E13">
        <w:rPr>
          <w:lang w:val="en-US"/>
        </w:rPr>
        <w:br w:type="page"/>
      </w:r>
    </w:p>
    <w:p w14:paraId="7B8DC393" w14:textId="75DBFBB7" w:rsidR="0056163C" w:rsidRPr="00B64E13" w:rsidRDefault="0056163C">
      <w:pPr>
        <w:keepNext/>
        <w:keepLines/>
        <w:pBdr>
          <w:top w:val="nil"/>
          <w:left w:val="nil"/>
          <w:bottom w:val="nil"/>
          <w:right w:val="nil"/>
          <w:between w:val="nil"/>
        </w:pBdr>
        <w:spacing w:after="60"/>
        <w:rPr>
          <w:color w:val="000000"/>
          <w:sz w:val="60"/>
          <w:szCs w:val="60"/>
          <w:lang w:val="en-US"/>
        </w:rPr>
      </w:pPr>
    </w:p>
    <w:p w14:paraId="7B8DC39B" w14:textId="0E387412" w:rsidR="0056163C" w:rsidRPr="00CD71E4" w:rsidRDefault="000220F1" w:rsidP="00350D15">
      <w:pPr>
        <w:spacing w:after="0" w:line="360" w:lineRule="auto"/>
        <w:jc w:val="both"/>
        <w:rPr>
          <w:b/>
          <w:bCs/>
          <w:color w:val="000000"/>
          <w:sz w:val="36"/>
          <w:szCs w:val="36"/>
        </w:rPr>
      </w:pPr>
      <w:bookmarkStart w:id="1" w:name="_heading=h.pqkdion7417b" w:colFirst="0" w:colLast="0"/>
      <w:bookmarkEnd w:id="1"/>
      <w:r w:rsidRPr="00CD71E4">
        <w:rPr>
          <w:b/>
          <w:bCs/>
          <w:color w:val="000000"/>
          <w:sz w:val="36"/>
          <w:szCs w:val="36"/>
        </w:rPr>
        <w:t>Intended Users, Administration, and Adaptation to Other Contexts</w:t>
      </w:r>
    </w:p>
    <w:p w14:paraId="7B8DC39C" w14:textId="77777777" w:rsidR="0056163C" w:rsidRDefault="000220F1" w:rsidP="00350D15">
      <w:pPr>
        <w:spacing w:before="240" w:after="240" w:line="360" w:lineRule="auto"/>
        <w:jc w:val="both"/>
      </w:pPr>
      <w:r>
        <w:t xml:space="preserve">This application is intended to support public health surveillance and response activities, and may be used by healthcare professionals, public health officers and other personnel responsible for reporting, reviewing, managing or </w:t>
      </w:r>
      <w:proofErr w:type="spellStart"/>
      <w:r>
        <w:t>analysing</w:t>
      </w:r>
      <w:proofErr w:type="spellEnd"/>
      <w:r>
        <w:t xml:space="preserve"> epidemiological information. Depending on the implementation context, the administration, configuration and maintenance of the application may also be carried out by municipal or regional health secretariats, by public health authorities, or by local National Statistical Office (NSO) teams.</w:t>
      </w:r>
    </w:p>
    <w:p w14:paraId="7B8DC39D" w14:textId="77777777" w:rsidR="0056163C" w:rsidRDefault="000220F1" w:rsidP="00350D15">
      <w:pPr>
        <w:spacing w:before="240" w:after="240" w:line="360" w:lineRule="auto"/>
        <w:jc w:val="both"/>
      </w:pPr>
      <w:r>
        <w:t xml:space="preserve">The examples, screenshots and simulated datasets included in this document are based on the administrative and data structure used by the National Institute of Statistics and Censuses (INDEC) in </w:t>
      </w:r>
      <w:proofErr w:type="gramStart"/>
      <w:r>
        <w:t>Argentina, and</w:t>
      </w:r>
      <w:proofErr w:type="gramEnd"/>
      <w:r>
        <w:t xml:space="preserve"> are provided as a reference implementation. The application can nevertheless be adapted for use in other countries and institutional settings, regardless of whether a given country has an established national epidemiological surveillance system in place. Detailed guidance on adaptation, configuration and implementation in other national contexts is provided throughout this Technical Documentation, as well as in the additional technical, support and version-control materials available in the project's GitHub repository.</w:t>
      </w:r>
    </w:p>
    <w:p w14:paraId="7B8DC39E" w14:textId="77777777" w:rsidR="0056163C" w:rsidRDefault="000220F1" w:rsidP="00350D15">
      <w:pPr>
        <w:spacing w:before="240" w:after="240" w:line="360" w:lineRule="auto"/>
        <w:jc w:val="both"/>
      </w:pPr>
      <w:r>
        <w:t xml:space="preserve">The National Statistical Office (NSO), or an equivalent national technical authority, may support users by providing guidance on how to interpret the outputs of this tool. This support may include advice on data quality, on geographic </w:t>
      </w:r>
      <w:proofErr w:type="spellStart"/>
      <w:r>
        <w:t>standardisation</w:t>
      </w:r>
      <w:proofErr w:type="spellEnd"/>
      <w:r>
        <w:t xml:space="preserve"> and on the appropriate use of spatial indicators within national public health and statistical frameworks.</w:t>
      </w:r>
    </w:p>
    <w:p w14:paraId="7B8DC3A0" w14:textId="77777777" w:rsidR="0056163C" w:rsidRDefault="0056163C">
      <w:pPr>
        <w:pBdr>
          <w:top w:val="nil"/>
          <w:left w:val="nil"/>
          <w:bottom w:val="nil"/>
          <w:right w:val="nil"/>
          <w:between w:val="nil"/>
        </w:pBdr>
        <w:spacing w:after="120" w:line="240" w:lineRule="auto"/>
        <w:jc w:val="center"/>
        <w:rPr>
          <w:b/>
          <w:bCs/>
          <w:color w:val="000000"/>
          <w:sz w:val="42"/>
          <w:szCs w:val="42"/>
        </w:rPr>
      </w:pPr>
    </w:p>
    <w:p w14:paraId="7B8DC3A1" w14:textId="77777777" w:rsidR="0056163C" w:rsidRDefault="0056163C">
      <w:pPr>
        <w:rPr>
          <w:b/>
          <w:bCs/>
        </w:rPr>
      </w:pPr>
    </w:p>
    <w:p w14:paraId="7B8DC3A2" w14:textId="77777777" w:rsidR="0056163C" w:rsidRDefault="000220F1">
      <w:pPr>
        <w:rPr>
          <w:b/>
          <w:bCs/>
        </w:rPr>
      </w:pPr>
      <w:r>
        <w:br w:type="page"/>
      </w:r>
    </w:p>
    <w:p w14:paraId="7B8DC3A3" w14:textId="77777777" w:rsidR="0056163C" w:rsidRDefault="000220F1">
      <w:pPr>
        <w:jc w:val="center"/>
      </w:pPr>
      <w:r>
        <w:rPr>
          <w:b/>
          <w:bCs/>
        </w:rPr>
        <w:lastRenderedPageBreak/>
        <w:t>ANALYSIS FOR ACTION</w:t>
      </w:r>
    </w:p>
    <w:p w14:paraId="7B8DC3A4" w14:textId="77777777" w:rsidR="0056163C" w:rsidRDefault="000220F1">
      <w:pPr>
        <w:jc w:val="center"/>
      </w:pPr>
      <w:r>
        <w:rPr>
          <w:b/>
          <w:bCs/>
          <w:sz w:val="36"/>
          <w:szCs w:val="36"/>
        </w:rPr>
        <w:t>CUSUM-RAP</w:t>
      </w:r>
    </w:p>
    <w:p w14:paraId="7B8DC3A5" w14:textId="77777777" w:rsidR="0056163C" w:rsidRDefault="000220F1">
      <w:pPr>
        <w:jc w:val="center"/>
      </w:pPr>
      <w:r>
        <w:rPr>
          <w:b/>
          <w:bCs/>
          <w:sz w:val="32"/>
          <w:szCs w:val="32"/>
        </w:rPr>
        <w:t>User Manual</w:t>
      </w:r>
    </w:p>
    <w:p w14:paraId="7B8DC3A6" w14:textId="77777777" w:rsidR="0056163C" w:rsidRDefault="000220F1">
      <w:pPr>
        <w:jc w:val="center"/>
      </w:pPr>
      <w:r>
        <w:rPr>
          <w:i/>
          <w:iCs/>
        </w:rPr>
        <w:t>Early-warning analysis for weekly case counts</w:t>
      </w:r>
    </w:p>
    <w:p w14:paraId="7B8DC3A7" w14:textId="77777777" w:rsidR="0056163C" w:rsidRDefault="0056163C"/>
    <w:tbl>
      <w:tblPr>
        <w:tblStyle w:val="a"/>
        <w:tblW w:w="1008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40"/>
        <w:gridCol w:w="5040"/>
      </w:tblGrid>
      <w:tr w:rsidR="0056163C" w14:paraId="7B8DC3AA" w14:textId="77777777">
        <w:tc>
          <w:tcPr>
            <w:tcW w:w="5040" w:type="dxa"/>
          </w:tcPr>
          <w:p w14:paraId="7B8DC3A8" w14:textId="77777777" w:rsidR="0056163C" w:rsidRDefault="000220F1">
            <w:r>
              <w:rPr>
                <w:b/>
                <w:bCs/>
              </w:rPr>
              <w:t>Documentation revision</w:t>
            </w:r>
          </w:p>
        </w:tc>
        <w:tc>
          <w:tcPr>
            <w:tcW w:w="5040" w:type="dxa"/>
          </w:tcPr>
          <w:p w14:paraId="7B8DC3A9" w14:textId="77777777" w:rsidR="0056163C" w:rsidRDefault="000220F1">
            <w:r>
              <w:t>June 2026</w:t>
            </w:r>
          </w:p>
        </w:tc>
      </w:tr>
      <w:tr w:rsidR="0056163C" w14:paraId="7B8DC3AD" w14:textId="77777777">
        <w:tc>
          <w:tcPr>
            <w:tcW w:w="5040" w:type="dxa"/>
          </w:tcPr>
          <w:p w14:paraId="7B8DC3AB" w14:textId="77777777" w:rsidR="0056163C" w:rsidRDefault="000220F1">
            <w:r>
              <w:rPr>
                <w:b/>
                <w:bCs/>
              </w:rPr>
              <w:t>Language</w:t>
            </w:r>
          </w:p>
        </w:tc>
        <w:tc>
          <w:tcPr>
            <w:tcW w:w="5040" w:type="dxa"/>
          </w:tcPr>
          <w:p w14:paraId="7B8DC3AC" w14:textId="77777777" w:rsidR="0056163C" w:rsidRDefault="000220F1">
            <w:r>
              <w:t>English</w:t>
            </w:r>
          </w:p>
        </w:tc>
      </w:tr>
      <w:tr w:rsidR="0056163C" w14:paraId="7B8DC3B0" w14:textId="77777777">
        <w:tc>
          <w:tcPr>
            <w:tcW w:w="5040" w:type="dxa"/>
          </w:tcPr>
          <w:p w14:paraId="7B8DC3AE" w14:textId="77777777" w:rsidR="0056163C" w:rsidRDefault="000220F1">
            <w:r>
              <w:rPr>
                <w:b/>
                <w:bCs/>
              </w:rPr>
              <w:t>Status</w:t>
            </w:r>
          </w:p>
        </w:tc>
        <w:tc>
          <w:tcPr>
            <w:tcW w:w="5040" w:type="dxa"/>
          </w:tcPr>
          <w:p w14:paraId="7B8DC3AF" w14:textId="77777777" w:rsidR="0056163C" w:rsidRDefault="000220F1">
            <w:r>
              <w:t>Aligned with the supplied current application source</w:t>
            </w:r>
          </w:p>
        </w:tc>
      </w:tr>
    </w:tbl>
    <w:p w14:paraId="7B8DC3B1" w14:textId="77777777" w:rsidR="0056163C" w:rsidRDefault="0056163C"/>
    <w:p w14:paraId="7B8DC3B2" w14:textId="77777777" w:rsidR="0056163C" w:rsidRDefault="0056163C"/>
    <w:p w14:paraId="7B8DC3B3" w14:textId="77777777" w:rsidR="0056163C" w:rsidRDefault="000220F1">
      <w:pPr>
        <w:pStyle w:val="Ttulo1"/>
        <w:spacing w:before="120" w:after="120"/>
      </w:pPr>
      <w:r>
        <w:t>Contents</w:t>
      </w:r>
    </w:p>
    <w:sdt>
      <w:sdtPr>
        <w:id w:val="350352126"/>
        <w:docPartObj>
          <w:docPartGallery w:val="Table of Contents"/>
          <w:docPartUnique/>
        </w:docPartObj>
      </w:sdtPr>
      <w:sdtEndPr/>
      <w:sdtContent>
        <w:p w14:paraId="7B8DC3B4" w14:textId="77777777" w:rsidR="0056163C" w:rsidRDefault="000220F1">
          <w:pPr>
            <w:widowControl w:val="0"/>
            <w:tabs>
              <w:tab w:val="right" w:pos="12000"/>
            </w:tabs>
            <w:spacing w:before="60" w:after="0" w:line="240" w:lineRule="auto"/>
            <w:rPr>
              <w:b/>
              <w:bCs/>
              <w:color w:val="000000"/>
              <w:sz w:val="22"/>
              <w:szCs w:val="22"/>
            </w:rPr>
          </w:pPr>
          <w:r>
            <w:fldChar w:fldCharType="begin"/>
          </w:r>
          <w:r>
            <w:instrText xml:space="preserve"> TOC \h \u \z \t "Heading 1,1,Heading 2,2,Heading 3,3,Heading 4,4,Heading 5,5,Heading 6,6,"</w:instrText>
          </w:r>
          <w:r>
            <w:fldChar w:fldCharType="separate"/>
          </w:r>
        </w:p>
        <w:p w14:paraId="7B8DC3B5" w14:textId="77777777" w:rsidR="0056163C" w:rsidRDefault="000220F1">
          <w:pPr>
            <w:widowControl w:val="0"/>
            <w:tabs>
              <w:tab w:val="right" w:pos="12000"/>
            </w:tabs>
            <w:spacing w:before="60" w:after="0" w:line="240" w:lineRule="auto"/>
            <w:rPr>
              <w:b/>
              <w:bCs/>
              <w:color w:val="000000"/>
              <w:sz w:val="22"/>
              <w:szCs w:val="22"/>
            </w:rPr>
          </w:pPr>
          <w:hyperlink w:anchor="_heading=">
            <w:r>
              <w:rPr>
                <w:color w:val="000000"/>
              </w:rPr>
              <w:t>1. Purpose and scope</w:t>
            </w:r>
            <w:r>
              <w:rPr>
                <w:color w:val="000000"/>
              </w:rPr>
              <w:tab/>
              <w:t>3</w:t>
            </w:r>
          </w:hyperlink>
        </w:p>
        <w:p w14:paraId="7B8DC3B6" w14:textId="77777777" w:rsidR="0056163C" w:rsidRDefault="000220F1">
          <w:pPr>
            <w:widowControl w:val="0"/>
            <w:tabs>
              <w:tab w:val="right" w:pos="12000"/>
            </w:tabs>
            <w:spacing w:before="60" w:after="0" w:line="240" w:lineRule="auto"/>
            <w:rPr>
              <w:b/>
              <w:bCs/>
              <w:color w:val="000000"/>
              <w:sz w:val="22"/>
              <w:szCs w:val="22"/>
            </w:rPr>
          </w:pPr>
          <w:hyperlink w:anchor="_heading=">
            <w:r>
              <w:rPr>
                <w:color w:val="000000"/>
              </w:rPr>
              <w:t>2. Open the app and load data</w:t>
            </w:r>
            <w:r>
              <w:rPr>
                <w:color w:val="000000"/>
              </w:rPr>
              <w:tab/>
              <w:t>3</w:t>
            </w:r>
          </w:hyperlink>
        </w:p>
        <w:p w14:paraId="7B8DC3B7" w14:textId="77777777" w:rsidR="0056163C" w:rsidRDefault="000220F1">
          <w:pPr>
            <w:widowControl w:val="0"/>
            <w:tabs>
              <w:tab w:val="right" w:pos="12000"/>
            </w:tabs>
            <w:spacing w:before="60" w:after="0" w:line="240" w:lineRule="auto"/>
            <w:rPr>
              <w:b/>
              <w:bCs/>
              <w:color w:val="000000"/>
              <w:sz w:val="22"/>
              <w:szCs w:val="22"/>
            </w:rPr>
          </w:pPr>
          <w:hyperlink w:anchor="_heading=">
            <w:r>
              <w:rPr>
                <w:color w:val="000000"/>
              </w:rPr>
              <w:t>3. Input data</w:t>
            </w:r>
            <w:r>
              <w:rPr>
                <w:color w:val="000000"/>
              </w:rPr>
              <w:tab/>
              <w:t>5</w:t>
            </w:r>
          </w:hyperlink>
        </w:p>
        <w:p w14:paraId="7B8DC3B8" w14:textId="77777777" w:rsidR="0056163C" w:rsidRDefault="000220F1">
          <w:pPr>
            <w:widowControl w:val="0"/>
            <w:tabs>
              <w:tab w:val="right" w:pos="12000"/>
            </w:tabs>
            <w:spacing w:before="60" w:after="0" w:line="240" w:lineRule="auto"/>
            <w:rPr>
              <w:b/>
              <w:bCs/>
              <w:color w:val="000000"/>
              <w:sz w:val="22"/>
              <w:szCs w:val="22"/>
            </w:rPr>
          </w:pPr>
          <w:hyperlink w:anchor="_heading=">
            <w:r>
              <w:rPr>
                <w:color w:val="000000"/>
              </w:rPr>
              <w:t>4. Configure the analysis</w:t>
            </w:r>
            <w:r>
              <w:rPr>
                <w:color w:val="000000"/>
              </w:rPr>
              <w:tab/>
              <w:t>6</w:t>
            </w:r>
          </w:hyperlink>
        </w:p>
        <w:p w14:paraId="7B8DC3B9" w14:textId="77777777" w:rsidR="0056163C" w:rsidRDefault="000220F1">
          <w:pPr>
            <w:widowControl w:val="0"/>
            <w:tabs>
              <w:tab w:val="right" w:pos="12000"/>
            </w:tabs>
            <w:spacing w:before="60" w:after="0" w:line="240" w:lineRule="auto"/>
            <w:rPr>
              <w:b/>
              <w:bCs/>
              <w:color w:val="000000"/>
              <w:sz w:val="22"/>
              <w:szCs w:val="22"/>
            </w:rPr>
          </w:pPr>
          <w:hyperlink w:anchor="_heading=">
            <w:r>
              <w:rPr>
                <w:color w:val="000000"/>
              </w:rPr>
              <w:t>5. Review the outputs</w:t>
            </w:r>
            <w:r>
              <w:rPr>
                <w:color w:val="000000"/>
              </w:rPr>
              <w:tab/>
              <w:t>7</w:t>
            </w:r>
          </w:hyperlink>
        </w:p>
        <w:p w14:paraId="7B8DC3BA" w14:textId="77777777" w:rsidR="0056163C" w:rsidRDefault="000220F1">
          <w:pPr>
            <w:widowControl w:val="0"/>
            <w:tabs>
              <w:tab w:val="right" w:pos="12000"/>
            </w:tabs>
            <w:spacing w:before="60" w:after="0" w:line="240" w:lineRule="auto"/>
            <w:rPr>
              <w:b/>
              <w:bCs/>
              <w:color w:val="000000"/>
              <w:sz w:val="22"/>
              <w:szCs w:val="22"/>
            </w:rPr>
          </w:pPr>
          <w:hyperlink w:anchor="_heading=">
            <w:r>
              <w:rPr>
                <w:color w:val="000000"/>
              </w:rPr>
              <w:t>6. Interpretation guide</w:t>
            </w:r>
            <w:r>
              <w:rPr>
                <w:color w:val="000000"/>
              </w:rPr>
              <w:tab/>
              <w:t>12</w:t>
            </w:r>
          </w:hyperlink>
        </w:p>
        <w:p w14:paraId="7B8DC3BB" w14:textId="77777777" w:rsidR="0056163C" w:rsidRDefault="000220F1">
          <w:pPr>
            <w:widowControl w:val="0"/>
            <w:tabs>
              <w:tab w:val="right" w:pos="12000"/>
            </w:tabs>
            <w:spacing w:before="60" w:after="0" w:line="240" w:lineRule="auto"/>
            <w:rPr>
              <w:b/>
              <w:bCs/>
              <w:color w:val="000000"/>
              <w:sz w:val="22"/>
              <w:szCs w:val="22"/>
            </w:rPr>
          </w:pPr>
          <w:hyperlink w:anchor="_heading=">
            <w:r>
              <w:rPr>
                <w:color w:val="000000"/>
              </w:rPr>
              <w:t>7. Downloads and reproducibility</w:t>
            </w:r>
            <w:r>
              <w:rPr>
                <w:color w:val="000000"/>
              </w:rPr>
              <w:tab/>
              <w:t>12</w:t>
            </w:r>
          </w:hyperlink>
        </w:p>
        <w:p w14:paraId="7B8DC3BC" w14:textId="77777777" w:rsidR="0056163C" w:rsidRDefault="000220F1">
          <w:pPr>
            <w:widowControl w:val="0"/>
            <w:tabs>
              <w:tab w:val="right" w:pos="12000"/>
            </w:tabs>
            <w:spacing w:before="60" w:after="0" w:line="240" w:lineRule="auto"/>
            <w:rPr>
              <w:b/>
              <w:bCs/>
              <w:color w:val="000000"/>
              <w:sz w:val="22"/>
              <w:szCs w:val="22"/>
            </w:rPr>
          </w:pPr>
          <w:hyperlink w:anchor="_heading=">
            <w:r>
              <w:rPr>
                <w:color w:val="000000"/>
              </w:rPr>
              <w:t>8. Troubleshooting</w:t>
            </w:r>
            <w:r>
              <w:rPr>
                <w:color w:val="000000"/>
              </w:rPr>
              <w:tab/>
              <w:t>13</w:t>
            </w:r>
          </w:hyperlink>
        </w:p>
        <w:p w14:paraId="7B8DC3BD" w14:textId="77777777" w:rsidR="0056163C" w:rsidRDefault="000220F1">
          <w:pPr>
            <w:widowControl w:val="0"/>
            <w:tabs>
              <w:tab w:val="right" w:pos="12000"/>
            </w:tabs>
            <w:spacing w:before="60" w:after="0" w:line="240" w:lineRule="auto"/>
            <w:rPr>
              <w:b/>
              <w:bCs/>
              <w:color w:val="000000"/>
              <w:sz w:val="22"/>
              <w:szCs w:val="22"/>
            </w:rPr>
          </w:pPr>
          <w:hyperlink w:anchor="_heading=">
            <w:r>
              <w:rPr>
                <w:color w:val="000000"/>
              </w:rPr>
              <w:t>9. Glossary</w:t>
            </w:r>
            <w:r>
              <w:rPr>
                <w:color w:val="000000"/>
              </w:rPr>
              <w:tab/>
              <w:t>13</w:t>
            </w:r>
          </w:hyperlink>
        </w:p>
        <w:p w14:paraId="7B8DC3BE" w14:textId="77777777" w:rsidR="0056163C" w:rsidRDefault="000220F1">
          <w:pPr>
            <w:widowControl w:val="0"/>
            <w:tabs>
              <w:tab w:val="right" w:pos="12000"/>
            </w:tabs>
            <w:spacing w:before="60" w:after="0" w:line="240" w:lineRule="auto"/>
            <w:rPr>
              <w:b/>
              <w:bCs/>
              <w:color w:val="000000"/>
              <w:sz w:val="22"/>
              <w:szCs w:val="22"/>
            </w:rPr>
          </w:pPr>
          <w:hyperlink w:anchor="_heading=">
            <w:r>
              <w:rPr>
                <w:color w:val="000000"/>
              </w:rPr>
              <w:t>Summary</w:t>
            </w:r>
            <w:r>
              <w:rPr>
                <w:color w:val="000000"/>
              </w:rPr>
              <w:tab/>
              <w:t>14</w:t>
            </w:r>
          </w:hyperlink>
          <w:r>
            <w:fldChar w:fldCharType="end"/>
          </w:r>
        </w:p>
      </w:sdtContent>
    </w:sdt>
    <w:p w14:paraId="7B8DC3BF" w14:textId="77777777" w:rsidR="0056163C" w:rsidRDefault="0056163C">
      <w:pPr>
        <w:spacing w:before="60" w:after="160" w:line="288" w:lineRule="auto"/>
      </w:pPr>
    </w:p>
    <w:p w14:paraId="7B8DC3C0" w14:textId="77777777" w:rsidR="0056163C" w:rsidRDefault="000220F1">
      <w:pPr>
        <w:spacing w:before="60" w:after="160" w:line="288" w:lineRule="auto"/>
      </w:pPr>
      <w:r>
        <w:br w:type="page"/>
      </w:r>
    </w:p>
    <w:p w14:paraId="7B8DC3C1" w14:textId="77777777" w:rsidR="0056163C" w:rsidRDefault="000220F1">
      <w:pPr>
        <w:pStyle w:val="Ttulo1"/>
        <w:spacing w:before="120" w:after="120"/>
      </w:pPr>
      <w:r>
        <w:lastRenderedPageBreak/>
        <w:t>1. Purpose and scope</w:t>
      </w:r>
    </w:p>
    <w:p w14:paraId="7B8DC3C2" w14:textId="77777777" w:rsidR="0056163C" w:rsidRDefault="0056163C">
      <w:pPr>
        <w:spacing w:before="60" w:after="160" w:line="288" w:lineRule="auto"/>
      </w:pPr>
    </w:p>
    <w:p w14:paraId="7B8DC3C3" w14:textId="77777777" w:rsidR="0056163C" w:rsidRDefault="000220F1">
      <w:pPr>
        <w:spacing w:before="240" w:after="240" w:line="288" w:lineRule="auto"/>
        <w:jc w:val="both"/>
      </w:pPr>
      <w:r>
        <w:t xml:space="preserve">The CUSUM-RAP tool applies a one-sided upper cumulative sum procedure to weekly case counts. In practice, this means that the tool monitors the reported number of cases in each area week by </w:t>
      </w:r>
      <w:proofErr w:type="gramStart"/>
      <w:r>
        <w:t>week, and</w:t>
      </w:r>
      <w:proofErr w:type="gramEnd"/>
      <w:r>
        <w:t xml:space="preserve"> accumulates the evidence whenever those counts rise above the level that would normally be expected. It is designed to highlight sustained increases above an expected baseline for each selected analysis unit**, so that emerging problems can be identified </w:t>
      </w:r>
      <w:proofErr w:type="gramStart"/>
      <w:r>
        <w:t>early.*</w:t>
      </w:r>
      <w:proofErr w:type="gramEnd"/>
      <w:r>
        <w:t>*</w:t>
      </w:r>
    </w:p>
    <w:p w14:paraId="7B8DC3C4" w14:textId="77777777" w:rsidR="0056163C" w:rsidRDefault="000220F1">
      <w:pPr>
        <w:spacing w:before="240" w:after="240" w:line="288" w:lineRule="auto"/>
        <w:jc w:val="both"/>
      </w:pPr>
      <w:r>
        <w:t xml:space="preserve">This manual is intended for analysts, epidemiologists, surveillance officers and other users who need to run the tool and review the outputs. Technical teams who need to configure countries, file structures or deployment settings should instead use </w:t>
      </w:r>
      <w:proofErr w:type="gramStart"/>
      <w:r>
        <w:t>the separate</w:t>
      </w:r>
      <w:proofErr w:type="gramEnd"/>
      <w:r>
        <w:t xml:space="preserve"> developer and administrator guide.</w:t>
      </w:r>
    </w:p>
    <w:p w14:paraId="7B8DC3C5" w14:textId="77777777" w:rsidR="0056163C" w:rsidRDefault="000220F1">
      <w:pPr>
        <w:spacing w:before="240" w:after="240" w:line="288" w:lineRule="auto"/>
        <w:jc w:val="both"/>
      </w:pPr>
      <w:r>
        <w:t xml:space="preserve">National Statistical Office teams, or equivalent local technical teams, may support users by </w:t>
      </w:r>
      <w:proofErr w:type="gramStart"/>
      <w:r>
        <w:t>advising</w:t>
      </w:r>
      <w:proofErr w:type="gramEnd"/>
      <w:r>
        <w:t xml:space="preserve"> on data quality, territorial coding and the appropriate interpretation of the outputs within national statistical and public health frameworks.</w:t>
      </w:r>
    </w:p>
    <w:p w14:paraId="7B8DC3C6" w14:textId="77777777" w:rsidR="0056163C" w:rsidRDefault="000220F1">
      <w:pPr>
        <w:spacing w:before="240" w:after="240" w:line="288" w:lineRule="auto"/>
        <w:jc w:val="both"/>
      </w:pPr>
      <w:r>
        <w:t xml:space="preserve">The main features of the tool can be </w:t>
      </w:r>
      <w:proofErr w:type="spellStart"/>
      <w:r>
        <w:t>summarised</w:t>
      </w:r>
      <w:proofErr w:type="spellEnd"/>
      <w:r>
        <w:t xml:space="preserve"> as follows:</w:t>
      </w:r>
    </w:p>
    <w:p w14:paraId="7B8DC3C7" w14:textId="77777777" w:rsidR="0056163C" w:rsidRDefault="000220F1">
      <w:pPr>
        <w:numPr>
          <w:ilvl w:val="0"/>
          <w:numId w:val="2"/>
        </w:numPr>
        <w:spacing w:before="240" w:after="0" w:line="288" w:lineRule="auto"/>
      </w:pPr>
      <w:r>
        <w:t xml:space="preserve">The analysis is performed separately for every selected geographic unit**, so that each area is assessed against its own expected </w:t>
      </w:r>
      <w:proofErr w:type="gramStart"/>
      <w:r>
        <w:t>baseline.*</w:t>
      </w:r>
      <w:proofErr w:type="gramEnd"/>
      <w:r>
        <w:t>*</w:t>
      </w:r>
    </w:p>
    <w:p w14:paraId="7B8DC3C8" w14:textId="77777777" w:rsidR="0056163C" w:rsidRDefault="000220F1">
      <w:pPr>
        <w:numPr>
          <w:ilvl w:val="0"/>
          <w:numId w:val="2"/>
        </w:numPr>
        <w:spacing w:after="0" w:line="288" w:lineRule="auto"/>
      </w:pPr>
      <w:r>
        <w:t xml:space="preserve">The current workflow is count-based**, meaning that it works directly with the number of reported </w:t>
      </w:r>
      <w:proofErr w:type="gramStart"/>
      <w:r>
        <w:t>cases.*</w:t>
      </w:r>
      <w:proofErr w:type="gramEnd"/>
      <w:r>
        <w:t>*</w:t>
      </w:r>
    </w:p>
    <w:p w14:paraId="7B8DC3C9" w14:textId="77777777" w:rsidR="0056163C" w:rsidRDefault="000220F1">
      <w:pPr>
        <w:numPr>
          <w:ilvl w:val="0"/>
          <w:numId w:val="2"/>
        </w:numPr>
        <w:spacing w:after="0" w:line="288" w:lineRule="auto"/>
      </w:pPr>
      <w:r>
        <w:t>Population figures may be uploaded, but they are not required for the standard CUSUM calculation.</w:t>
      </w:r>
    </w:p>
    <w:p w14:paraId="7B8DC3CA" w14:textId="77777777" w:rsidR="0056163C" w:rsidRDefault="000220F1">
      <w:pPr>
        <w:numPr>
          <w:ilvl w:val="0"/>
          <w:numId w:val="2"/>
        </w:numPr>
        <w:spacing w:after="240" w:line="288" w:lineRule="auto"/>
      </w:pPr>
      <w:r>
        <w:t>The detection period controls the recent weekly window used for the analysis, whereas the prepared-data coverage rules may require a longer underlying history.</w:t>
      </w:r>
    </w:p>
    <w:p w14:paraId="7B8DC3CB" w14:textId="77777777" w:rsidR="0056163C" w:rsidRDefault="000220F1">
      <w:pPr>
        <w:spacing w:before="240" w:after="240" w:line="288" w:lineRule="auto"/>
        <w:jc w:val="both"/>
        <w:rPr>
          <w:i/>
          <w:iCs/>
        </w:rPr>
      </w:pPr>
      <w:r>
        <w:rPr>
          <w:i/>
          <w:iCs/>
        </w:rPr>
        <w:t>Interpretation. A CUSUM alarm is an early-warning signal, not a diagnosis, a causal conclusion or a confirmation of an outbreak. Before acting on an alarm, review the data quality, any reporting changes, the denominators, the local context and other surveillance evidence.</w:t>
      </w:r>
    </w:p>
    <w:p w14:paraId="7B8DC3CC" w14:textId="77777777" w:rsidR="0056163C" w:rsidRDefault="0056163C">
      <w:pPr>
        <w:spacing w:before="60" w:after="160" w:line="288" w:lineRule="auto"/>
        <w:jc w:val="both"/>
      </w:pPr>
    </w:p>
    <w:p w14:paraId="7B8DC3CD" w14:textId="77777777" w:rsidR="0056163C" w:rsidRDefault="000220F1">
      <w:pPr>
        <w:pStyle w:val="Ttulo1"/>
        <w:spacing w:before="120" w:after="120"/>
      </w:pPr>
      <w:r>
        <w:t>2. Open the app and load data</w:t>
      </w:r>
    </w:p>
    <w:p w14:paraId="7B8DC3CE" w14:textId="77777777" w:rsidR="0056163C" w:rsidRDefault="000220F1">
      <w:pPr>
        <w:spacing w:before="240" w:after="240" w:line="288" w:lineRule="auto"/>
        <w:jc w:val="both"/>
      </w:pPr>
      <w:r>
        <w:t>Start the application and open the Files menu. From there, upload one or more CSV files from your computer. The tool creates an in-memory session for the uploaded files, which means that it works on a temporary copy and does not modify the original source files on your computer.</w:t>
      </w:r>
    </w:p>
    <w:p w14:paraId="7B8DC3CF" w14:textId="77777777" w:rsidR="0056163C" w:rsidRDefault="000220F1">
      <w:pPr>
        <w:numPr>
          <w:ilvl w:val="0"/>
          <w:numId w:val="1"/>
        </w:numPr>
        <w:spacing w:before="240" w:after="0" w:line="288" w:lineRule="auto"/>
      </w:pPr>
      <w:r>
        <w:lastRenderedPageBreak/>
        <w:t>Open the app.</w:t>
      </w:r>
    </w:p>
    <w:p w14:paraId="7B8DC3D0" w14:textId="77777777" w:rsidR="0056163C" w:rsidRDefault="000220F1">
      <w:pPr>
        <w:numPr>
          <w:ilvl w:val="0"/>
          <w:numId w:val="1"/>
        </w:numPr>
        <w:spacing w:after="0" w:line="288" w:lineRule="auto"/>
      </w:pPr>
      <w:r>
        <w:t>Go to Files in the top menu bar.</w:t>
      </w:r>
    </w:p>
    <w:p w14:paraId="7B8DC3D1" w14:textId="77777777" w:rsidR="0056163C" w:rsidRDefault="000220F1">
      <w:pPr>
        <w:numPr>
          <w:ilvl w:val="0"/>
          <w:numId w:val="1"/>
        </w:numPr>
        <w:spacing w:after="0" w:line="288" w:lineRule="auto"/>
      </w:pPr>
      <w:r>
        <w:t>Select Upload raw data.</w:t>
      </w:r>
    </w:p>
    <w:p w14:paraId="7B8DC3D2" w14:textId="77777777" w:rsidR="0056163C" w:rsidRDefault="000220F1">
      <w:pPr>
        <w:numPr>
          <w:ilvl w:val="0"/>
          <w:numId w:val="1"/>
        </w:numPr>
        <w:spacing w:after="0" w:line="288" w:lineRule="auto"/>
      </w:pPr>
      <w:r>
        <w:t>Choose one or more CSV files.</w:t>
      </w:r>
    </w:p>
    <w:p w14:paraId="7B8DC3D3" w14:textId="77777777" w:rsidR="0056163C" w:rsidRDefault="000220F1">
      <w:pPr>
        <w:numPr>
          <w:ilvl w:val="0"/>
          <w:numId w:val="1"/>
        </w:numPr>
        <w:spacing w:after="240" w:line="288" w:lineRule="auto"/>
      </w:pPr>
      <w:r>
        <w:t>If duplicate location and week records are detected, choose an overlap rule before running the analysis.</w:t>
      </w:r>
    </w:p>
    <w:p w14:paraId="7B8DC3D4" w14:textId="77777777" w:rsidR="0056163C" w:rsidRDefault="000220F1">
      <w:pPr>
        <w:spacing w:before="240" w:after="240" w:line="288" w:lineRule="auto"/>
        <w:jc w:val="both"/>
      </w:pPr>
      <w:r>
        <w:t xml:space="preserve">The standard input comes from API-POP. Users may also, however, upload their own prepared CSV files, </w:t>
      </w:r>
      <w:proofErr w:type="gramStart"/>
      <w:r>
        <w:t>provided that</w:t>
      </w:r>
      <w:proofErr w:type="gramEnd"/>
      <w:r>
        <w:t xml:space="preserve"> they follow the required weekly structure and naming rules described below and in the developer guide.</w:t>
      </w:r>
    </w:p>
    <w:p w14:paraId="7B8DC3D5" w14:textId="77777777" w:rsidR="0056163C" w:rsidRDefault="000220F1">
      <w:pPr>
        <w:spacing w:before="240" w:after="240" w:line="288" w:lineRule="auto"/>
        <w:jc w:val="both"/>
      </w:pPr>
      <w:r>
        <w:t>When more than one file is active, some locations and weeks may appear in more than one file. In that case, the tool asks how to resolve the duplicated records before running the analysis.</w:t>
      </w:r>
    </w:p>
    <w:p w14:paraId="7B8DC3D6" w14:textId="77777777" w:rsidR="0056163C" w:rsidRDefault="0056163C">
      <w:pPr>
        <w:spacing w:before="60" w:after="160" w:line="288" w:lineRule="auto"/>
        <w:jc w:val="both"/>
        <w:rPr>
          <w:b/>
          <w:bCs/>
        </w:rPr>
      </w:pPr>
    </w:p>
    <w:tbl>
      <w:tblPr>
        <w:tblStyle w:val="a0"/>
        <w:tblW w:w="1008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68"/>
        <w:gridCol w:w="6912"/>
      </w:tblGrid>
      <w:tr w:rsidR="0056163C" w14:paraId="7B8DC3D9" w14:textId="77777777">
        <w:trPr>
          <w:tblHeader/>
        </w:trPr>
        <w:tc>
          <w:tcPr>
            <w:tcW w:w="3168" w:type="dxa"/>
          </w:tcPr>
          <w:p w14:paraId="7B8DC3D7" w14:textId="77777777" w:rsidR="0056163C" w:rsidRDefault="000220F1">
            <w:pPr>
              <w:jc w:val="both"/>
            </w:pPr>
            <w:r>
              <w:rPr>
                <w:b/>
                <w:bCs/>
              </w:rPr>
              <w:t>Option</w:t>
            </w:r>
          </w:p>
        </w:tc>
        <w:tc>
          <w:tcPr>
            <w:tcW w:w="6912" w:type="dxa"/>
          </w:tcPr>
          <w:p w14:paraId="7B8DC3D8" w14:textId="77777777" w:rsidR="0056163C" w:rsidRDefault="000220F1">
            <w:pPr>
              <w:jc w:val="both"/>
            </w:pPr>
            <w:r>
              <w:rPr>
                <w:b/>
                <w:bCs/>
              </w:rPr>
              <w:t>Effect</w:t>
            </w:r>
          </w:p>
        </w:tc>
      </w:tr>
      <w:tr w:rsidR="0056163C" w14:paraId="7B8DC3DC" w14:textId="77777777">
        <w:tc>
          <w:tcPr>
            <w:tcW w:w="3168" w:type="dxa"/>
          </w:tcPr>
          <w:p w14:paraId="7B8DC3DA" w14:textId="77777777" w:rsidR="0056163C" w:rsidRDefault="000220F1">
            <w:pPr>
              <w:jc w:val="both"/>
            </w:pPr>
            <w:r>
              <w:t>Keep newest file information</w:t>
            </w:r>
          </w:p>
        </w:tc>
        <w:tc>
          <w:tcPr>
            <w:tcW w:w="6912" w:type="dxa"/>
          </w:tcPr>
          <w:p w14:paraId="7B8DC3DB" w14:textId="77777777" w:rsidR="0056163C" w:rsidRDefault="000220F1">
            <w:pPr>
              <w:jc w:val="both"/>
            </w:pPr>
            <w:r>
              <w:t>For an overlapping combination of location and week, the tool retains the record from the most recently uploaded active file.</w:t>
            </w:r>
          </w:p>
        </w:tc>
      </w:tr>
      <w:tr w:rsidR="0056163C" w14:paraId="7B8DC3DF" w14:textId="77777777">
        <w:tc>
          <w:tcPr>
            <w:tcW w:w="3168" w:type="dxa"/>
          </w:tcPr>
          <w:p w14:paraId="7B8DC3DD" w14:textId="77777777" w:rsidR="0056163C" w:rsidRDefault="000220F1">
            <w:pPr>
              <w:jc w:val="both"/>
            </w:pPr>
            <w:r>
              <w:t>Keep oldest file information</w:t>
            </w:r>
          </w:p>
        </w:tc>
        <w:tc>
          <w:tcPr>
            <w:tcW w:w="6912" w:type="dxa"/>
          </w:tcPr>
          <w:p w14:paraId="7B8DC3DE" w14:textId="77777777" w:rsidR="0056163C" w:rsidRDefault="000220F1">
            <w:pPr>
              <w:jc w:val="both"/>
            </w:pPr>
            <w:r>
              <w:t>The tool retains the record from the earliest uploaded active file.</w:t>
            </w:r>
          </w:p>
        </w:tc>
      </w:tr>
      <w:tr w:rsidR="0056163C" w14:paraId="7B8DC3E2" w14:textId="77777777">
        <w:tc>
          <w:tcPr>
            <w:tcW w:w="3168" w:type="dxa"/>
          </w:tcPr>
          <w:p w14:paraId="7B8DC3E0" w14:textId="77777777" w:rsidR="0056163C" w:rsidRDefault="000220F1">
            <w:pPr>
              <w:jc w:val="both"/>
            </w:pPr>
            <w:r>
              <w:t>Add together (sum)</w:t>
            </w:r>
          </w:p>
        </w:tc>
        <w:tc>
          <w:tcPr>
            <w:tcW w:w="6912" w:type="dxa"/>
          </w:tcPr>
          <w:p w14:paraId="7B8DC3E1" w14:textId="77777777" w:rsidR="0056163C" w:rsidRDefault="000220F1">
            <w:pPr>
              <w:jc w:val="both"/>
            </w:pPr>
            <w:r>
              <w:t>The overlapping case counts are added together. Use this option only when the records represent complementary data, rather than duplicate exports of the same figures.</w:t>
            </w:r>
          </w:p>
        </w:tc>
      </w:tr>
    </w:tbl>
    <w:p w14:paraId="7B8DC3E3" w14:textId="77777777" w:rsidR="0056163C" w:rsidRDefault="0056163C">
      <w:pPr>
        <w:spacing w:before="60" w:after="160" w:line="288" w:lineRule="auto"/>
        <w:jc w:val="both"/>
        <w:rPr>
          <w:i/>
          <w:iCs/>
        </w:rPr>
      </w:pPr>
    </w:p>
    <w:p w14:paraId="7B8DC3E4" w14:textId="77777777" w:rsidR="0056163C" w:rsidRDefault="000220F1">
      <w:pPr>
        <w:spacing w:before="60" w:after="160" w:line="288" w:lineRule="auto"/>
        <w:jc w:val="both"/>
        <w:rPr>
          <w:i/>
          <w:iCs/>
        </w:rPr>
      </w:pPr>
      <w:r>
        <w:rPr>
          <w:i/>
          <w:iCs/>
        </w:rPr>
        <w:t>Data safety. File management and overlap resolution affect only the current analysis session. The original uploaded files are never modified.</w:t>
      </w:r>
    </w:p>
    <w:p w14:paraId="7B8DC3E5" w14:textId="77777777" w:rsidR="0056163C" w:rsidRDefault="000220F1">
      <w:pPr>
        <w:pStyle w:val="Ttulo1"/>
        <w:spacing w:before="120" w:after="120"/>
      </w:pPr>
      <w:r>
        <w:rPr>
          <w:noProof/>
        </w:rPr>
        <w:lastRenderedPageBreak/>
        <w:drawing>
          <wp:inline distT="0" distB="0" distL="0" distR="0" wp14:anchorId="7B8DC4DD" wp14:editId="7B8DC4DE">
            <wp:extent cx="6400800" cy="3418205"/>
            <wp:effectExtent l="0" t="0" r="0" b="0"/>
            <wp:docPr id="4" name="image1.png" descr="CUSUM1.png"/>
            <wp:cNvGraphicFramePr/>
            <a:graphic xmlns:a="http://schemas.openxmlformats.org/drawingml/2006/main">
              <a:graphicData uri="http://schemas.openxmlformats.org/drawingml/2006/picture">
                <pic:pic xmlns:pic="http://schemas.openxmlformats.org/drawingml/2006/picture">
                  <pic:nvPicPr>
                    <pic:cNvPr id="0" name="image1.png" descr="CUSUM1.png"/>
                    <pic:cNvPicPr preferRelativeResize="0"/>
                  </pic:nvPicPr>
                  <pic:blipFill>
                    <a:blip r:embed="rId9"/>
                    <a:srcRect/>
                    <a:stretch>
                      <a:fillRect/>
                    </a:stretch>
                  </pic:blipFill>
                  <pic:spPr>
                    <a:xfrm>
                      <a:off x="0" y="0"/>
                      <a:ext cx="6400800" cy="3418205"/>
                    </a:xfrm>
                    <a:prstGeom prst="rect">
                      <a:avLst/>
                    </a:prstGeom>
                    <a:ln/>
                  </pic:spPr>
                </pic:pic>
              </a:graphicData>
            </a:graphic>
          </wp:inline>
        </w:drawing>
      </w:r>
    </w:p>
    <w:p w14:paraId="7B8DC3E6" w14:textId="77777777" w:rsidR="0056163C" w:rsidRDefault="000220F1">
      <w:pPr>
        <w:spacing w:before="120" w:after="120"/>
      </w:pPr>
      <w:r>
        <w:t>Figure 1. Load data</w:t>
      </w:r>
    </w:p>
    <w:p w14:paraId="7B8DC3E7" w14:textId="77777777" w:rsidR="0056163C" w:rsidRDefault="0056163C"/>
    <w:p w14:paraId="7B8DC3E8" w14:textId="77777777" w:rsidR="0056163C" w:rsidRDefault="000220F1">
      <w:pPr>
        <w:pStyle w:val="Ttulo1"/>
        <w:spacing w:before="120" w:after="120"/>
      </w:pPr>
      <w:r>
        <w:t>3. Input data</w:t>
      </w:r>
    </w:p>
    <w:p w14:paraId="7B8DC3E9" w14:textId="77777777" w:rsidR="0056163C" w:rsidRDefault="000220F1">
      <w:pPr>
        <w:spacing w:before="60" w:after="160" w:line="288" w:lineRule="auto"/>
        <w:jc w:val="both"/>
      </w:pPr>
      <w:r>
        <w:t>Upload one or more CSV files. Both comma-delimited and semicolon-delimited files are supported. Each row should represent a single geographic unit in a single epidemiological week.</w:t>
      </w:r>
    </w:p>
    <w:p w14:paraId="7B8DC3EA" w14:textId="77777777" w:rsidR="0056163C" w:rsidRDefault="0056163C">
      <w:pPr>
        <w:spacing w:before="60" w:after="160" w:line="288" w:lineRule="auto"/>
        <w:jc w:val="both"/>
      </w:pPr>
    </w:p>
    <w:tbl>
      <w:tblPr>
        <w:tblStyle w:val="a1"/>
        <w:tblW w:w="97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28"/>
        <w:gridCol w:w="1708"/>
        <w:gridCol w:w="3168"/>
        <w:gridCol w:w="3168"/>
      </w:tblGrid>
      <w:tr w:rsidR="0056163C" w14:paraId="7B8DC3EF" w14:textId="77777777">
        <w:trPr>
          <w:tblHeader/>
        </w:trPr>
        <w:tc>
          <w:tcPr>
            <w:tcW w:w="1728" w:type="dxa"/>
          </w:tcPr>
          <w:p w14:paraId="7B8DC3EB" w14:textId="77777777" w:rsidR="0056163C" w:rsidRDefault="000220F1">
            <w:pPr>
              <w:jc w:val="both"/>
            </w:pPr>
            <w:r>
              <w:rPr>
                <w:b/>
                <w:bCs/>
              </w:rPr>
              <w:t>Internal column</w:t>
            </w:r>
          </w:p>
        </w:tc>
        <w:tc>
          <w:tcPr>
            <w:tcW w:w="1708" w:type="dxa"/>
          </w:tcPr>
          <w:p w14:paraId="7B8DC3EC" w14:textId="77777777" w:rsidR="0056163C" w:rsidRDefault="000220F1">
            <w:pPr>
              <w:jc w:val="both"/>
            </w:pPr>
            <w:r>
              <w:rPr>
                <w:b/>
                <w:bCs/>
              </w:rPr>
              <w:t>Required</w:t>
            </w:r>
          </w:p>
        </w:tc>
        <w:tc>
          <w:tcPr>
            <w:tcW w:w="3168" w:type="dxa"/>
          </w:tcPr>
          <w:p w14:paraId="7B8DC3ED" w14:textId="77777777" w:rsidR="0056163C" w:rsidRDefault="000220F1">
            <w:pPr>
              <w:jc w:val="both"/>
            </w:pPr>
            <w:r>
              <w:rPr>
                <w:b/>
                <w:bCs/>
              </w:rPr>
              <w:t>Meaning</w:t>
            </w:r>
          </w:p>
        </w:tc>
        <w:tc>
          <w:tcPr>
            <w:tcW w:w="3168" w:type="dxa"/>
          </w:tcPr>
          <w:p w14:paraId="7B8DC3EE" w14:textId="77777777" w:rsidR="0056163C" w:rsidRDefault="000220F1">
            <w:pPr>
              <w:jc w:val="both"/>
            </w:pPr>
            <w:r>
              <w:rPr>
                <w:b/>
                <w:bCs/>
              </w:rPr>
              <w:t>Accepted aliases or examples</w:t>
            </w:r>
          </w:p>
        </w:tc>
      </w:tr>
      <w:tr w:rsidR="0056163C" w14:paraId="7B8DC3F4" w14:textId="77777777">
        <w:tc>
          <w:tcPr>
            <w:tcW w:w="1728" w:type="dxa"/>
          </w:tcPr>
          <w:p w14:paraId="7B8DC3F0" w14:textId="77777777" w:rsidR="0056163C" w:rsidRDefault="000220F1">
            <w:pPr>
              <w:jc w:val="both"/>
            </w:pPr>
            <w:r>
              <w:t>year</w:t>
            </w:r>
          </w:p>
        </w:tc>
        <w:tc>
          <w:tcPr>
            <w:tcW w:w="1708" w:type="dxa"/>
          </w:tcPr>
          <w:p w14:paraId="7B8DC3F1" w14:textId="77777777" w:rsidR="0056163C" w:rsidRDefault="000220F1">
            <w:pPr>
              <w:jc w:val="both"/>
            </w:pPr>
            <w:r>
              <w:t>Yes</w:t>
            </w:r>
          </w:p>
        </w:tc>
        <w:tc>
          <w:tcPr>
            <w:tcW w:w="3168" w:type="dxa"/>
          </w:tcPr>
          <w:p w14:paraId="7B8DC3F2" w14:textId="77777777" w:rsidR="0056163C" w:rsidRDefault="000220F1">
            <w:pPr>
              <w:jc w:val="both"/>
            </w:pPr>
            <w:r>
              <w:t>The epidemiological year.</w:t>
            </w:r>
          </w:p>
        </w:tc>
        <w:tc>
          <w:tcPr>
            <w:tcW w:w="3168" w:type="dxa"/>
          </w:tcPr>
          <w:p w14:paraId="7B8DC3F3" w14:textId="77777777" w:rsidR="0056163C" w:rsidRDefault="000220F1">
            <w:pPr>
              <w:jc w:val="both"/>
            </w:pPr>
            <w:r>
              <w:t xml:space="preserve">year, </w:t>
            </w:r>
            <w:proofErr w:type="spellStart"/>
            <w:r>
              <w:t>anio</w:t>
            </w:r>
            <w:proofErr w:type="spellEnd"/>
            <w:r>
              <w:t xml:space="preserve">, </w:t>
            </w:r>
            <w:proofErr w:type="spellStart"/>
            <w:r>
              <w:t>año</w:t>
            </w:r>
            <w:proofErr w:type="spellEnd"/>
            <w:r>
              <w:t xml:space="preserve">, </w:t>
            </w:r>
            <w:proofErr w:type="spellStart"/>
            <w:r>
              <w:t>epiyear</w:t>
            </w:r>
            <w:proofErr w:type="spellEnd"/>
          </w:p>
        </w:tc>
      </w:tr>
      <w:tr w:rsidR="0056163C" w14:paraId="7B8DC3F9" w14:textId="77777777">
        <w:tc>
          <w:tcPr>
            <w:tcW w:w="1728" w:type="dxa"/>
          </w:tcPr>
          <w:p w14:paraId="7B8DC3F5" w14:textId="77777777" w:rsidR="0056163C" w:rsidRDefault="000220F1">
            <w:pPr>
              <w:jc w:val="both"/>
            </w:pPr>
            <w:r>
              <w:t>week</w:t>
            </w:r>
          </w:p>
        </w:tc>
        <w:tc>
          <w:tcPr>
            <w:tcW w:w="1708" w:type="dxa"/>
          </w:tcPr>
          <w:p w14:paraId="7B8DC3F6" w14:textId="77777777" w:rsidR="0056163C" w:rsidRDefault="000220F1">
            <w:pPr>
              <w:jc w:val="both"/>
            </w:pPr>
            <w:r>
              <w:t>Yes</w:t>
            </w:r>
          </w:p>
        </w:tc>
        <w:tc>
          <w:tcPr>
            <w:tcW w:w="3168" w:type="dxa"/>
          </w:tcPr>
          <w:p w14:paraId="7B8DC3F7" w14:textId="77777777" w:rsidR="0056163C" w:rsidRDefault="000220F1">
            <w:pPr>
              <w:jc w:val="both"/>
            </w:pPr>
            <w:r>
              <w:t>The epidemiological week, normally 1 to 53.</w:t>
            </w:r>
          </w:p>
        </w:tc>
        <w:tc>
          <w:tcPr>
            <w:tcW w:w="3168" w:type="dxa"/>
          </w:tcPr>
          <w:p w14:paraId="7B8DC3F8" w14:textId="77777777" w:rsidR="0056163C" w:rsidRDefault="000220F1">
            <w:pPr>
              <w:jc w:val="both"/>
            </w:pPr>
            <w:r>
              <w:t xml:space="preserve">week, </w:t>
            </w:r>
            <w:proofErr w:type="spellStart"/>
            <w:r>
              <w:t>semana</w:t>
            </w:r>
            <w:proofErr w:type="spellEnd"/>
            <w:r>
              <w:t xml:space="preserve">, </w:t>
            </w:r>
            <w:proofErr w:type="spellStart"/>
            <w:r>
              <w:t>epiweek</w:t>
            </w:r>
            <w:proofErr w:type="spellEnd"/>
            <w:r>
              <w:t>, se</w:t>
            </w:r>
          </w:p>
        </w:tc>
      </w:tr>
      <w:tr w:rsidR="0056163C" w14:paraId="7B8DC3FE" w14:textId="77777777">
        <w:tc>
          <w:tcPr>
            <w:tcW w:w="1728" w:type="dxa"/>
          </w:tcPr>
          <w:p w14:paraId="7B8DC3FA" w14:textId="77777777" w:rsidR="0056163C" w:rsidRDefault="000220F1">
            <w:pPr>
              <w:jc w:val="both"/>
            </w:pPr>
            <w:r>
              <w:t>country</w:t>
            </w:r>
          </w:p>
        </w:tc>
        <w:tc>
          <w:tcPr>
            <w:tcW w:w="1708" w:type="dxa"/>
          </w:tcPr>
          <w:p w14:paraId="7B8DC3FB" w14:textId="77777777" w:rsidR="0056163C" w:rsidRDefault="000220F1">
            <w:pPr>
              <w:jc w:val="both"/>
            </w:pPr>
            <w:r>
              <w:t>Recommended</w:t>
            </w:r>
          </w:p>
        </w:tc>
        <w:tc>
          <w:tcPr>
            <w:tcW w:w="3168" w:type="dxa"/>
          </w:tcPr>
          <w:p w14:paraId="7B8DC3FC" w14:textId="77777777" w:rsidR="0056163C" w:rsidRDefault="000220F1">
            <w:pPr>
              <w:jc w:val="both"/>
            </w:pPr>
            <w:r>
              <w:t>The country or national unit.</w:t>
            </w:r>
          </w:p>
        </w:tc>
        <w:tc>
          <w:tcPr>
            <w:tcW w:w="3168" w:type="dxa"/>
          </w:tcPr>
          <w:p w14:paraId="7B8DC3FD" w14:textId="77777777" w:rsidR="0056163C" w:rsidRDefault="000220F1">
            <w:pPr>
              <w:jc w:val="both"/>
            </w:pPr>
            <w:r>
              <w:t>Argentina</w:t>
            </w:r>
          </w:p>
        </w:tc>
      </w:tr>
      <w:tr w:rsidR="0056163C" w14:paraId="7B8DC403" w14:textId="77777777">
        <w:tc>
          <w:tcPr>
            <w:tcW w:w="1728" w:type="dxa"/>
          </w:tcPr>
          <w:p w14:paraId="7B8DC3FF" w14:textId="77777777" w:rsidR="0056163C" w:rsidRDefault="000220F1">
            <w:pPr>
              <w:jc w:val="both"/>
            </w:pPr>
            <w:r>
              <w:t>level1</w:t>
            </w:r>
          </w:p>
        </w:tc>
        <w:tc>
          <w:tcPr>
            <w:tcW w:w="1708" w:type="dxa"/>
          </w:tcPr>
          <w:p w14:paraId="7B8DC400" w14:textId="77777777" w:rsidR="0056163C" w:rsidRDefault="000220F1">
            <w:pPr>
              <w:jc w:val="both"/>
            </w:pPr>
            <w:r>
              <w:t>Depends on selected level</w:t>
            </w:r>
          </w:p>
        </w:tc>
        <w:tc>
          <w:tcPr>
            <w:tcW w:w="3168" w:type="dxa"/>
          </w:tcPr>
          <w:p w14:paraId="7B8DC401" w14:textId="77777777" w:rsidR="0056163C" w:rsidRDefault="000220F1">
            <w:pPr>
              <w:jc w:val="both"/>
            </w:pPr>
            <w:r>
              <w:t>The first administrative level.</w:t>
            </w:r>
          </w:p>
        </w:tc>
        <w:tc>
          <w:tcPr>
            <w:tcW w:w="3168" w:type="dxa"/>
          </w:tcPr>
          <w:p w14:paraId="7B8DC402" w14:textId="77777777" w:rsidR="0056163C" w:rsidRDefault="000220F1">
            <w:pPr>
              <w:jc w:val="both"/>
            </w:pPr>
            <w:r>
              <w:t>province, region, Level1</w:t>
            </w:r>
          </w:p>
        </w:tc>
      </w:tr>
      <w:tr w:rsidR="0056163C" w14:paraId="7B8DC408" w14:textId="77777777">
        <w:tc>
          <w:tcPr>
            <w:tcW w:w="1728" w:type="dxa"/>
          </w:tcPr>
          <w:p w14:paraId="7B8DC404" w14:textId="77777777" w:rsidR="0056163C" w:rsidRDefault="000220F1">
            <w:pPr>
              <w:jc w:val="both"/>
            </w:pPr>
            <w:r>
              <w:t>level2</w:t>
            </w:r>
          </w:p>
        </w:tc>
        <w:tc>
          <w:tcPr>
            <w:tcW w:w="1708" w:type="dxa"/>
          </w:tcPr>
          <w:p w14:paraId="7B8DC405" w14:textId="77777777" w:rsidR="0056163C" w:rsidRDefault="000220F1">
            <w:pPr>
              <w:jc w:val="both"/>
            </w:pPr>
            <w:r>
              <w:t>Depends on selected level</w:t>
            </w:r>
          </w:p>
        </w:tc>
        <w:tc>
          <w:tcPr>
            <w:tcW w:w="3168" w:type="dxa"/>
          </w:tcPr>
          <w:p w14:paraId="7B8DC406" w14:textId="77777777" w:rsidR="0056163C" w:rsidRDefault="000220F1">
            <w:pPr>
              <w:jc w:val="both"/>
            </w:pPr>
            <w:r>
              <w:t>The second administrative level.</w:t>
            </w:r>
          </w:p>
        </w:tc>
        <w:tc>
          <w:tcPr>
            <w:tcW w:w="3168" w:type="dxa"/>
          </w:tcPr>
          <w:p w14:paraId="7B8DC407" w14:textId="77777777" w:rsidR="0056163C" w:rsidRDefault="000220F1">
            <w:pPr>
              <w:jc w:val="both"/>
            </w:pPr>
            <w:r>
              <w:t>department, district, LAD, Level2</w:t>
            </w:r>
          </w:p>
        </w:tc>
      </w:tr>
      <w:tr w:rsidR="0056163C" w14:paraId="7B8DC40D" w14:textId="77777777">
        <w:tc>
          <w:tcPr>
            <w:tcW w:w="1728" w:type="dxa"/>
          </w:tcPr>
          <w:p w14:paraId="7B8DC409" w14:textId="77777777" w:rsidR="0056163C" w:rsidRDefault="000220F1">
            <w:pPr>
              <w:jc w:val="both"/>
            </w:pPr>
            <w:r>
              <w:t>level3 / level4</w:t>
            </w:r>
          </w:p>
        </w:tc>
        <w:tc>
          <w:tcPr>
            <w:tcW w:w="1708" w:type="dxa"/>
          </w:tcPr>
          <w:p w14:paraId="7B8DC40A" w14:textId="77777777" w:rsidR="0056163C" w:rsidRDefault="000220F1">
            <w:pPr>
              <w:jc w:val="both"/>
            </w:pPr>
            <w:r>
              <w:t>Depends on selected level</w:t>
            </w:r>
          </w:p>
        </w:tc>
        <w:tc>
          <w:tcPr>
            <w:tcW w:w="3168" w:type="dxa"/>
          </w:tcPr>
          <w:p w14:paraId="7B8DC40B" w14:textId="77777777" w:rsidR="0056163C" w:rsidRDefault="000220F1">
            <w:pPr>
              <w:jc w:val="both"/>
            </w:pPr>
            <w:r>
              <w:t>More detailed administrative levels.</w:t>
            </w:r>
          </w:p>
        </w:tc>
        <w:tc>
          <w:tcPr>
            <w:tcW w:w="3168" w:type="dxa"/>
          </w:tcPr>
          <w:p w14:paraId="7B8DC40C" w14:textId="77777777" w:rsidR="0056163C" w:rsidRDefault="000220F1">
            <w:pPr>
              <w:jc w:val="both"/>
            </w:pPr>
            <w:r>
              <w:t>fraction, MSOA, Level3</w:t>
            </w:r>
          </w:p>
        </w:tc>
      </w:tr>
      <w:tr w:rsidR="0056163C" w14:paraId="7B8DC412" w14:textId="77777777">
        <w:tc>
          <w:tcPr>
            <w:tcW w:w="1728" w:type="dxa"/>
          </w:tcPr>
          <w:p w14:paraId="7B8DC40E" w14:textId="77777777" w:rsidR="0056163C" w:rsidRDefault="000220F1">
            <w:pPr>
              <w:jc w:val="both"/>
            </w:pPr>
            <w:proofErr w:type="spellStart"/>
            <w:r>
              <w:t>n_cases</w:t>
            </w:r>
            <w:proofErr w:type="spellEnd"/>
          </w:p>
        </w:tc>
        <w:tc>
          <w:tcPr>
            <w:tcW w:w="1708" w:type="dxa"/>
          </w:tcPr>
          <w:p w14:paraId="7B8DC40F" w14:textId="77777777" w:rsidR="0056163C" w:rsidRDefault="000220F1">
            <w:pPr>
              <w:jc w:val="both"/>
            </w:pPr>
            <w:r>
              <w:t>Yes</w:t>
            </w:r>
          </w:p>
        </w:tc>
        <w:tc>
          <w:tcPr>
            <w:tcW w:w="3168" w:type="dxa"/>
          </w:tcPr>
          <w:p w14:paraId="7B8DC410" w14:textId="77777777" w:rsidR="0056163C" w:rsidRDefault="000220F1">
            <w:pPr>
              <w:jc w:val="both"/>
            </w:pPr>
            <w:r>
              <w:t>The observed weekly case or event count.</w:t>
            </w:r>
          </w:p>
        </w:tc>
        <w:tc>
          <w:tcPr>
            <w:tcW w:w="3168" w:type="dxa"/>
          </w:tcPr>
          <w:p w14:paraId="7B8DC411" w14:textId="77777777" w:rsidR="0056163C" w:rsidRDefault="000220F1">
            <w:pPr>
              <w:jc w:val="both"/>
            </w:pPr>
            <w:proofErr w:type="spellStart"/>
            <w:r>
              <w:t>n_cases</w:t>
            </w:r>
            <w:proofErr w:type="spellEnd"/>
            <w:r>
              <w:t xml:space="preserve">, cases, </w:t>
            </w:r>
            <w:proofErr w:type="spellStart"/>
            <w:r>
              <w:t>case_count</w:t>
            </w:r>
            <w:proofErr w:type="spellEnd"/>
            <w:r>
              <w:t>, count, n</w:t>
            </w:r>
          </w:p>
        </w:tc>
      </w:tr>
      <w:tr w:rsidR="0056163C" w14:paraId="7B8DC417" w14:textId="77777777">
        <w:tc>
          <w:tcPr>
            <w:tcW w:w="1728" w:type="dxa"/>
          </w:tcPr>
          <w:p w14:paraId="7B8DC413" w14:textId="77777777" w:rsidR="0056163C" w:rsidRDefault="000220F1">
            <w:pPr>
              <w:jc w:val="both"/>
            </w:pPr>
            <w:r>
              <w:t>population</w:t>
            </w:r>
          </w:p>
        </w:tc>
        <w:tc>
          <w:tcPr>
            <w:tcW w:w="1708" w:type="dxa"/>
          </w:tcPr>
          <w:p w14:paraId="7B8DC414" w14:textId="77777777" w:rsidR="0056163C" w:rsidRDefault="000220F1">
            <w:pPr>
              <w:jc w:val="both"/>
            </w:pPr>
            <w:r>
              <w:t>Optional</w:t>
            </w:r>
          </w:p>
        </w:tc>
        <w:tc>
          <w:tcPr>
            <w:tcW w:w="3168" w:type="dxa"/>
          </w:tcPr>
          <w:p w14:paraId="7B8DC415" w14:textId="77777777" w:rsidR="0056163C" w:rsidRDefault="000220F1">
            <w:pPr>
              <w:jc w:val="both"/>
            </w:pPr>
            <w:r>
              <w:t>Not required by the current count-based CUSUM calculation.</w:t>
            </w:r>
          </w:p>
        </w:tc>
        <w:tc>
          <w:tcPr>
            <w:tcW w:w="3168" w:type="dxa"/>
          </w:tcPr>
          <w:p w14:paraId="7B8DC416" w14:textId="77777777" w:rsidR="0056163C" w:rsidRDefault="000220F1">
            <w:pPr>
              <w:jc w:val="both"/>
            </w:pPr>
            <w:r>
              <w:t>population, pop, denominator</w:t>
            </w:r>
          </w:p>
        </w:tc>
      </w:tr>
    </w:tbl>
    <w:p w14:paraId="7B8DC418" w14:textId="77777777" w:rsidR="0056163C" w:rsidRDefault="0056163C">
      <w:pPr>
        <w:spacing w:before="60" w:after="160" w:line="288" w:lineRule="auto"/>
        <w:jc w:val="both"/>
        <w:rPr>
          <w:b/>
          <w:bCs/>
        </w:rPr>
      </w:pPr>
    </w:p>
    <w:p w14:paraId="7B8DC419" w14:textId="77777777" w:rsidR="0056163C" w:rsidRDefault="000220F1">
      <w:pPr>
        <w:spacing w:before="60" w:after="160" w:line="288" w:lineRule="auto"/>
        <w:jc w:val="both"/>
      </w:pPr>
      <w:r>
        <w:rPr>
          <w:b/>
          <w:bCs/>
        </w:rPr>
        <w:t>Multiple uploaded files</w:t>
      </w:r>
    </w:p>
    <w:p w14:paraId="7B8DC41A" w14:textId="77777777" w:rsidR="0056163C" w:rsidRDefault="000220F1">
      <w:pPr>
        <w:spacing w:before="60" w:after="160" w:line="288" w:lineRule="auto"/>
        <w:jc w:val="both"/>
      </w:pPr>
      <w:r>
        <w:t>All newly uploaded files are active by default. Use Manage files to include or exclude individual files, to remove inactive files or to clear the session entirely.</w:t>
      </w:r>
    </w:p>
    <w:p w14:paraId="7B8DC41B" w14:textId="77777777" w:rsidR="0056163C" w:rsidRDefault="0056163C">
      <w:pPr>
        <w:spacing w:before="60" w:after="160" w:line="288" w:lineRule="auto"/>
        <w:jc w:val="both"/>
      </w:pPr>
    </w:p>
    <w:p w14:paraId="7B8DC41C" w14:textId="77777777" w:rsidR="0056163C" w:rsidRDefault="000220F1">
      <w:pPr>
        <w:pStyle w:val="Ttulo1"/>
        <w:spacing w:before="120" w:after="120"/>
      </w:pPr>
      <w:r>
        <w:t>4. Configure the analysis</w:t>
      </w:r>
    </w:p>
    <w:p w14:paraId="7B8DC41D" w14:textId="77777777" w:rsidR="0056163C" w:rsidRDefault="000220F1">
      <w:pPr>
        <w:spacing w:before="60" w:after="160" w:line="288" w:lineRule="auto"/>
      </w:pPr>
      <w:r>
        <w:t>Once the files are loaded, use the left-hand sidebar to set the analysis options, and then select Run Analysis to start the calculation.</w:t>
      </w:r>
    </w:p>
    <w:p w14:paraId="7B8DC41E" w14:textId="77777777" w:rsidR="0056163C" w:rsidRDefault="0056163C">
      <w:pPr>
        <w:spacing w:before="60" w:after="160" w:line="288" w:lineRule="auto"/>
      </w:pPr>
    </w:p>
    <w:tbl>
      <w:tblPr>
        <w:tblStyle w:val="a2"/>
        <w:tblW w:w="1008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68"/>
        <w:gridCol w:w="6912"/>
      </w:tblGrid>
      <w:tr w:rsidR="0056163C" w14:paraId="7B8DC421" w14:textId="77777777">
        <w:trPr>
          <w:tblHeader/>
        </w:trPr>
        <w:tc>
          <w:tcPr>
            <w:tcW w:w="3168" w:type="dxa"/>
          </w:tcPr>
          <w:p w14:paraId="7B8DC41F" w14:textId="77777777" w:rsidR="0056163C" w:rsidRDefault="000220F1">
            <w:r>
              <w:rPr>
                <w:b/>
                <w:bCs/>
              </w:rPr>
              <w:t>Control</w:t>
            </w:r>
          </w:p>
        </w:tc>
        <w:tc>
          <w:tcPr>
            <w:tcW w:w="6912" w:type="dxa"/>
          </w:tcPr>
          <w:p w14:paraId="7B8DC420" w14:textId="77777777" w:rsidR="0056163C" w:rsidRDefault="000220F1">
            <w:r>
              <w:rPr>
                <w:b/>
                <w:bCs/>
              </w:rPr>
              <w:t xml:space="preserve">Current </w:t>
            </w:r>
            <w:proofErr w:type="spellStart"/>
            <w:r>
              <w:rPr>
                <w:b/>
                <w:bCs/>
              </w:rPr>
              <w:t>behaviour</w:t>
            </w:r>
            <w:proofErr w:type="spellEnd"/>
          </w:p>
        </w:tc>
      </w:tr>
      <w:tr w:rsidR="0056163C" w14:paraId="7B8DC424" w14:textId="77777777">
        <w:tc>
          <w:tcPr>
            <w:tcW w:w="3168" w:type="dxa"/>
          </w:tcPr>
          <w:p w14:paraId="7B8DC422" w14:textId="77777777" w:rsidR="0056163C" w:rsidRDefault="000220F1">
            <w:r>
              <w:t>Geographic level</w:t>
            </w:r>
          </w:p>
        </w:tc>
        <w:tc>
          <w:tcPr>
            <w:tcW w:w="6912" w:type="dxa"/>
          </w:tcPr>
          <w:p w14:paraId="7B8DC423" w14:textId="77777777" w:rsidR="0056163C" w:rsidRDefault="000220F1">
            <w:r>
              <w:t xml:space="preserve">Defines the administrative level at which the data are grouped </w:t>
            </w:r>
            <w:proofErr w:type="gramStart"/>
            <w:r>
              <w:t>in order to</w:t>
            </w:r>
            <w:proofErr w:type="gramEnd"/>
            <w:r>
              <w:t xml:space="preserve"> build the independent analysis units. The CUSUM procedure is then run separately for each unit at this level.</w:t>
            </w:r>
          </w:p>
        </w:tc>
      </w:tr>
      <w:tr w:rsidR="0056163C" w14:paraId="7B8DC427" w14:textId="77777777">
        <w:tc>
          <w:tcPr>
            <w:tcW w:w="3168" w:type="dxa"/>
          </w:tcPr>
          <w:p w14:paraId="7B8DC425" w14:textId="77777777" w:rsidR="0056163C" w:rsidRDefault="000220F1">
            <w:r>
              <w:t>Locations</w:t>
            </w:r>
          </w:p>
        </w:tc>
        <w:tc>
          <w:tcPr>
            <w:tcW w:w="6912" w:type="dxa"/>
          </w:tcPr>
          <w:p w14:paraId="7B8DC426" w14:textId="77777777" w:rsidR="0056163C" w:rsidRDefault="000220F1">
            <w:r>
              <w:t>Restricts the analysis to a chosen subset of units. If no location is selected, the tool includes every unit available at the chosen geographic level.</w:t>
            </w:r>
          </w:p>
        </w:tc>
      </w:tr>
      <w:tr w:rsidR="0056163C" w14:paraId="7B8DC42A" w14:textId="77777777">
        <w:tc>
          <w:tcPr>
            <w:tcW w:w="3168" w:type="dxa"/>
          </w:tcPr>
          <w:p w14:paraId="7B8DC428" w14:textId="77777777" w:rsidR="0056163C" w:rsidRDefault="000220F1">
            <w:r>
              <w:t>Detection period (weeks)</w:t>
            </w:r>
          </w:p>
        </w:tc>
        <w:tc>
          <w:tcPr>
            <w:tcW w:w="6912" w:type="dxa"/>
          </w:tcPr>
          <w:p w14:paraId="7B8DC429" w14:textId="77777777" w:rsidR="0056163C" w:rsidRDefault="000220F1">
            <w:r>
              <w:t>Sets the recent weekly window that the analysis examines for alarms. The interface accepts values from 4 to 260 weeks, with a default of 52. Regardless of the value chosen, the coverage validation currently requires at least the larger of this value and 52 prepared weeks of data.</w:t>
            </w:r>
          </w:p>
        </w:tc>
      </w:tr>
      <w:tr w:rsidR="0056163C" w14:paraId="7B8DC42D" w14:textId="77777777">
        <w:tc>
          <w:tcPr>
            <w:tcW w:w="3168" w:type="dxa"/>
          </w:tcPr>
          <w:p w14:paraId="7B8DC42B" w14:textId="77777777" w:rsidR="0056163C" w:rsidRDefault="000220F1">
            <w:r>
              <w:t>Automatic expected frequency</w:t>
            </w:r>
          </w:p>
        </w:tc>
        <w:tc>
          <w:tcPr>
            <w:tcW w:w="6912" w:type="dxa"/>
          </w:tcPr>
          <w:p w14:paraId="7B8DC42C" w14:textId="77777777" w:rsidR="0056163C" w:rsidRDefault="000220F1">
            <w:r>
              <w:t>Estimates the expected weekly count separately for each analysis unit, using the current Poisson-model workflow. Choose this option when you want the tool to derive the baseline from the data themselves.</w:t>
            </w:r>
          </w:p>
        </w:tc>
      </w:tr>
      <w:tr w:rsidR="0056163C" w14:paraId="7B8DC430" w14:textId="77777777">
        <w:tc>
          <w:tcPr>
            <w:tcW w:w="3168" w:type="dxa"/>
          </w:tcPr>
          <w:p w14:paraId="7B8DC42E" w14:textId="77777777" w:rsidR="0056163C" w:rsidRDefault="000220F1">
            <w:r>
              <w:t>Manual expected frequency (mu0)</w:t>
            </w:r>
          </w:p>
        </w:tc>
        <w:tc>
          <w:tcPr>
            <w:tcW w:w="6912" w:type="dxa"/>
          </w:tcPr>
          <w:p w14:paraId="7B8DC42F" w14:textId="77777777" w:rsidR="0056163C" w:rsidRDefault="000220F1">
            <w:proofErr w:type="gramStart"/>
            <w:r>
              <w:t>Uses</w:t>
            </w:r>
            <w:proofErr w:type="gramEnd"/>
            <w:r>
              <w:t xml:space="preserve"> a fixed expected weekly count that you enter yourself, instead of estimating it from the data. The value must be a case count per unit and per week, not a prevalence rate.</w:t>
            </w:r>
          </w:p>
        </w:tc>
      </w:tr>
      <w:tr w:rsidR="0056163C" w14:paraId="7B8DC433" w14:textId="77777777">
        <w:tc>
          <w:tcPr>
            <w:tcW w:w="3168" w:type="dxa"/>
          </w:tcPr>
          <w:p w14:paraId="7B8DC431" w14:textId="77777777" w:rsidR="0056163C" w:rsidRDefault="000220F1">
            <w:r>
              <w:t>Target ARL0</w:t>
            </w:r>
          </w:p>
        </w:tc>
        <w:tc>
          <w:tcPr>
            <w:tcW w:w="6912" w:type="dxa"/>
          </w:tcPr>
          <w:p w14:paraId="7B8DC432" w14:textId="77777777" w:rsidR="0056163C" w:rsidRDefault="000220F1">
            <w:r>
              <w:t>Sets the target Average Run Length under the in-control state: that is, the expected number of weeks before a false alarm occurs when there is no real increase in cases. A higher target makes false alarms rarer, at the cost of slower detection.</w:t>
            </w:r>
          </w:p>
        </w:tc>
      </w:tr>
      <w:tr w:rsidR="0056163C" w14:paraId="7B8DC436" w14:textId="77777777">
        <w:tc>
          <w:tcPr>
            <w:tcW w:w="3168" w:type="dxa"/>
          </w:tcPr>
          <w:p w14:paraId="7B8DC434" w14:textId="77777777" w:rsidR="0056163C" w:rsidRDefault="000220F1">
            <w:r>
              <w:t>Relative risk (RR)</w:t>
            </w:r>
          </w:p>
        </w:tc>
        <w:tc>
          <w:tcPr>
            <w:tcW w:w="6912" w:type="dxa"/>
          </w:tcPr>
          <w:p w14:paraId="7B8DC435" w14:textId="77777777" w:rsidR="0056163C" w:rsidRDefault="000220F1">
            <w:r>
              <w:t>Specifies the size of the increase that the CUSUM is intended to detect. Together with the expected count, it determines the reference value k.</w:t>
            </w:r>
          </w:p>
        </w:tc>
      </w:tr>
      <w:tr w:rsidR="0056163C" w14:paraId="7B8DC439" w14:textId="77777777">
        <w:trPr>
          <w:trHeight w:val="386"/>
        </w:trPr>
        <w:tc>
          <w:tcPr>
            <w:tcW w:w="3168" w:type="dxa"/>
          </w:tcPr>
          <w:p w14:paraId="7B8DC437" w14:textId="77777777" w:rsidR="0056163C" w:rsidRDefault="000220F1">
            <w:r>
              <w:t>Calculated k</w:t>
            </w:r>
          </w:p>
        </w:tc>
        <w:tc>
          <w:tcPr>
            <w:tcW w:w="6912" w:type="dxa"/>
          </w:tcPr>
          <w:p w14:paraId="7B8DC438" w14:textId="77777777" w:rsidR="0056163C" w:rsidRDefault="000220F1">
            <w:r>
              <w:t xml:space="preserve">The reference value used by the procedure, shown by the app for transparency. It is calculated automatically from the relative risk and the expected </w:t>
            </w:r>
            <w:proofErr w:type="gramStart"/>
            <w:r>
              <w:t>count, and</w:t>
            </w:r>
            <w:proofErr w:type="gramEnd"/>
            <w:r>
              <w:t xml:space="preserve"> is not entered directly.</w:t>
            </w:r>
          </w:p>
        </w:tc>
      </w:tr>
      <w:tr w:rsidR="0056163C" w14:paraId="7B8DC43C" w14:textId="77777777">
        <w:tc>
          <w:tcPr>
            <w:tcW w:w="3168" w:type="dxa"/>
          </w:tcPr>
          <w:p w14:paraId="7B8DC43A" w14:textId="77777777" w:rsidR="0056163C" w:rsidRDefault="000220F1">
            <w:r>
              <w:t>h threshold</w:t>
            </w:r>
          </w:p>
        </w:tc>
        <w:tc>
          <w:tcPr>
            <w:tcW w:w="6912" w:type="dxa"/>
          </w:tcPr>
          <w:p w14:paraId="7B8DC43B" w14:textId="77777777" w:rsidR="0056163C" w:rsidRDefault="000220F1">
            <w:r>
              <w:t xml:space="preserve">The decision threshold that the cumulative </w:t>
            </w:r>
            <w:proofErr w:type="gramStart"/>
            <w:r>
              <w:t>statistic</w:t>
            </w:r>
            <w:proofErr w:type="gramEnd"/>
            <w:r>
              <w:t xml:space="preserve"> must reach </w:t>
            </w:r>
            <w:proofErr w:type="gramStart"/>
            <w:r>
              <w:t>in order to</w:t>
            </w:r>
            <w:proofErr w:type="gramEnd"/>
            <w:r>
              <w:t xml:space="preserve"> raise an alarm. A larger value generally produces fewer alarms and slower detection.</w:t>
            </w:r>
          </w:p>
        </w:tc>
      </w:tr>
    </w:tbl>
    <w:p w14:paraId="7B8DC43D" w14:textId="77777777" w:rsidR="0056163C" w:rsidRDefault="0056163C">
      <w:pPr>
        <w:spacing w:before="60" w:after="160" w:line="288" w:lineRule="auto"/>
        <w:rPr>
          <w:i/>
          <w:iCs/>
        </w:rPr>
      </w:pPr>
    </w:p>
    <w:p w14:paraId="7B8DC43E" w14:textId="77777777" w:rsidR="0056163C" w:rsidRDefault="000220F1">
      <w:pPr>
        <w:spacing w:before="60" w:after="160" w:line="288" w:lineRule="auto"/>
      </w:pPr>
      <w:r>
        <w:rPr>
          <w:i/>
          <w:iCs/>
        </w:rPr>
        <w:lastRenderedPageBreak/>
        <w:t>Coverage validation. Missing combinations of location and week can be filled with zero cases in the prepared dataset, but the tool checks the observed coverage first. It stops when the available time span is too short, or when too large a proportion of the series would have to be inferred.</w:t>
      </w:r>
    </w:p>
    <w:p w14:paraId="7B8DC43F" w14:textId="77777777" w:rsidR="0056163C" w:rsidRDefault="0056163C">
      <w:pPr>
        <w:pStyle w:val="Ttulo1"/>
        <w:spacing w:before="120" w:after="120"/>
      </w:pPr>
    </w:p>
    <w:p w14:paraId="7B8DC440" w14:textId="77777777" w:rsidR="0056163C" w:rsidRDefault="000220F1">
      <w:pPr>
        <w:pStyle w:val="Ttulo1"/>
        <w:spacing w:before="120" w:after="120"/>
      </w:pPr>
      <w:r>
        <w:t xml:space="preserve">5. </w:t>
      </w:r>
      <w:proofErr w:type="gramStart"/>
      <w:r>
        <w:t>Review</w:t>
      </w:r>
      <w:proofErr w:type="gramEnd"/>
      <w:r>
        <w:t xml:space="preserve"> the outputs</w:t>
      </w:r>
    </w:p>
    <w:p w14:paraId="7B8DC441" w14:textId="77777777" w:rsidR="0056163C" w:rsidRDefault="0056163C">
      <w:pPr>
        <w:spacing w:before="60" w:after="160" w:line="288" w:lineRule="auto"/>
      </w:pPr>
    </w:p>
    <w:p w14:paraId="7B8DC442" w14:textId="77777777" w:rsidR="0056163C" w:rsidRDefault="000220F1">
      <w:pPr>
        <w:spacing w:before="240" w:after="240" w:line="288" w:lineRule="auto"/>
      </w:pPr>
      <w:r>
        <w:t>Once the analysis is complete, review the outputs through the main tabs in the application.</w:t>
      </w:r>
    </w:p>
    <w:p w14:paraId="7B8DC443" w14:textId="77777777" w:rsidR="0056163C" w:rsidRDefault="000220F1">
      <w:pPr>
        <w:spacing w:before="240" w:after="240" w:line="288" w:lineRule="auto"/>
        <w:rPr>
          <w:b/>
          <w:bCs/>
        </w:rPr>
      </w:pPr>
      <w:r>
        <w:rPr>
          <w:b/>
          <w:bCs/>
        </w:rPr>
        <w:t>Overview</w:t>
      </w:r>
    </w:p>
    <w:p w14:paraId="7B8DC444" w14:textId="77777777" w:rsidR="0056163C" w:rsidRDefault="000220F1">
      <w:pPr>
        <w:spacing w:before="240" w:after="240" w:line="288" w:lineRule="auto"/>
      </w:pPr>
      <w:r>
        <w:t xml:space="preserve">The Overview heatmap </w:t>
      </w:r>
      <w:proofErr w:type="spellStart"/>
      <w:r>
        <w:t>summarises</w:t>
      </w:r>
      <w:proofErr w:type="spellEnd"/>
      <w:r>
        <w:t xml:space="preserve"> the alarms across all locations and recent weeks, so that you can see </w:t>
      </w:r>
      <w:proofErr w:type="gramStart"/>
      <w:r>
        <w:t>at a glance</w:t>
      </w:r>
      <w:proofErr w:type="gramEnd"/>
      <w:r>
        <w:t xml:space="preserve"> where and when the CUSUM crossed its threshold</w:t>
      </w:r>
      <w:r>
        <w:rPr>
          <w:b/>
          <w:bCs/>
        </w:rPr>
        <w:t>.</w:t>
      </w:r>
      <w:r>
        <w:t xml:space="preserve"> The detection period controls the range of weeks displayed for alarm monitoring.</w:t>
      </w:r>
    </w:p>
    <w:p w14:paraId="7B8DC445" w14:textId="77777777" w:rsidR="0056163C" w:rsidRDefault="0056163C">
      <w:pPr>
        <w:spacing w:before="60" w:after="160" w:line="288" w:lineRule="auto"/>
      </w:pPr>
    </w:p>
    <w:p w14:paraId="7B8DC446" w14:textId="77777777" w:rsidR="0056163C" w:rsidRDefault="000220F1">
      <w:pPr>
        <w:spacing w:before="60" w:after="160" w:line="288" w:lineRule="auto"/>
        <w:rPr>
          <w:i/>
          <w:iCs/>
          <w:highlight w:val="yellow"/>
        </w:rPr>
      </w:pPr>
      <w:r>
        <w:rPr>
          <w:i/>
          <w:iCs/>
          <w:noProof/>
        </w:rPr>
        <w:drawing>
          <wp:inline distT="0" distB="0" distL="0" distR="0" wp14:anchorId="7B8DC4DF" wp14:editId="7B8DC4E0">
            <wp:extent cx="6400800" cy="3418205"/>
            <wp:effectExtent l="0" t="0" r="0" b="0"/>
            <wp:docPr id="3" name="image7.png" descr="CUSUM2.png"/>
            <wp:cNvGraphicFramePr/>
            <a:graphic xmlns:a="http://schemas.openxmlformats.org/drawingml/2006/main">
              <a:graphicData uri="http://schemas.openxmlformats.org/drawingml/2006/picture">
                <pic:pic xmlns:pic="http://schemas.openxmlformats.org/drawingml/2006/picture">
                  <pic:nvPicPr>
                    <pic:cNvPr id="0" name="image7.png" descr="CUSUM2.png"/>
                    <pic:cNvPicPr preferRelativeResize="0"/>
                  </pic:nvPicPr>
                  <pic:blipFill>
                    <a:blip r:embed="rId10"/>
                    <a:srcRect/>
                    <a:stretch>
                      <a:fillRect/>
                    </a:stretch>
                  </pic:blipFill>
                  <pic:spPr>
                    <a:xfrm>
                      <a:off x="0" y="0"/>
                      <a:ext cx="6400800" cy="3418205"/>
                    </a:xfrm>
                    <a:prstGeom prst="rect">
                      <a:avLst/>
                    </a:prstGeom>
                    <a:ln/>
                  </pic:spPr>
                </pic:pic>
              </a:graphicData>
            </a:graphic>
          </wp:inline>
        </w:drawing>
      </w:r>
    </w:p>
    <w:p w14:paraId="7B8DC447" w14:textId="77777777" w:rsidR="0056163C" w:rsidRDefault="000220F1">
      <w:pPr>
        <w:spacing w:before="60" w:after="160" w:line="288" w:lineRule="auto"/>
        <w:rPr>
          <w:b/>
          <w:bCs/>
          <w:sz w:val="20"/>
          <w:szCs w:val="20"/>
        </w:rPr>
      </w:pPr>
      <w:r>
        <w:rPr>
          <w:sz w:val="20"/>
          <w:szCs w:val="20"/>
        </w:rPr>
        <w:t>Figure 2. Outputs overview.</w:t>
      </w:r>
    </w:p>
    <w:p w14:paraId="7B8DC448" w14:textId="77777777" w:rsidR="0056163C" w:rsidRDefault="0056163C">
      <w:pPr>
        <w:spacing w:before="60" w:after="160" w:line="288" w:lineRule="auto"/>
        <w:rPr>
          <w:b/>
          <w:bCs/>
        </w:rPr>
      </w:pPr>
    </w:p>
    <w:p w14:paraId="7B8DC449" w14:textId="77777777" w:rsidR="0056163C" w:rsidRDefault="000220F1">
      <w:pPr>
        <w:spacing w:before="60" w:after="160" w:line="288" w:lineRule="auto"/>
      </w:pPr>
      <w:r>
        <w:rPr>
          <w:b/>
          <w:bCs/>
        </w:rPr>
        <w:t>Detailed View</w:t>
      </w:r>
    </w:p>
    <w:p w14:paraId="7B8DC44A" w14:textId="77777777" w:rsidR="0056163C" w:rsidRDefault="000220F1">
      <w:pPr>
        <w:spacing w:before="240" w:after="240"/>
      </w:pPr>
      <w:r>
        <w:lastRenderedPageBreak/>
        <w:t xml:space="preserve">Select a single location using </w:t>
      </w:r>
      <w:proofErr w:type="gramStart"/>
      <w:r>
        <w:t>the hierarchical</w:t>
      </w:r>
      <w:proofErr w:type="gramEnd"/>
      <w:r>
        <w:t xml:space="preserve"> selectors. The summary card then reports the details of that location: the current administrative selection, the analysis level, the number of weeks </w:t>
      </w:r>
      <w:proofErr w:type="spellStart"/>
      <w:r>
        <w:t>analysed</w:t>
      </w:r>
      <w:proofErr w:type="spellEnd"/>
      <w:r>
        <w:t>, the date range, the population where available, whether any alarms occurred and the most recent alarm week.</w:t>
      </w:r>
    </w:p>
    <w:p w14:paraId="7B8DC44B" w14:textId="77777777" w:rsidR="0056163C" w:rsidRDefault="000220F1">
      <w:pPr>
        <w:numPr>
          <w:ilvl w:val="0"/>
          <w:numId w:val="3"/>
        </w:numPr>
        <w:spacing w:before="240" w:after="0"/>
      </w:pPr>
      <w:r>
        <w:t xml:space="preserve">Observed series </w:t>
      </w:r>
      <w:proofErr w:type="gramStart"/>
      <w:r>
        <w:t>plot:</w:t>
      </w:r>
      <w:proofErr w:type="gramEnd"/>
      <w:r>
        <w:t xml:space="preserve"> compares the observed weekly values with the expected baseline.</w:t>
      </w:r>
    </w:p>
    <w:p w14:paraId="7B8DC44C" w14:textId="77777777" w:rsidR="0056163C" w:rsidRDefault="000220F1">
      <w:pPr>
        <w:numPr>
          <w:ilvl w:val="0"/>
          <w:numId w:val="3"/>
        </w:numPr>
        <w:spacing w:after="0"/>
      </w:pPr>
      <w:r>
        <w:t xml:space="preserve">CUSUM process </w:t>
      </w:r>
      <w:proofErr w:type="gramStart"/>
      <w:r>
        <w:t>plot:</w:t>
      </w:r>
      <w:proofErr w:type="gramEnd"/>
      <w:r>
        <w:t xml:space="preserve"> displays the cumulative statistic and the threshold over time.</w:t>
      </w:r>
    </w:p>
    <w:p w14:paraId="7B8DC44D" w14:textId="77777777" w:rsidR="0056163C" w:rsidRDefault="000220F1">
      <w:pPr>
        <w:numPr>
          <w:ilvl w:val="0"/>
          <w:numId w:val="3"/>
        </w:numPr>
        <w:spacing w:after="240"/>
      </w:pPr>
      <w:r>
        <w:t>The Download Bar Plot and Download Trends buttons export the selected plots once results are available.</w:t>
      </w:r>
    </w:p>
    <w:p w14:paraId="7B8DC44E" w14:textId="77777777" w:rsidR="0056163C" w:rsidRDefault="0056163C">
      <w:pPr>
        <w:spacing w:after="80"/>
        <w:ind w:left="360" w:hanging="288"/>
      </w:pPr>
    </w:p>
    <w:p w14:paraId="7B8DC44F" w14:textId="77777777" w:rsidR="0056163C" w:rsidRDefault="0056163C">
      <w:pPr>
        <w:spacing w:before="60" w:after="160" w:line="288" w:lineRule="auto"/>
        <w:rPr>
          <w:b/>
          <w:bCs/>
        </w:rPr>
      </w:pPr>
    </w:p>
    <w:p w14:paraId="7B8DC450" w14:textId="77777777" w:rsidR="0056163C" w:rsidRDefault="000220F1">
      <w:pPr>
        <w:spacing w:before="60" w:after="160" w:line="288" w:lineRule="auto"/>
        <w:rPr>
          <w:b/>
          <w:bCs/>
        </w:rPr>
      </w:pPr>
      <w:r>
        <w:rPr>
          <w:b/>
          <w:bCs/>
          <w:noProof/>
        </w:rPr>
        <w:drawing>
          <wp:inline distT="0" distB="0" distL="0" distR="0" wp14:anchorId="7B8DC4E1" wp14:editId="7B8DC4E2">
            <wp:extent cx="6400800" cy="3472815"/>
            <wp:effectExtent l="0" t="0" r="0" b="0"/>
            <wp:docPr id="6" name="image5.png" descr="CUSUM3.png"/>
            <wp:cNvGraphicFramePr/>
            <a:graphic xmlns:a="http://schemas.openxmlformats.org/drawingml/2006/main">
              <a:graphicData uri="http://schemas.openxmlformats.org/drawingml/2006/picture">
                <pic:pic xmlns:pic="http://schemas.openxmlformats.org/drawingml/2006/picture">
                  <pic:nvPicPr>
                    <pic:cNvPr id="0" name="image5.png" descr="CUSUM3.png"/>
                    <pic:cNvPicPr preferRelativeResize="0"/>
                  </pic:nvPicPr>
                  <pic:blipFill>
                    <a:blip r:embed="rId11"/>
                    <a:srcRect/>
                    <a:stretch>
                      <a:fillRect/>
                    </a:stretch>
                  </pic:blipFill>
                  <pic:spPr>
                    <a:xfrm>
                      <a:off x="0" y="0"/>
                      <a:ext cx="6400800" cy="3472815"/>
                    </a:xfrm>
                    <a:prstGeom prst="rect">
                      <a:avLst/>
                    </a:prstGeom>
                    <a:ln/>
                  </pic:spPr>
                </pic:pic>
              </a:graphicData>
            </a:graphic>
          </wp:inline>
        </w:drawing>
      </w:r>
    </w:p>
    <w:p w14:paraId="7B8DC451" w14:textId="77777777" w:rsidR="0056163C" w:rsidRDefault="000220F1">
      <w:pPr>
        <w:spacing w:before="60" w:after="160" w:line="288" w:lineRule="auto"/>
        <w:rPr>
          <w:b/>
          <w:bCs/>
        </w:rPr>
      </w:pPr>
      <w:r>
        <w:rPr>
          <w:sz w:val="20"/>
          <w:szCs w:val="20"/>
        </w:rPr>
        <w:t>Figure 3. Detailed View.</w:t>
      </w:r>
    </w:p>
    <w:p w14:paraId="7B8DC452" w14:textId="77777777" w:rsidR="0056163C" w:rsidRDefault="0056163C">
      <w:pPr>
        <w:spacing w:before="60" w:after="160" w:line="288" w:lineRule="auto"/>
        <w:rPr>
          <w:b/>
          <w:bCs/>
        </w:rPr>
      </w:pPr>
    </w:p>
    <w:p w14:paraId="7B8DC453" w14:textId="77777777" w:rsidR="0056163C" w:rsidRDefault="000220F1">
      <w:pPr>
        <w:spacing w:before="60" w:after="160" w:line="288" w:lineRule="auto"/>
      </w:pPr>
      <w:r>
        <w:rPr>
          <w:b/>
          <w:bCs/>
        </w:rPr>
        <w:t>Analysis results</w:t>
      </w:r>
    </w:p>
    <w:p w14:paraId="7B8DC454" w14:textId="77777777" w:rsidR="0056163C" w:rsidRDefault="000220F1">
      <w:pPr>
        <w:spacing w:before="60" w:after="160" w:line="288" w:lineRule="auto"/>
      </w:pPr>
      <w:r>
        <w:t xml:space="preserve">The Unit-level reference table reports the expected weekly cases and the expected rates, once per unit. The Weekly results table contains the </w:t>
      </w:r>
      <w:proofErr w:type="gramStart"/>
      <w:r>
        <w:t>full time</w:t>
      </w:r>
      <w:proofErr w:type="gramEnd"/>
      <w:r>
        <w:t xml:space="preserve"> series, including the observed values, the CUSUM </w:t>
      </w:r>
      <w:proofErr w:type="gramStart"/>
      <w:r>
        <w:t>statistic</w:t>
      </w:r>
      <w:proofErr w:type="gramEnd"/>
      <w:r>
        <w:t xml:space="preserve">, the alarm state and the associated parameters. Use Search by </w:t>
      </w:r>
      <w:proofErr w:type="gramStart"/>
      <w:r>
        <w:t>to filter</w:t>
      </w:r>
      <w:proofErr w:type="gramEnd"/>
      <w:r>
        <w:t xml:space="preserve"> the table by a chosen column.</w:t>
      </w:r>
    </w:p>
    <w:p w14:paraId="7B8DC455" w14:textId="77777777" w:rsidR="0056163C" w:rsidRDefault="000220F1">
      <w:pPr>
        <w:spacing w:before="60" w:after="160" w:line="288" w:lineRule="auto"/>
        <w:rPr>
          <w:i/>
          <w:iCs/>
          <w:highlight w:val="yellow"/>
        </w:rPr>
      </w:pPr>
      <w:r>
        <w:rPr>
          <w:i/>
          <w:iCs/>
          <w:noProof/>
        </w:rPr>
        <w:lastRenderedPageBreak/>
        <w:drawing>
          <wp:inline distT="0" distB="0" distL="0" distR="0" wp14:anchorId="7B8DC4E3" wp14:editId="7B8DC4E4">
            <wp:extent cx="6400800" cy="3472815"/>
            <wp:effectExtent l="0" t="0" r="0" b="0"/>
            <wp:docPr id="5" name="image3.png" descr="CUSUM4.png"/>
            <wp:cNvGraphicFramePr/>
            <a:graphic xmlns:a="http://schemas.openxmlformats.org/drawingml/2006/main">
              <a:graphicData uri="http://schemas.openxmlformats.org/drawingml/2006/picture">
                <pic:pic xmlns:pic="http://schemas.openxmlformats.org/drawingml/2006/picture">
                  <pic:nvPicPr>
                    <pic:cNvPr id="0" name="image3.png" descr="CUSUM4.png"/>
                    <pic:cNvPicPr preferRelativeResize="0"/>
                  </pic:nvPicPr>
                  <pic:blipFill>
                    <a:blip r:embed="rId12"/>
                    <a:srcRect/>
                    <a:stretch>
                      <a:fillRect/>
                    </a:stretch>
                  </pic:blipFill>
                  <pic:spPr>
                    <a:xfrm>
                      <a:off x="0" y="0"/>
                      <a:ext cx="6400800" cy="3472815"/>
                    </a:xfrm>
                    <a:prstGeom prst="rect">
                      <a:avLst/>
                    </a:prstGeom>
                    <a:ln/>
                  </pic:spPr>
                </pic:pic>
              </a:graphicData>
            </a:graphic>
          </wp:inline>
        </w:drawing>
      </w:r>
    </w:p>
    <w:p w14:paraId="7B8DC456" w14:textId="77777777" w:rsidR="0056163C" w:rsidRDefault="000220F1">
      <w:pPr>
        <w:spacing w:before="60" w:after="160" w:line="288" w:lineRule="auto"/>
        <w:rPr>
          <w:b/>
          <w:bCs/>
        </w:rPr>
      </w:pPr>
      <w:r>
        <w:rPr>
          <w:sz w:val="20"/>
          <w:szCs w:val="20"/>
        </w:rPr>
        <w:t>Figure 3. Analysis</w:t>
      </w:r>
    </w:p>
    <w:p w14:paraId="7B8DC457" w14:textId="77777777" w:rsidR="0056163C" w:rsidRDefault="0056163C">
      <w:pPr>
        <w:spacing w:before="60" w:after="160" w:line="288" w:lineRule="auto"/>
        <w:rPr>
          <w:b/>
          <w:bCs/>
        </w:rPr>
      </w:pPr>
    </w:p>
    <w:p w14:paraId="7B8DC458" w14:textId="77777777" w:rsidR="0056163C" w:rsidRDefault="000220F1">
      <w:pPr>
        <w:spacing w:before="60" w:after="160" w:line="288" w:lineRule="auto"/>
      </w:pPr>
      <w:r>
        <w:rPr>
          <w:b/>
          <w:bCs/>
        </w:rPr>
        <w:t>Prepared Data</w:t>
      </w:r>
    </w:p>
    <w:p w14:paraId="7B8DC459" w14:textId="77777777" w:rsidR="0056163C" w:rsidRDefault="000220F1">
      <w:pPr>
        <w:spacing w:before="240" w:after="240" w:line="288" w:lineRule="auto"/>
      </w:pPr>
      <w:r>
        <w:t xml:space="preserve">This tab shows the </w:t>
      </w:r>
      <w:proofErr w:type="gramStart"/>
      <w:r>
        <w:t>cleaned</w:t>
      </w:r>
      <w:proofErr w:type="gramEnd"/>
      <w:r>
        <w:t xml:space="preserve">, aggregated, overlap-resolved and gap-completed dataset that is </w:t>
      </w:r>
      <w:proofErr w:type="gramStart"/>
      <w:r>
        <w:t>actually used</w:t>
      </w:r>
      <w:proofErr w:type="gramEnd"/>
      <w:r>
        <w:t xml:space="preserve"> in the analysis</w:t>
      </w:r>
      <w:r>
        <w:rPr>
          <w:b/>
          <w:bCs/>
        </w:rPr>
        <w:t>.</w:t>
      </w:r>
      <w:r>
        <w:t xml:space="preserve"> It includes a coverage assessment, a preparation log, summary information, the number of added rows, a filterable table and a CSV download.</w:t>
      </w:r>
    </w:p>
    <w:p w14:paraId="7B8DC45A" w14:textId="77777777" w:rsidR="0056163C" w:rsidRDefault="0056163C">
      <w:pPr>
        <w:spacing w:before="240" w:after="240" w:line="288" w:lineRule="auto"/>
      </w:pPr>
    </w:p>
    <w:p w14:paraId="7B8DC45B" w14:textId="77777777" w:rsidR="0056163C" w:rsidRDefault="0056163C">
      <w:pPr>
        <w:spacing w:before="240" w:after="240" w:line="288" w:lineRule="auto"/>
      </w:pPr>
    </w:p>
    <w:p w14:paraId="7B8DC45C" w14:textId="77777777" w:rsidR="0056163C" w:rsidRDefault="0056163C">
      <w:pPr>
        <w:spacing w:before="240" w:after="240" w:line="288" w:lineRule="auto"/>
      </w:pPr>
    </w:p>
    <w:p w14:paraId="7B8DC45D" w14:textId="77777777" w:rsidR="0056163C" w:rsidRDefault="0056163C">
      <w:pPr>
        <w:spacing w:before="240" w:after="240" w:line="288" w:lineRule="auto"/>
      </w:pPr>
    </w:p>
    <w:p w14:paraId="7B8DC45E" w14:textId="77777777" w:rsidR="0056163C" w:rsidRDefault="0056163C">
      <w:pPr>
        <w:spacing w:before="240" w:after="240" w:line="288" w:lineRule="auto"/>
      </w:pPr>
    </w:p>
    <w:p w14:paraId="7B8DC45F" w14:textId="77777777" w:rsidR="0056163C" w:rsidRDefault="0056163C">
      <w:pPr>
        <w:spacing w:before="240" w:after="240" w:line="288" w:lineRule="auto"/>
      </w:pPr>
    </w:p>
    <w:p w14:paraId="7B8DC460" w14:textId="77777777" w:rsidR="0056163C" w:rsidRDefault="0056163C">
      <w:pPr>
        <w:spacing w:before="240" w:after="240" w:line="288" w:lineRule="auto"/>
      </w:pPr>
    </w:p>
    <w:p w14:paraId="7B8DC461" w14:textId="77777777" w:rsidR="0056163C" w:rsidRDefault="0056163C">
      <w:pPr>
        <w:spacing w:before="240" w:after="240" w:line="288" w:lineRule="auto"/>
      </w:pPr>
    </w:p>
    <w:p w14:paraId="7B8DC462" w14:textId="77777777" w:rsidR="0056163C" w:rsidRDefault="0056163C">
      <w:pPr>
        <w:spacing w:before="240" w:after="240" w:line="288" w:lineRule="auto"/>
      </w:pPr>
    </w:p>
    <w:p w14:paraId="7B8DC463" w14:textId="77777777" w:rsidR="0056163C" w:rsidRDefault="000220F1">
      <w:pPr>
        <w:spacing w:before="240" w:after="240" w:line="288" w:lineRule="auto"/>
      </w:pPr>
      <w:r>
        <w:rPr>
          <w:noProof/>
        </w:rPr>
        <w:lastRenderedPageBreak/>
        <w:drawing>
          <wp:anchor distT="0" distB="0" distL="0" distR="0" simplePos="0" relativeHeight="251658240" behindDoc="0" locked="0" layoutInCell="1" hidden="0" allowOverlap="1" wp14:anchorId="7B8DC4E5" wp14:editId="7B8DC4E6">
            <wp:simplePos x="0" y="0"/>
            <wp:positionH relativeFrom="column">
              <wp:posOffset>-142874</wp:posOffset>
            </wp:positionH>
            <wp:positionV relativeFrom="paragraph">
              <wp:posOffset>0</wp:posOffset>
            </wp:positionV>
            <wp:extent cx="6243267" cy="3391060"/>
            <wp:effectExtent l="0" t="0" r="0" b="0"/>
            <wp:wrapNone/>
            <wp:docPr id="1" name="image6.png" descr="CUSUM5.png"/>
            <wp:cNvGraphicFramePr/>
            <a:graphic xmlns:a="http://schemas.openxmlformats.org/drawingml/2006/main">
              <a:graphicData uri="http://schemas.openxmlformats.org/drawingml/2006/picture">
                <pic:pic xmlns:pic="http://schemas.openxmlformats.org/drawingml/2006/picture">
                  <pic:nvPicPr>
                    <pic:cNvPr id="0" name="image6.png" descr="CUSUM5.png"/>
                    <pic:cNvPicPr preferRelativeResize="0"/>
                  </pic:nvPicPr>
                  <pic:blipFill>
                    <a:blip r:embed="rId13"/>
                    <a:srcRect/>
                    <a:stretch>
                      <a:fillRect/>
                    </a:stretch>
                  </pic:blipFill>
                  <pic:spPr>
                    <a:xfrm>
                      <a:off x="0" y="0"/>
                      <a:ext cx="6243267" cy="3391060"/>
                    </a:xfrm>
                    <a:prstGeom prst="rect">
                      <a:avLst/>
                    </a:prstGeom>
                    <a:ln/>
                  </pic:spPr>
                </pic:pic>
              </a:graphicData>
            </a:graphic>
          </wp:anchor>
        </w:drawing>
      </w:r>
    </w:p>
    <w:p w14:paraId="7B8DC464" w14:textId="77777777" w:rsidR="0056163C" w:rsidRDefault="0056163C">
      <w:pPr>
        <w:spacing w:before="240" w:after="240" w:line="288" w:lineRule="auto"/>
      </w:pPr>
    </w:p>
    <w:p w14:paraId="7B8DC465" w14:textId="77777777" w:rsidR="0056163C" w:rsidRDefault="0056163C">
      <w:pPr>
        <w:spacing w:before="240" w:after="240" w:line="288" w:lineRule="auto"/>
      </w:pPr>
    </w:p>
    <w:p w14:paraId="7B8DC466" w14:textId="77777777" w:rsidR="0056163C" w:rsidRDefault="0056163C">
      <w:pPr>
        <w:spacing w:before="240" w:after="240" w:line="288" w:lineRule="auto"/>
      </w:pPr>
    </w:p>
    <w:p w14:paraId="7B8DC467" w14:textId="77777777" w:rsidR="0056163C" w:rsidRDefault="0056163C">
      <w:pPr>
        <w:spacing w:before="240" w:after="240" w:line="288" w:lineRule="auto"/>
      </w:pPr>
    </w:p>
    <w:p w14:paraId="7B8DC468" w14:textId="77777777" w:rsidR="0056163C" w:rsidRDefault="0056163C">
      <w:pPr>
        <w:spacing w:before="240" w:after="240" w:line="288" w:lineRule="auto"/>
      </w:pPr>
    </w:p>
    <w:p w14:paraId="7B8DC469" w14:textId="77777777" w:rsidR="0056163C" w:rsidRDefault="0056163C">
      <w:pPr>
        <w:spacing w:before="240" w:after="240" w:line="288" w:lineRule="auto"/>
      </w:pPr>
    </w:p>
    <w:p w14:paraId="7B8DC46A" w14:textId="77777777" w:rsidR="0056163C" w:rsidRDefault="0056163C">
      <w:pPr>
        <w:spacing w:before="240" w:after="240" w:line="288" w:lineRule="auto"/>
      </w:pPr>
    </w:p>
    <w:p w14:paraId="7B8DC46B" w14:textId="77777777" w:rsidR="0056163C" w:rsidRDefault="0056163C">
      <w:pPr>
        <w:spacing w:before="240" w:after="240" w:line="288" w:lineRule="auto"/>
        <w:rPr>
          <w:i/>
          <w:iCs/>
        </w:rPr>
      </w:pPr>
    </w:p>
    <w:p w14:paraId="7B8DC46C" w14:textId="77777777" w:rsidR="0056163C" w:rsidRDefault="0056163C">
      <w:pPr>
        <w:spacing w:before="60" w:after="160" w:line="288" w:lineRule="auto"/>
      </w:pPr>
    </w:p>
    <w:p w14:paraId="7B8DC46D" w14:textId="77777777" w:rsidR="0056163C" w:rsidRDefault="000220F1">
      <w:pPr>
        <w:spacing w:before="60" w:after="160" w:line="288" w:lineRule="auto"/>
      </w:pPr>
      <w:r>
        <w:rPr>
          <w:sz w:val="20"/>
          <w:szCs w:val="20"/>
        </w:rPr>
        <w:t>Figure 4. Prepared Data</w:t>
      </w:r>
    </w:p>
    <w:p w14:paraId="7B8DC46E" w14:textId="77777777" w:rsidR="0056163C" w:rsidRDefault="0056163C">
      <w:pPr>
        <w:spacing w:before="60" w:after="160" w:line="288" w:lineRule="auto"/>
        <w:rPr>
          <w:i/>
          <w:iCs/>
        </w:rPr>
      </w:pPr>
    </w:p>
    <w:p w14:paraId="7B8DC46F" w14:textId="77777777" w:rsidR="0056163C" w:rsidRDefault="000220F1">
      <w:pPr>
        <w:spacing w:before="60" w:after="160" w:line="288" w:lineRule="auto"/>
        <w:rPr>
          <w:i/>
          <w:iCs/>
        </w:rPr>
      </w:pPr>
      <w:r>
        <w:rPr>
          <w:i/>
          <w:iCs/>
        </w:rPr>
        <w:t xml:space="preserve">Display settings. The Help tab can increase interface and plot font size and change the number of decimal places shown in tables. These settings do not round </w:t>
      </w:r>
      <w:proofErr w:type="gramStart"/>
      <w:r>
        <w:rPr>
          <w:i/>
          <w:iCs/>
        </w:rPr>
        <w:t>downloaded</w:t>
      </w:r>
      <w:proofErr w:type="gramEnd"/>
      <w:r>
        <w:rPr>
          <w:i/>
          <w:iCs/>
        </w:rPr>
        <w:t xml:space="preserve"> CSV values.</w:t>
      </w:r>
      <w:r>
        <w:rPr>
          <w:noProof/>
        </w:rPr>
        <w:drawing>
          <wp:anchor distT="0" distB="0" distL="0" distR="0" simplePos="0" relativeHeight="251659264" behindDoc="0" locked="0" layoutInCell="1" hidden="0" allowOverlap="1" wp14:anchorId="7B8DC4E7" wp14:editId="7B8DC4E8">
            <wp:simplePos x="0" y="0"/>
            <wp:positionH relativeFrom="column">
              <wp:posOffset>-142874</wp:posOffset>
            </wp:positionH>
            <wp:positionV relativeFrom="paragraph">
              <wp:posOffset>694382</wp:posOffset>
            </wp:positionV>
            <wp:extent cx="6400800" cy="3472815"/>
            <wp:effectExtent l="0" t="0" r="0" b="0"/>
            <wp:wrapNone/>
            <wp:docPr id="7" name="image4.png" descr="CUSUM6.png"/>
            <wp:cNvGraphicFramePr/>
            <a:graphic xmlns:a="http://schemas.openxmlformats.org/drawingml/2006/main">
              <a:graphicData uri="http://schemas.openxmlformats.org/drawingml/2006/picture">
                <pic:pic xmlns:pic="http://schemas.openxmlformats.org/drawingml/2006/picture">
                  <pic:nvPicPr>
                    <pic:cNvPr id="0" name="image4.png" descr="CUSUM6.png"/>
                    <pic:cNvPicPr preferRelativeResize="0"/>
                  </pic:nvPicPr>
                  <pic:blipFill>
                    <a:blip r:embed="rId14"/>
                    <a:srcRect/>
                    <a:stretch>
                      <a:fillRect/>
                    </a:stretch>
                  </pic:blipFill>
                  <pic:spPr>
                    <a:xfrm>
                      <a:off x="0" y="0"/>
                      <a:ext cx="6400800" cy="3472815"/>
                    </a:xfrm>
                    <a:prstGeom prst="rect">
                      <a:avLst/>
                    </a:prstGeom>
                    <a:ln/>
                  </pic:spPr>
                </pic:pic>
              </a:graphicData>
            </a:graphic>
          </wp:anchor>
        </w:drawing>
      </w:r>
    </w:p>
    <w:p w14:paraId="7B8DC470" w14:textId="77777777" w:rsidR="0056163C" w:rsidRDefault="0056163C">
      <w:pPr>
        <w:spacing w:before="60" w:after="160" w:line="288" w:lineRule="auto"/>
        <w:rPr>
          <w:i/>
          <w:iCs/>
        </w:rPr>
      </w:pPr>
    </w:p>
    <w:p w14:paraId="7B8DC471" w14:textId="77777777" w:rsidR="0056163C" w:rsidRDefault="0056163C">
      <w:pPr>
        <w:spacing w:before="60" w:after="160" w:line="288" w:lineRule="auto"/>
        <w:rPr>
          <w:i/>
          <w:iCs/>
        </w:rPr>
      </w:pPr>
    </w:p>
    <w:p w14:paraId="7B8DC472" w14:textId="77777777" w:rsidR="0056163C" w:rsidRDefault="0056163C">
      <w:pPr>
        <w:spacing w:before="60" w:after="160" w:line="288" w:lineRule="auto"/>
        <w:rPr>
          <w:i/>
          <w:iCs/>
        </w:rPr>
      </w:pPr>
    </w:p>
    <w:p w14:paraId="7B8DC473" w14:textId="77777777" w:rsidR="0056163C" w:rsidRDefault="0056163C">
      <w:pPr>
        <w:spacing w:before="60" w:after="160" w:line="288" w:lineRule="auto"/>
        <w:rPr>
          <w:i/>
          <w:iCs/>
        </w:rPr>
      </w:pPr>
    </w:p>
    <w:p w14:paraId="7B8DC474" w14:textId="77777777" w:rsidR="0056163C" w:rsidRDefault="0056163C">
      <w:pPr>
        <w:spacing w:before="60" w:after="160" w:line="288" w:lineRule="auto"/>
        <w:rPr>
          <w:i/>
          <w:iCs/>
        </w:rPr>
      </w:pPr>
    </w:p>
    <w:p w14:paraId="7B8DC475" w14:textId="77777777" w:rsidR="0056163C" w:rsidRDefault="0056163C">
      <w:pPr>
        <w:spacing w:before="60" w:after="160" w:line="288" w:lineRule="auto"/>
        <w:rPr>
          <w:i/>
          <w:iCs/>
        </w:rPr>
      </w:pPr>
    </w:p>
    <w:p w14:paraId="7B8DC476" w14:textId="77777777" w:rsidR="0056163C" w:rsidRDefault="0056163C">
      <w:pPr>
        <w:spacing w:before="60" w:after="160" w:line="288" w:lineRule="auto"/>
        <w:rPr>
          <w:i/>
          <w:iCs/>
        </w:rPr>
      </w:pPr>
    </w:p>
    <w:p w14:paraId="7B8DC477" w14:textId="77777777" w:rsidR="0056163C" w:rsidRDefault="0056163C">
      <w:pPr>
        <w:spacing w:before="60" w:after="160" w:line="288" w:lineRule="auto"/>
        <w:rPr>
          <w:i/>
          <w:iCs/>
        </w:rPr>
      </w:pPr>
    </w:p>
    <w:p w14:paraId="7B8DC478" w14:textId="77777777" w:rsidR="0056163C" w:rsidRDefault="0056163C">
      <w:pPr>
        <w:spacing w:before="60" w:after="160" w:line="288" w:lineRule="auto"/>
        <w:rPr>
          <w:i/>
          <w:iCs/>
        </w:rPr>
      </w:pPr>
    </w:p>
    <w:p w14:paraId="7B8DC479" w14:textId="77777777" w:rsidR="0056163C" w:rsidRDefault="0056163C">
      <w:pPr>
        <w:spacing w:before="60" w:after="160" w:line="288" w:lineRule="auto"/>
        <w:rPr>
          <w:i/>
          <w:iCs/>
        </w:rPr>
      </w:pPr>
    </w:p>
    <w:p w14:paraId="7B8DC47A" w14:textId="77777777" w:rsidR="0056163C" w:rsidRDefault="0056163C">
      <w:pPr>
        <w:spacing w:before="60" w:after="160" w:line="288" w:lineRule="auto"/>
        <w:rPr>
          <w:i/>
          <w:iCs/>
        </w:rPr>
      </w:pPr>
    </w:p>
    <w:p w14:paraId="7B8DC47B" w14:textId="77777777" w:rsidR="0056163C" w:rsidRDefault="000220F1">
      <w:pPr>
        <w:spacing w:before="60" w:after="160" w:line="288" w:lineRule="auto"/>
        <w:rPr>
          <w:i/>
          <w:iCs/>
        </w:rPr>
      </w:pPr>
      <w:r>
        <w:rPr>
          <w:sz w:val="20"/>
          <w:szCs w:val="20"/>
        </w:rPr>
        <w:t>Figure 5. Display Settings</w:t>
      </w:r>
    </w:p>
    <w:p w14:paraId="7B8DC47C" w14:textId="77777777" w:rsidR="0056163C" w:rsidRDefault="000220F1">
      <w:pPr>
        <w:pStyle w:val="Ttulo1"/>
        <w:spacing w:before="120" w:after="120"/>
      </w:pPr>
      <w:r>
        <w:lastRenderedPageBreak/>
        <w:t>6. Interpretation guide</w:t>
      </w:r>
    </w:p>
    <w:p w14:paraId="7B8DC47D" w14:textId="77777777" w:rsidR="0056163C" w:rsidRDefault="000220F1">
      <w:pPr>
        <w:spacing w:before="60" w:after="160" w:line="288" w:lineRule="auto"/>
        <w:jc w:val="both"/>
      </w:pPr>
      <w:r>
        <w:t xml:space="preserve">For each detection week, the tool </w:t>
      </w:r>
      <w:proofErr w:type="spellStart"/>
      <w:r>
        <w:t>standardises</w:t>
      </w:r>
      <w:proofErr w:type="spellEnd"/>
      <w:r>
        <w:t xml:space="preserve"> the difference between the observed and the expected counts, subtracts the reference value k, and adds any positive evidence to a one-sided cumulative statistic. The </w:t>
      </w:r>
      <w:proofErr w:type="gramStart"/>
      <w:r>
        <w:t>statistic is</w:t>
      </w:r>
      <w:proofErr w:type="gramEnd"/>
      <w:r>
        <w:t xml:space="preserve"> never allowed to fall below zero. An alarm is marked when the </w:t>
      </w:r>
      <w:proofErr w:type="gramStart"/>
      <w:r>
        <w:t>statistic reaches</w:t>
      </w:r>
      <w:proofErr w:type="gramEnd"/>
      <w:r>
        <w:t xml:space="preserve"> or </w:t>
      </w:r>
      <w:proofErr w:type="gramStart"/>
      <w:r>
        <w:t>exceeds</w:t>
      </w:r>
      <w:proofErr w:type="gramEnd"/>
      <w:r>
        <w:t xml:space="preserve"> the threshold h. After an alarm, the current application resets the running </w:t>
      </w:r>
      <w:proofErr w:type="gramStart"/>
      <w:r>
        <w:t>statistic</w:t>
      </w:r>
      <w:proofErr w:type="gramEnd"/>
      <w:r>
        <w:t>, while preserving the peak value reached in that week.</w:t>
      </w:r>
    </w:p>
    <w:p w14:paraId="7B8DC47E" w14:textId="77777777" w:rsidR="0056163C" w:rsidRDefault="0056163C">
      <w:pPr>
        <w:spacing w:before="60" w:after="160" w:line="288" w:lineRule="auto"/>
        <w:jc w:val="both"/>
      </w:pPr>
    </w:p>
    <w:tbl>
      <w:tblPr>
        <w:tblStyle w:val="a3"/>
        <w:tblW w:w="1008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56"/>
        <w:gridCol w:w="6624"/>
      </w:tblGrid>
      <w:tr w:rsidR="0056163C" w14:paraId="7B8DC481" w14:textId="77777777">
        <w:trPr>
          <w:tblHeader/>
        </w:trPr>
        <w:tc>
          <w:tcPr>
            <w:tcW w:w="3456" w:type="dxa"/>
          </w:tcPr>
          <w:p w14:paraId="7B8DC47F" w14:textId="77777777" w:rsidR="0056163C" w:rsidRDefault="000220F1">
            <w:r>
              <w:rPr>
                <w:b/>
                <w:bCs/>
              </w:rPr>
              <w:t>Pattern</w:t>
            </w:r>
          </w:p>
        </w:tc>
        <w:tc>
          <w:tcPr>
            <w:tcW w:w="6624" w:type="dxa"/>
          </w:tcPr>
          <w:p w14:paraId="7B8DC480" w14:textId="77777777" w:rsidR="0056163C" w:rsidRDefault="000220F1">
            <w:r>
              <w:rPr>
                <w:b/>
                <w:bCs/>
              </w:rPr>
              <w:t>Suggested interpretation</w:t>
            </w:r>
          </w:p>
        </w:tc>
      </w:tr>
      <w:tr w:rsidR="0056163C" w14:paraId="7B8DC484" w14:textId="77777777">
        <w:tc>
          <w:tcPr>
            <w:tcW w:w="3456" w:type="dxa"/>
          </w:tcPr>
          <w:p w14:paraId="7B8DC482" w14:textId="77777777" w:rsidR="0056163C" w:rsidRDefault="000220F1">
            <w:r>
              <w:t>Observed values repeatedly above expected</w:t>
            </w:r>
          </w:p>
        </w:tc>
        <w:tc>
          <w:tcPr>
            <w:tcW w:w="6624" w:type="dxa"/>
          </w:tcPr>
          <w:p w14:paraId="7B8DC483" w14:textId="77777777" w:rsidR="0056163C" w:rsidRDefault="000220F1">
            <w:r>
              <w:t>The CUSUM tends to accumulate over successive weeks and may eventually reach h, raising an alarm.</w:t>
            </w:r>
          </w:p>
        </w:tc>
      </w:tr>
      <w:tr w:rsidR="0056163C" w14:paraId="7B8DC487" w14:textId="77777777">
        <w:tc>
          <w:tcPr>
            <w:tcW w:w="3456" w:type="dxa"/>
          </w:tcPr>
          <w:p w14:paraId="7B8DC485" w14:textId="77777777" w:rsidR="0056163C" w:rsidRDefault="000220F1">
            <w:r>
              <w:t>Observed values close to or below expected</w:t>
            </w:r>
          </w:p>
        </w:tc>
        <w:tc>
          <w:tcPr>
            <w:tcW w:w="6624" w:type="dxa"/>
          </w:tcPr>
          <w:p w14:paraId="7B8DC486" w14:textId="77777777" w:rsidR="0056163C" w:rsidRDefault="000220F1">
            <w:r>
              <w:t>The CUSUM tends to remain low or to return to zero, without raising an alarm.</w:t>
            </w:r>
          </w:p>
        </w:tc>
      </w:tr>
      <w:tr w:rsidR="0056163C" w14:paraId="7B8DC48A" w14:textId="77777777">
        <w:tc>
          <w:tcPr>
            <w:tcW w:w="3456" w:type="dxa"/>
          </w:tcPr>
          <w:p w14:paraId="7B8DC488" w14:textId="77777777" w:rsidR="0056163C" w:rsidRDefault="000220F1">
            <w:r>
              <w:t>Single isolated high week</w:t>
            </w:r>
          </w:p>
        </w:tc>
        <w:tc>
          <w:tcPr>
            <w:tcW w:w="6624" w:type="dxa"/>
          </w:tcPr>
          <w:p w14:paraId="7B8DC489" w14:textId="77777777" w:rsidR="0056163C" w:rsidRDefault="000220F1">
            <w:r>
              <w:t>This may or may not raise an alarm, depending on its magnitude and on the evidence already accumulated.</w:t>
            </w:r>
          </w:p>
        </w:tc>
      </w:tr>
      <w:tr w:rsidR="0056163C" w14:paraId="7B8DC48D" w14:textId="77777777">
        <w:tc>
          <w:tcPr>
            <w:tcW w:w="3456" w:type="dxa"/>
          </w:tcPr>
          <w:p w14:paraId="7B8DC48B" w14:textId="77777777" w:rsidR="0056163C" w:rsidRDefault="000220F1">
            <w:r>
              <w:t>Many zero-filled weeks</w:t>
            </w:r>
          </w:p>
        </w:tc>
        <w:tc>
          <w:tcPr>
            <w:tcW w:w="6624" w:type="dxa"/>
          </w:tcPr>
          <w:p w14:paraId="7B8DC48C" w14:textId="77777777" w:rsidR="0056163C" w:rsidRDefault="000220F1">
            <w:r>
              <w:t>Review the coverage warnings and confirm that the missing reports genuinely represent zero cases, rather than absent data.</w:t>
            </w:r>
          </w:p>
        </w:tc>
      </w:tr>
      <w:tr w:rsidR="0056163C" w14:paraId="7B8DC490" w14:textId="77777777">
        <w:tc>
          <w:tcPr>
            <w:tcW w:w="3456" w:type="dxa"/>
          </w:tcPr>
          <w:p w14:paraId="7B8DC48E" w14:textId="77777777" w:rsidR="0056163C" w:rsidRDefault="000220F1">
            <w:r>
              <w:t xml:space="preserve">Alarm in several </w:t>
            </w:r>
            <w:proofErr w:type="spellStart"/>
            <w:r>
              <w:t>neighbouring</w:t>
            </w:r>
            <w:proofErr w:type="spellEnd"/>
            <w:r>
              <w:t xml:space="preserve"> units</w:t>
            </w:r>
          </w:p>
        </w:tc>
        <w:tc>
          <w:tcPr>
            <w:tcW w:w="6624" w:type="dxa"/>
          </w:tcPr>
          <w:p w14:paraId="7B8DC48F" w14:textId="77777777" w:rsidR="0056163C" w:rsidRDefault="000220F1">
            <w:r>
              <w:t>Investigate shared reporting changes, common exposures, population movement and broader epidemiological evidence.</w:t>
            </w:r>
          </w:p>
        </w:tc>
      </w:tr>
    </w:tbl>
    <w:p w14:paraId="7B8DC491" w14:textId="77777777" w:rsidR="0056163C" w:rsidRDefault="0056163C">
      <w:pPr>
        <w:spacing w:after="80"/>
        <w:ind w:left="360" w:hanging="288"/>
        <w:rPr>
          <w:b/>
          <w:bCs/>
        </w:rPr>
      </w:pPr>
    </w:p>
    <w:p w14:paraId="7B8DC492" w14:textId="77777777" w:rsidR="0056163C" w:rsidRDefault="0056163C">
      <w:pPr>
        <w:spacing w:before="240" w:after="240"/>
        <w:jc w:val="both"/>
      </w:pPr>
    </w:p>
    <w:p w14:paraId="7B8DC493" w14:textId="77777777" w:rsidR="0056163C" w:rsidRDefault="0056163C">
      <w:pPr>
        <w:spacing w:after="80"/>
        <w:ind w:left="360" w:hanging="288"/>
        <w:rPr>
          <w:b/>
          <w:bCs/>
        </w:rPr>
      </w:pPr>
    </w:p>
    <w:p w14:paraId="7B8DC494" w14:textId="77777777" w:rsidR="0056163C" w:rsidRDefault="000220F1">
      <w:pPr>
        <w:pStyle w:val="Ttulo1"/>
        <w:spacing w:before="120" w:after="120"/>
      </w:pPr>
      <w:r>
        <w:t>7. Downloads and reproducibility</w:t>
      </w:r>
    </w:p>
    <w:p w14:paraId="7B8DC495" w14:textId="77777777" w:rsidR="0056163C" w:rsidRDefault="0056163C"/>
    <w:tbl>
      <w:tblPr>
        <w:tblStyle w:val="a4"/>
        <w:tblW w:w="1008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68"/>
        <w:gridCol w:w="6912"/>
      </w:tblGrid>
      <w:tr w:rsidR="0056163C" w14:paraId="7B8DC498" w14:textId="77777777">
        <w:trPr>
          <w:tblHeader/>
        </w:trPr>
        <w:tc>
          <w:tcPr>
            <w:tcW w:w="3168" w:type="dxa"/>
          </w:tcPr>
          <w:p w14:paraId="7B8DC496" w14:textId="77777777" w:rsidR="0056163C" w:rsidRDefault="000220F1">
            <w:r>
              <w:rPr>
                <w:b/>
                <w:bCs/>
              </w:rPr>
              <w:t>Download</w:t>
            </w:r>
          </w:p>
        </w:tc>
        <w:tc>
          <w:tcPr>
            <w:tcW w:w="6912" w:type="dxa"/>
          </w:tcPr>
          <w:p w14:paraId="7B8DC497" w14:textId="77777777" w:rsidR="0056163C" w:rsidRDefault="000220F1">
            <w:r>
              <w:rPr>
                <w:b/>
                <w:bCs/>
              </w:rPr>
              <w:t>Contents</w:t>
            </w:r>
          </w:p>
        </w:tc>
      </w:tr>
      <w:tr w:rsidR="0056163C" w14:paraId="7B8DC49B" w14:textId="77777777">
        <w:tc>
          <w:tcPr>
            <w:tcW w:w="3168" w:type="dxa"/>
          </w:tcPr>
          <w:p w14:paraId="7B8DC499" w14:textId="77777777" w:rsidR="0056163C" w:rsidRDefault="000220F1">
            <w:r>
              <w:t>Download Bar Plot</w:t>
            </w:r>
          </w:p>
        </w:tc>
        <w:tc>
          <w:tcPr>
            <w:tcW w:w="6912" w:type="dxa"/>
          </w:tcPr>
          <w:p w14:paraId="7B8DC49A" w14:textId="77777777" w:rsidR="0056163C" w:rsidRDefault="000220F1">
            <w:r>
              <w:t>The observed and expected weekly series for the location currently shown in the Detailed View.</w:t>
            </w:r>
          </w:p>
        </w:tc>
      </w:tr>
      <w:tr w:rsidR="0056163C" w14:paraId="7B8DC49E" w14:textId="77777777">
        <w:tc>
          <w:tcPr>
            <w:tcW w:w="3168" w:type="dxa"/>
          </w:tcPr>
          <w:p w14:paraId="7B8DC49C" w14:textId="77777777" w:rsidR="0056163C" w:rsidRDefault="000220F1">
            <w:r>
              <w:t>Download Trends</w:t>
            </w:r>
          </w:p>
        </w:tc>
        <w:tc>
          <w:tcPr>
            <w:tcW w:w="6912" w:type="dxa"/>
          </w:tcPr>
          <w:p w14:paraId="7B8DC49D" w14:textId="77777777" w:rsidR="0056163C" w:rsidRDefault="000220F1">
            <w:r>
              <w:t xml:space="preserve">The CUSUM process plot for the location currently shown in </w:t>
            </w:r>
            <w:proofErr w:type="gramStart"/>
            <w:r>
              <w:t>the Detailed</w:t>
            </w:r>
            <w:proofErr w:type="gramEnd"/>
            <w:r>
              <w:t xml:space="preserve"> View.</w:t>
            </w:r>
          </w:p>
        </w:tc>
      </w:tr>
      <w:tr w:rsidR="0056163C" w14:paraId="7B8DC4A1" w14:textId="77777777">
        <w:tc>
          <w:tcPr>
            <w:tcW w:w="3168" w:type="dxa"/>
          </w:tcPr>
          <w:p w14:paraId="7B8DC49F" w14:textId="77777777" w:rsidR="0056163C" w:rsidRDefault="000220F1">
            <w:r>
              <w:t>Download Results CSV</w:t>
            </w:r>
          </w:p>
        </w:tc>
        <w:tc>
          <w:tcPr>
            <w:tcW w:w="6912" w:type="dxa"/>
          </w:tcPr>
          <w:p w14:paraId="7B8DC4A0" w14:textId="77777777" w:rsidR="0056163C" w:rsidRDefault="000220F1">
            <w:r>
              <w:t xml:space="preserve">The complete analysis output for every unit and week </w:t>
            </w:r>
            <w:proofErr w:type="spellStart"/>
            <w:r>
              <w:t>analysed</w:t>
            </w:r>
            <w:proofErr w:type="spellEnd"/>
            <w:r>
              <w:t>.</w:t>
            </w:r>
          </w:p>
        </w:tc>
      </w:tr>
      <w:tr w:rsidR="0056163C" w14:paraId="7B8DC4A4" w14:textId="77777777">
        <w:tc>
          <w:tcPr>
            <w:tcW w:w="3168" w:type="dxa"/>
          </w:tcPr>
          <w:p w14:paraId="7B8DC4A2" w14:textId="77777777" w:rsidR="0056163C" w:rsidRDefault="000220F1">
            <w:r>
              <w:t>Download Prepared Data CSV</w:t>
            </w:r>
          </w:p>
        </w:tc>
        <w:tc>
          <w:tcPr>
            <w:tcW w:w="6912" w:type="dxa"/>
          </w:tcPr>
          <w:p w14:paraId="7B8DC4A3" w14:textId="77777777" w:rsidR="0056163C" w:rsidRDefault="000220F1">
            <w:r>
              <w:t>The cleaned and aggregated input dataset used by the analysis.</w:t>
            </w:r>
          </w:p>
        </w:tc>
      </w:tr>
    </w:tbl>
    <w:p w14:paraId="7B8DC4A5" w14:textId="77777777" w:rsidR="0056163C" w:rsidRDefault="000220F1">
      <w:pPr>
        <w:spacing w:before="60" w:after="160" w:line="288" w:lineRule="auto"/>
      </w:pPr>
      <w:r>
        <w:t>On-screen table filters and decimal-place settings affect only the view. The downloaded files retain the underlying rows and the full numeric precision produced by the analysis.</w:t>
      </w:r>
    </w:p>
    <w:p w14:paraId="7B8DC4A6" w14:textId="77777777" w:rsidR="0056163C" w:rsidRDefault="000220F1">
      <w:pPr>
        <w:pStyle w:val="Ttulo1"/>
        <w:spacing w:before="120" w:after="120"/>
      </w:pPr>
      <w:r>
        <w:lastRenderedPageBreak/>
        <w:t>8. Troubleshooting</w:t>
      </w:r>
    </w:p>
    <w:tbl>
      <w:tblPr>
        <w:tblStyle w:val="a5"/>
        <w:tblW w:w="1008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56"/>
        <w:gridCol w:w="6624"/>
      </w:tblGrid>
      <w:tr w:rsidR="0056163C" w14:paraId="7B8DC4A9" w14:textId="77777777">
        <w:trPr>
          <w:tblHeader/>
        </w:trPr>
        <w:tc>
          <w:tcPr>
            <w:tcW w:w="3456" w:type="dxa"/>
          </w:tcPr>
          <w:p w14:paraId="7B8DC4A7" w14:textId="77777777" w:rsidR="0056163C" w:rsidRDefault="000220F1">
            <w:r>
              <w:rPr>
                <w:b/>
                <w:bCs/>
              </w:rPr>
              <w:t>Problem or message</w:t>
            </w:r>
          </w:p>
        </w:tc>
        <w:tc>
          <w:tcPr>
            <w:tcW w:w="6624" w:type="dxa"/>
          </w:tcPr>
          <w:p w14:paraId="7B8DC4A8" w14:textId="77777777" w:rsidR="0056163C" w:rsidRDefault="000220F1">
            <w:r>
              <w:rPr>
                <w:b/>
                <w:bCs/>
              </w:rPr>
              <w:t>What to check</w:t>
            </w:r>
          </w:p>
        </w:tc>
      </w:tr>
      <w:tr w:rsidR="0056163C" w14:paraId="7B8DC4AC" w14:textId="77777777">
        <w:tc>
          <w:tcPr>
            <w:tcW w:w="3456" w:type="dxa"/>
          </w:tcPr>
          <w:p w14:paraId="7B8DC4AA" w14:textId="77777777" w:rsidR="0056163C" w:rsidRDefault="000220F1">
            <w:r>
              <w:t>Missing required columns</w:t>
            </w:r>
          </w:p>
        </w:tc>
        <w:tc>
          <w:tcPr>
            <w:tcW w:w="6624" w:type="dxa"/>
          </w:tcPr>
          <w:p w14:paraId="7B8DC4AB" w14:textId="77777777" w:rsidR="0056163C" w:rsidRDefault="000220F1">
            <w:r>
              <w:t xml:space="preserve">Confirm that the file contains year, week and </w:t>
            </w:r>
            <w:proofErr w:type="spellStart"/>
            <w:r>
              <w:t>n_cases</w:t>
            </w:r>
            <w:proofErr w:type="spellEnd"/>
            <w:r>
              <w:t>, or an accepted alias for each, together with the column required for the selected geographic level.</w:t>
            </w:r>
          </w:p>
        </w:tc>
      </w:tr>
      <w:tr w:rsidR="0056163C" w14:paraId="7B8DC4AF" w14:textId="77777777">
        <w:tc>
          <w:tcPr>
            <w:tcW w:w="3456" w:type="dxa"/>
          </w:tcPr>
          <w:p w14:paraId="7B8DC4AD" w14:textId="77777777" w:rsidR="0056163C" w:rsidRDefault="000220F1">
            <w:r>
              <w:t>No locations available</w:t>
            </w:r>
          </w:p>
        </w:tc>
        <w:tc>
          <w:tcPr>
            <w:tcW w:w="6624" w:type="dxa"/>
          </w:tcPr>
          <w:p w14:paraId="7B8DC4AE" w14:textId="77777777" w:rsidR="0056163C" w:rsidRDefault="000220F1">
            <w:r>
              <w:t>The chosen geographic level may not exist in the active data, or its values may be blank.</w:t>
            </w:r>
          </w:p>
        </w:tc>
      </w:tr>
      <w:tr w:rsidR="0056163C" w14:paraId="7B8DC4B2" w14:textId="77777777">
        <w:tc>
          <w:tcPr>
            <w:tcW w:w="3456" w:type="dxa"/>
          </w:tcPr>
          <w:p w14:paraId="7B8DC4B0" w14:textId="77777777" w:rsidR="0056163C" w:rsidRDefault="000220F1">
            <w:r>
              <w:t>Insufficient prepared weeks</w:t>
            </w:r>
          </w:p>
        </w:tc>
        <w:tc>
          <w:tcPr>
            <w:tcW w:w="6624" w:type="dxa"/>
          </w:tcPr>
          <w:p w14:paraId="7B8DC4B1" w14:textId="77777777" w:rsidR="0056163C" w:rsidRDefault="000220F1">
            <w:r>
              <w:t>Upload a longer weekly history, or reduce the detection period, bearing in mind that the current configured minimum is 52 prepared weeks.</w:t>
            </w:r>
          </w:p>
        </w:tc>
      </w:tr>
      <w:tr w:rsidR="0056163C" w14:paraId="7B8DC4B5" w14:textId="77777777">
        <w:tc>
          <w:tcPr>
            <w:tcW w:w="3456" w:type="dxa"/>
          </w:tcPr>
          <w:p w14:paraId="7B8DC4B3" w14:textId="77777777" w:rsidR="0056163C" w:rsidRDefault="000220F1">
            <w:r>
              <w:t>Low observed coverage</w:t>
            </w:r>
          </w:p>
        </w:tc>
        <w:tc>
          <w:tcPr>
            <w:tcW w:w="6624" w:type="dxa"/>
          </w:tcPr>
          <w:p w14:paraId="7B8DC4B4" w14:textId="77777777" w:rsidR="0056163C" w:rsidRDefault="000220F1">
            <w:r>
              <w:t>Confirm whether the absent weeks represent true zero cases. If they correspond to missing reports, upload a more complete series.</w:t>
            </w:r>
          </w:p>
        </w:tc>
      </w:tr>
      <w:tr w:rsidR="0056163C" w14:paraId="7B8DC4B8" w14:textId="77777777">
        <w:tc>
          <w:tcPr>
            <w:tcW w:w="3456" w:type="dxa"/>
          </w:tcPr>
          <w:p w14:paraId="7B8DC4B6" w14:textId="77777777" w:rsidR="0056163C" w:rsidRDefault="000220F1">
            <w:r>
              <w:t>Unexpectedly large counts after combining files</w:t>
            </w:r>
          </w:p>
        </w:tc>
        <w:tc>
          <w:tcPr>
            <w:tcW w:w="6624" w:type="dxa"/>
          </w:tcPr>
          <w:p w14:paraId="7B8DC4B7" w14:textId="77777777" w:rsidR="0056163C" w:rsidRDefault="000220F1">
            <w:r>
              <w:t>Review the active files and the selected overlap method, particularly Add together (sum).</w:t>
            </w:r>
          </w:p>
        </w:tc>
      </w:tr>
      <w:tr w:rsidR="0056163C" w14:paraId="7B8DC4BB" w14:textId="77777777">
        <w:tc>
          <w:tcPr>
            <w:tcW w:w="3456" w:type="dxa"/>
          </w:tcPr>
          <w:p w14:paraId="7B8DC4B9" w14:textId="77777777" w:rsidR="0056163C" w:rsidRDefault="000220F1">
            <w:r>
              <w:t>Automatic baseline appears implausible</w:t>
            </w:r>
          </w:p>
        </w:tc>
        <w:tc>
          <w:tcPr>
            <w:tcW w:w="6624" w:type="dxa"/>
          </w:tcPr>
          <w:p w14:paraId="7B8DC4BA" w14:textId="77777777" w:rsidR="0056163C" w:rsidRDefault="000220F1">
            <w:r>
              <w:t>Inspect the selected units and their history, then compare the result with an appropriate manual expected weekly count.</w:t>
            </w:r>
          </w:p>
        </w:tc>
      </w:tr>
    </w:tbl>
    <w:p w14:paraId="7B8DC4BC" w14:textId="77777777" w:rsidR="0056163C" w:rsidRDefault="0056163C">
      <w:pPr>
        <w:spacing w:before="60" w:after="160" w:line="288" w:lineRule="auto"/>
        <w:rPr>
          <w:i/>
          <w:iCs/>
        </w:rPr>
      </w:pPr>
    </w:p>
    <w:p w14:paraId="7B8DC4BD" w14:textId="77777777" w:rsidR="0056163C" w:rsidRDefault="000220F1">
      <w:pPr>
        <w:spacing w:before="60" w:after="160" w:line="288" w:lineRule="auto"/>
        <w:rPr>
          <w:i/>
          <w:iCs/>
        </w:rPr>
      </w:pPr>
      <w:r>
        <w:rPr>
          <w:i/>
          <w:iCs/>
        </w:rPr>
        <w:t>Escalation package. When reporting a problem, include the active file names, selected country and level, location selection, parameter values, the preparation log and the exact error text. Do not send identifiable or restricted data through an unapproved channel.</w:t>
      </w:r>
    </w:p>
    <w:p w14:paraId="7B8DC4BE" w14:textId="77777777" w:rsidR="0056163C" w:rsidRDefault="0056163C">
      <w:pPr>
        <w:spacing w:before="60" w:after="160" w:line="288" w:lineRule="auto"/>
        <w:rPr>
          <w:i/>
          <w:iCs/>
        </w:rPr>
      </w:pPr>
    </w:p>
    <w:p w14:paraId="7B8DC4BF" w14:textId="77777777" w:rsidR="0056163C" w:rsidRDefault="000220F1">
      <w:pPr>
        <w:pStyle w:val="Ttulo1"/>
        <w:spacing w:before="120" w:after="120"/>
      </w:pPr>
      <w:r>
        <w:t>9. Glossary</w:t>
      </w:r>
    </w:p>
    <w:p w14:paraId="7B8DC4C0" w14:textId="77777777" w:rsidR="0056163C" w:rsidRDefault="0056163C"/>
    <w:tbl>
      <w:tblPr>
        <w:tblStyle w:val="a6"/>
        <w:tblW w:w="1008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56"/>
        <w:gridCol w:w="6624"/>
      </w:tblGrid>
      <w:tr w:rsidR="0056163C" w14:paraId="7B8DC4C3" w14:textId="77777777">
        <w:trPr>
          <w:tblHeader/>
        </w:trPr>
        <w:tc>
          <w:tcPr>
            <w:tcW w:w="3456" w:type="dxa"/>
          </w:tcPr>
          <w:p w14:paraId="7B8DC4C1" w14:textId="77777777" w:rsidR="0056163C" w:rsidRDefault="000220F1">
            <w:r>
              <w:rPr>
                <w:b/>
                <w:bCs/>
              </w:rPr>
              <w:t>Term</w:t>
            </w:r>
          </w:p>
        </w:tc>
        <w:tc>
          <w:tcPr>
            <w:tcW w:w="6624" w:type="dxa"/>
          </w:tcPr>
          <w:p w14:paraId="7B8DC4C2" w14:textId="77777777" w:rsidR="0056163C" w:rsidRDefault="000220F1">
            <w:r>
              <w:rPr>
                <w:b/>
                <w:bCs/>
              </w:rPr>
              <w:t>Meaning</w:t>
            </w:r>
          </w:p>
        </w:tc>
      </w:tr>
      <w:tr w:rsidR="0056163C" w14:paraId="7B8DC4C6" w14:textId="77777777">
        <w:tc>
          <w:tcPr>
            <w:tcW w:w="3456" w:type="dxa"/>
          </w:tcPr>
          <w:p w14:paraId="7B8DC4C4" w14:textId="77777777" w:rsidR="0056163C" w:rsidRDefault="000220F1">
            <w:r>
              <w:t>mu0 / expected frequency</w:t>
            </w:r>
          </w:p>
        </w:tc>
        <w:tc>
          <w:tcPr>
            <w:tcW w:w="6624" w:type="dxa"/>
          </w:tcPr>
          <w:p w14:paraId="7B8DC4C5" w14:textId="77777777" w:rsidR="0056163C" w:rsidRDefault="000220F1">
            <w:r>
              <w:t>The expected weekly case count for an analysis unit, against which observed counts are compared.</w:t>
            </w:r>
          </w:p>
        </w:tc>
      </w:tr>
      <w:tr w:rsidR="0056163C" w14:paraId="7B8DC4C9" w14:textId="77777777">
        <w:tc>
          <w:tcPr>
            <w:tcW w:w="3456" w:type="dxa"/>
          </w:tcPr>
          <w:p w14:paraId="7B8DC4C7" w14:textId="77777777" w:rsidR="0056163C" w:rsidRDefault="000220F1">
            <w:r>
              <w:t>k</w:t>
            </w:r>
          </w:p>
        </w:tc>
        <w:tc>
          <w:tcPr>
            <w:tcW w:w="6624" w:type="dxa"/>
          </w:tcPr>
          <w:p w14:paraId="7B8DC4C8" w14:textId="77777777" w:rsidR="0056163C" w:rsidRDefault="000220F1">
            <w:r>
              <w:t>The reference value that controls how strongly deviations from the expected count contribute to the CUSUM.</w:t>
            </w:r>
          </w:p>
        </w:tc>
      </w:tr>
      <w:tr w:rsidR="0056163C" w14:paraId="7B8DC4CC" w14:textId="77777777">
        <w:tc>
          <w:tcPr>
            <w:tcW w:w="3456" w:type="dxa"/>
          </w:tcPr>
          <w:p w14:paraId="7B8DC4CA" w14:textId="77777777" w:rsidR="0056163C" w:rsidRDefault="000220F1">
            <w:r>
              <w:t>h</w:t>
            </w:r>
          </w:p>
        </w:tc>
        <w:tc>
          <w:tcPr>
            <w:tcW w:w="6624" w:type="dxa"/>
          </w:tcPr>
          <w:p w14:paraId="7B8DC4CB" w14:textId="77777777" w:rsidR="0056163C" w:rsidRDefault="000220F1">
            <w:r>
              <w:t xml:space="preserve">The decision threshold that the cumulative </w:t>
            </w:r>
            <w:proofErr w:type="gramStart"/>
            <w:r>
              <w:t>statistic</w:t>
            </w:r>
            <w:proofErr w:type="gramEnd"/>
            <w:r>
              <w:t xml:space="preserve"> must reach </w:t>
            </w:r>
            <w:proofErr w:type="gramStart"/>
            <w:r>
              <w:t>in order to</w:t>
            </w:r>
            <w:proofErr w:type="gramEnd"/>
            <w:r>
              <w:t xml:space="preserve"> raise an alarm.</w:t>
            </w:r>
          </w:p>
        </w:tc>
      </w:tr>
      <w:tr w:rsidR="0056163C" w14:paraId="7B8DC4CF" w14:textId="77777777">
        <w:tc>
          <w:tcPr>
            <w:tcW w:w="3456" w:type="dxa"/>
          </w:tcPr>
          <w:p w14:paraId="7B8DC4CD" w14:textId="77777777" w:rsidR="0056163C" w:rsidRDefault="000220F1">
            <w:r>
              <w:t>ARL0</w:t>
            </w:r>
          </w:p>
        </w:tc>
        <w:tc>
          <w:tcPr>
            <w:tcW w:w="6624" w:type="dxa"/>
          </w:tcPr>
          <w:p w14:paraId="7B8DC4CE" w14:textId="77777777" w:rsidR="0056163C" w:rsidRDefault="000220F1">
            <w:r>
              <w:t xml:space="preserve">The average run length </w:t>
            </w:r>
            <w:proofErr w:type="gramStart"/>
            <w:r>
              <w:t>expected</w:t>
            </w:r>
            <w:proofErr w:type="gramEnd"/>
            <w:r>
              <w:t xml:space="preserve"> under the no-change condition: that is, the average number of weeks before a false alarm occurs when there is no real increase in cases.</w:t>
            </w:r>
          </w:p>
        </w:tc>
      </w:tr>
      <w:tr w:rsidR="0056163C" w14:paraId="7B8DC4D2" w14:textId="77777777">
        <w:tc>
          <w:tcPr>
            <w:tcW w:w="3456" w:type="dxa"/>
          </w:tcPr>
          <w:p w14:paraId="7B8DC4D0" w14:textId="77777777" w:rsidR="0056163C" w:rsidRDefault="000220F1">
            <w:r>
              <w:t>RR</w:t>
            </w:r>
          </w:p>
        </w:tc>
        <w:tc>
          <w:tcPr>
            <w:tcW w:w="6624" w:type="dxa"/>
          </w:tcPr>
          <w:p w14:paraId="7B8DC4D1" w14:textId="77777777" w:rsidR="0056163C" w:rsidRDefault="000220F1">
            <w:r>
              <w:t xml:space="preserve">The </w:t>
            </w:r>
            <w:proofErr w:type="gramStart"/>
            <w:r>
              <w:t>relative-risk</w:t>
            </w:r>
            <w:proofErr w:type="gramEnd"/>
            <w:r>
              <w:t xml:space="preserve"> </w:t>
            </w:r>
            <w:proofErr w:type="gramStart"/>
            <w:r>
              <w:t>increase</w:t>
            </w:r>
            <w:proofErr w:type="gramEnd"/>
            <w:r>
              <w:t xml:space="preserve"> that the design is intended to detect.</w:t>
            </w:r>
          </w:p>
        </w:tc>
      </w:tr>
      <w:tr w:rsidR="0056163C" w14:paraId="7B8DC4D5" w14:textId="77777777">
        <w:tc>
          <w:tcPr>
            <w:tcW w:w="3456" w:type="dxa"/>
          </w:tcPr>
          <w:p w14:paraId="7B8DC4D3" w14:textId="77777777" w:rsidR="0056163C" w:rsidRDefault="000220F1">
            <w:r>
              <w:t>Prepared week</w:t>
            </w:r>
          </w:p>
        </w:tc>
        <w:tc>
          <w:tcPr>
            <w:tcW w:w="6624" w:type="dxa"/>
          </w:tcPr>
          <w:p w14:paraId="7B8DC4D4" w14:textId="77777777" w:rsidR="0056163C" w:rsidRDefault="000220F1">
            <w:r>
              <w:t>A weekly row that is present in the dataset after aggregation and optional zero filling.</w:t>
            </w:r>
          </w:p>
        </w:tc>
      </w:tr>
      <w:tr w:rsidR="0056163C" w14:paraId="7B8DC4D8" w14:textId="77777777">
        <w:tc>
          <w:tcPr>
            <w:tcW w:w="3456" w:type="dxa"/>
          </w:tcPr>
          <w:p w14:paraId="7B8DC4D6" w14:textId="77777777" w:rsidR="0056163C" w:rsidRDefault="000220F1">
            <w:r>
              <w:t>Observed coverage</w:t>
            </w:r>
          </w:p>
        </w:tc>
        <w:tc>
          <w:tcPr>
            <w:tcW w:w="6624" w:type="dxa"/>
          </w:tcPr>
          <w:p w14:paraId="7B8DC4D7" w14:textId="77777777" w:rsidR="0056163C" w:rsidRDefault="000220F1">
            <w:r>
              <w:t>The proportion of prepared weeks that originate from observed uploaded records, rather than from inserted zero rows.</w:t>
            </w:r>
          </w:p>
        </w:tc>
      </w:tr>
    </w:tbl>
    <w:p w14:paraId="7B8DC4D9" w14:textId="77777777" w:rsidR="0056163C" w:rsidRDefault="000220F1">
      <w:pPr>
        <w:pStyle w:val="Ttulo1"/>
        <w:spacing w:before="120" w:after="120"/>
      </w:pPr>
      <w:r>
        <w:lastRenderedPageBreak/>
        <w:t>Summary</w:t>
      </w:r>
    </w:p>
    <w:p w14:paraId="7B8DC4DA" w14:textId="77777777" w:rsidR="0056163C" w:rsidRDefault="000220F1">
      <w:pPr>
        <w:spacing w:before="60" w:after="160" w:line="288" w:lineRule="auto"/>
        <w:jc w:val="both"/>
      </w:pPr>
      <w:r>
        <w:t>CUSUM-RAP is a configurable application for the early-warning analysis of weekly case counts. It reads prepared weekly data, builds unit-level baselines, applies the configured CUSUM parameters and produces heatmaps, detailed plots, tables and downloadable outputs. This revised manual clarifies the intended audience, the launch steps, the input structure, the interpretation of results and the troubleshooting procedures, so that users can apply the tool more consistently in routine surveillance settings.</w:t>
      </w:r>
    </w:p>
    <w:sectPr w:rsidR="0056163C" w:rsidSect="0036692A">
      <w:headerReference w:type="default" r:id="rId15"/>
      <w:footerReference w:type="default" r:id="rId16"/>
      <w:pgSz w:w="11907" w:h="16840" w:code="9"/>
      <w:pgMar w:top="1418" w:right="1418" w:bottom="1418" w:left="1418"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95287" w14:textId="77777777" w:rsidR="00FC308D" w:rsidRDefault="00FC308D">
      <w:pPr>
        <w:spacing w:after="0" w:line="240" w:lineRule="auto"/>
      </w:pPr>
      <w:r>
        <w:separator/>
      </w:r>
    </w:p>
  </w:endnote>
  <w:endnote w:type="continuationSeparator" w:id="0">
    <w:p w14:paraId="56D14853" w14:textId="77777777" w:rsidR="00FC308D" w:rsidRDefault="00FC30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328CC04-347E-4991-9536-6B7F78EE9242}"/>
    <w:embedBold r:id="rId2" w:fontKey="{38E0A870-9F9E-49E7-9514-080E84198C72}"/>
    <w:embedItalic r:id="rId3" w:fontKey="{7159FACD-A6EF-4E81-8E0E-DF33078E2F48}"/>
    <w:embedBoldItalic r:id="rId4" w:fontKey="{4EE6CE05-0565-43DD-8B93-E100BF3BC424}"/>
  </w:font>
  <w:font w:name="Open Sans">
    <w:charset w:val="00"/>
    <w:family w:val="swiss"/>
    <w:pitch w:val="variable"/>
    <w:sig w:usb0="E00002EF" w:usb1="4000205B" w:usb2="00000028" w:usb3="00000000" w:csb0="0000019F" w:csb1="00000000"/>
    <w:embedRegular r:id="rId5" w:fontKey="{D3A3F6DF-EFDD-4327-B29E-78D9D1A19961}"/>
    <w:embedBold r:id="rId6" w:fontKey="{58F155F1-7AD2-4FF4-8D9B-8801A83D76A7}"/>
  </w:font>
  <w:font w:name="Cambria">
    <w:panose1 w:val="02040503050406030204"/>
    <w:charset w:val="00"/>
    <w:family w:val="roman"/>
    <w:pitch w:val="variable"/>
    <w:sig w:usb0="E00006FF" w:usb1="420024FF" w:usb2="02000000" w:usb3="00000000" w:csb0="0000019F" w:csb1="00000000"/>
    <w:embedRegular r:id="rId7" w:fontKey="{F41ADA9D-0ECF-49CA-AF0A-72241762DF6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DC4E9" w14:textId="1FB06302" w:rsidR="0056163C" w:rsidRDefault="000220F1">
    <w:pPr>
      <w:jc w:val="right"/>
    </w:pPr>
    <w:r>
      <w:fldChar w:fldCharType="begin"/>
    </w:r>
    <w:r>
      <w:instrText>PAGE</w:instrText>
    </w:r>
    <w:r>
      <w:fldChar w:fldCharType="separate"/>
    </w:r>
    <w:r w:rsidR="00350D1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89AD3F" w14:textId="77777777" w:rsidR="00FC308D" w:rsidRDefault="00FC308D">
      <w:pPr>
        <w:spacing w:after="0" w:line="240" w:lineRule="auto"/>
      </w:pPr>
      <w:r>
        <w:separator/>
      </w:r>
    </w:p>
  </w:footnote>
  <w:footnote w:type="continuationSeparator" w:id="0">
    <w:p w14:paraId="7F11F117" w14:textId="77777777" w:rsidR="00FC308D" w:rsidRDefault="00FC30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E3305" w14:textId="2172E3BD" w:rsidR="0036692A" w:rsidRDefault="0036692A" w:rsidP="0036692A">
    <w:pPr>
      <w:pStyle w:val="Encabezado"/>
      <w:jc w:val="right"/>
    </w:pPr>
    <w:r>
      <w:rPr>
        <w:noProof/>
        <w:color w:val="000000"/>
      </w:rPr>
      <w:drawing>
        <wp:inline distT="114300" distB="114300" distL="114300" distR="114300" wp14:anchorId="4F97883A" wp14:editId="0351E640">
          <wp:extent cx="1920875" cy="332331"/>
          <wp:effectExtent l="0" t="0" r="0" b="0"/>
          <wp:docPr id="73576193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1920875" cy="332331"/>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44CC8"/>
    <w:multiLevelType w:val="multilevel"/>
    <w:tmpl w:val="A76097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233F5D08"/>
    <w:multiLevelType w:val="multilevel"/>
    <w:tmpl w:val="6A804E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D5B44FA"/>
    <w:multiLevelType w:val="multilevel"/>
    <w:tmpl w:val="B7C8F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31505258">
    <w:abstractNumId w:val="0"/>
  </w:num>
  <w:num w:numId="2" w16cid:durableId="938483271">
    <w:abstractNumId w:val="1"/>
  </w:num>
  <w:num w:numId="3" w16cid:durableId="18733770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163C"/>
    <w:rsid w:val="000220F1"/>
    <w:rsid w:val="00127DD6"/>
    <w:rsid w:val="00212EA6"/>
    <w:rsid w:val="00350D15"/>
    <w:rsid w:val="0036692A"/>
    <w:rsid w:val="004115C9"/>
    <w:rsid w:val="0056163C"/>
    <w:rsid w:val="005A6208"/>
    <w:rsid w:val="00745FAB"/>
    <w:rsid w:val="00862961"/>
    <w:rsid w:val="00B23653"/>
    <w:rsid w:val="00B64E13"/>
    <w:rsid w:val="00BE6460"/>
    <w:rsid w:val="00CD71E4"/>
    <w:rsid w:val="00D262E5"/>
    <w:rsid w:val="00D7396D"/>
    <w:rsid w:val="00FC30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DC392"/>
  <w15:docId w15:val="{2EF54AC6-2ACE-45DE-8F3F-6B312820E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0"/>
      <w:outlineLvl w:val="0"/>
    </w:pPr>
    <w:rPr>
      <w:rFonts w:ascii="Calibri" w:eastAsia="Calibri" w:hAnsi="Calibri" w:cs="Calibri"/>
      <w:b/>
      <w:bCs/>
      <w:color w:val="366091"/>
      <w:sz w:val="32"/>
      <w:szCs w:val="32"/>
    </w:rPr>
  </w:style>
  <w:style w:type="paragraph" w:styleId="Ttulo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Ttulo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Ttulo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Ttulo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Ttulo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44"/>
      <w:szCs w:val="44"/>
    </w:rPr>
  </w:style>
  <w:style w:type="paragraph" w:styleId="Subttulo">
    <w:name w:val="Subtitle"/>
    <w:basedOn w:val="Normal"/>
    <w:next w:val="Normal"/>
    <w:uiPriority w:val="11"/>
    <w:qFormat/>
    <w:rPr>
      <w:rFonts w:ascii="Calibri" w:eastAsia="Calibri" w:hAnsi="Calibri" w:cs="Calibri"/>
      <w:i/>
      <w:iCs/>
      <w:color w:val="4F81BD"/>
      <w:sz w:val="28"/>
      <w:szCs w:val="2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paragraph" w:styleId="Encabezado">
    <w:name w:val="header"/>
    <w:basedOn w:val="Normal"/>
    <w:link w:val="EncabezadoCar"/>
    <w:uiPriority w:val="99"/>
    <w:unhideWhenUsed/>
    <w:rsid w:val="0036692A"/>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36692A"/>
  </w:style>
  <w:style w:type="paragraph" w:styleId="Piedepgina">
    <w:name w:val="footer"/>
    <w:basedOn w:val="Normal"/>
    <w:link w:val="PiedepginaCar"/>
    <w:uiPriority w:val="99"/>
    <w:unhideWhenUsed/>
    <w:rsid w:val="0036692A"/>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3669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n4Bztzck427EnjwC0X0PJV+eBg==">CgMxLjAyDmgudmxwcXQ2N3c0dTU4Mg5oLmk5aGs3cHNma2lpODIOaC5wcWtkaW9uNzQxN2IyDmgucjBzZjVoNHlkaGVrOAByITEwRE5wbHRqQmdVcFBrelBLTm5Qd0xic2xBZXN6TFRWcg==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14</Pages>
  <Words>2386</Words>
  <Characters>13602</Characters>
  <Application>Microsoft Office Word</Application>
  <DocSecurity>0</DocSecurity>
  <Lines>113</Lines>
  <Paragraphs>31</Paragraphs>
  <ScaleCrop>false</ScaleCrop>
  <Company/>
  <LinksUpToDate>false</LinksUpToDate>
  <CharactersWithSpaces>15957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Maisa Havela</cp:lastModifiedBy>
  <cp:revision>11</cp:revision>
  <dcterms:created xsi:type="dcterms:W3CDTF">2026-07-29T20:19:00Z</dcterms:created>
  <dcterms:modified xsi:type="dcterms:W3CDTF">2026-08-02T14:09:00Z</dcterms:modified>
</cp:coreProperties>
</file>