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52922" w14:textId="77777777" w:rsidR="00DC57CC" w:rsidRPr="00087665" w:rsidRDefault="004B2500" w:rsidP="000B1333">
      <w:pPr>
        <w:spacing w:before="120" w:after="12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Methods for </w:t>
      </w:r>
      <w:r w:rsidR="00893CFB">
        <w:rPr>
          <w:b/>
          <w:sz w:val="24"/>
          <w:szCs w:val="24"/>
        </w:rPr>
        <w:t>Convey</w:t>
      </w:r>
      <w:r>
        <w:rPr>
          <w:b/>
          <w:sz w:val="24"/>
          <w:szCs w:val="24"/>
        </w:rPr>
        <w:t xml:space="preserve">ing </w:t>
      </w:r>
      <w:r w:rsidR="008B0857" w:rsidRPr="00087665">
        <w:rPr>
          <w:b/>
          <w:sz w:val="24"/>
          <w:szCs w:val="24"/>
        </w:rPr>
        <w:t xml:space="preserve">Unknown </w:t>
      </w:r>
      <w:r w:rsidR="00947734" w:rsidRPr="00087665">
        <w:rPr>
          <w:b/>
          <w:sz w:val="24"/>
          <w:szCs w:val="24"/>
        </w:rPr>
        <w:t xml:space="preserve">or Missing </w:t>
      </w:r>
      <w:r w:rsidR="008B0857" w:rsidRPr="00087665">
        <w:rPr>
          <w:b/>
          <w:sz w:val="24"/>
          <w:szCs w:val="24"/>
        </w:rPr>
        <w:t>Values in Case Notification Messages</w:t>
      </w:r>
    </w:p>
    <w:p w14:paraId="7D97CF2B" w14:textId="07F8CEB4" w:rsidR="005D12E9" w:rsidRPr="00087665" w:rsidRDefault="00E6476F" w:rsidP="000B1333">
      <w:pPr>
        <w:spacing w:before="120"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November 8</w:t>
      </w:r>
      <w:r w:rsidR="0094007E">
        <w:rPr>
          <w:b/>
          <w:sz w:val="24"/>
          <w:szCs w:val="24"/>
        </w:rPr>
        <w:t>, 201</w:t>
      </w:r>
      <w:r w:rsidR="006B1368">
        <w:rPr>
          <w:b/>
          <w:sz w:val="24"/>
          <w:szCs w:val="24"/>
        </w:rPr>
        <w:t>6</w:t>
      </w:r>
    </w:p>
    <w:p w14:paraId="43F3B250" w14:textId="77777777" w:rsidR="000274DB" w:rsidRDefault="000274DB" w:rsidP="00265D6E">
      <w:pPr>
        <w:pStyle w:val="ListParagraph"/>
        <w:spacing w:after="0" w:line="240" w:lineRule="auto"/>
        <w:ind w:left="0"/>
        <w:contextualSpacing w:val="0"/>
        <w:rPr>
          <w:b/>
        </w:rPr>
      </w:pPr>
    </w:p>
    <w:p w14:paraId="770C6D1E" w14:textId="77777777" w:rsidR="000C31BE" w:rsidRPr="000C31BE" w:rsidRDefault="000C31BE" w:rsidP="00F431E0">
      <w:pPr>
        <w:spacing w:after="0" w:line="240" w:lineRule="auto"/>
        <w:rPr>
          <w:b/>
          <w:u w:val="single"/>
        </w:rPr>
      </w:pPr>
      <w:r w:rsidRPr="000C31BE">
        <w:rPr>
          <w:b/>
          <w:u w:val="single"/>
        </w:rPr>
        <w:t>Background</w:t>
      </w:r>
    </w:p>
    <w:p w14:paraId="32C311BC" w14:textId="77777777" w:rsidR="000C31BE" w:rsidRDefault="000C31BE" w:rsidP="00F431E0">
      <w:pPr>
        <w:spacing w:after="0" w:line="240" w:lineRule="auto"/>
      </w:pPr>
    </w:p>
    <w:p w14:paraId="008C1A44" w14:textId="69B94FAE" w:rsidR="000274DB" w:rsidRPr="000274DB" w:rsidRDefault="000274DB" w:rsidP="00F431E0">
      <w:pPr>
        <w:spacing w:after="0" w:line="240" w:lineRule="auto"/>
      </w:pPr>
      <w:r w:rsidRPr="000274DB">
        <w:t xml:space="preserve">During the </w:t>
      </w:r>
      <w:r w:rsidR="008A36F2">
        <w:t>Message Mapping Guide</w:t>
      </w:r>
      <w:r w:rsidR="005D67E8">
        <w:t>s</w:t>
      </w:r>
      <w:r w:rsidR="008A36F2">
        <w:t xml:space="preserve"> (</w:t>
      </w:r>
      <w:r w:rsidRPr="000274DB">
        <w:t>MMG</w:t>
      </w:r>
      <w:r w:rsidR="005D67E8">
        <w:t>s</w:t>
      </w:r>
      <w:r w:rsidR="008A36F2">
        <w:t>)</w:t>
      </w:r>
      <w:r w:rsidR="00C548F9">
        <w:t xml:space="preserve"> development process</w:t>
      </w:r>
      <w:r w:rsidRPr="000274DB">
        <w:t xml:space="preserve">, the </w:t>
      </w:r>
      <w:r w:rsidR="008A36F2">
        <w:t xml:space="preserve">CDC </w:t>
      </w:r>
      <w:r w:rsidRPr="000274DB">
        <w:t>Program</w:t>
      </w:r>
      <w:r w:rsidR="005D67E8">
        <w:t xml:space="preserve">s </w:t>
      </w:r>
      <w:r w:rsidRPr="000274DB">
        <w:t xml:space="preserve">identified a specific need to differentiate between a “missing” value </w:t>
      </w:r>
      <w:r w:rsidR="002D22DA">
        <w:t>(</w:t>
      </w:r>
      <w:r w:rsidR="002D22DA">
        <w:rPr>
          <w:lang w:val="en"/>
        </w:rPr>
        <w:t xml:space="preserve">no </w:t>
      </w:r>
      <w:r w:rsidR="006C2515">
        <w:rPr>
          <w:lang w:val="en"/>
        </w:rPr>
        <w:t xml:space="preserve">value </w:t>
      </w:r>
      <w:r w:rsidR="000D5196">
        <w:rPr>
          <w:lang w:val="en"/>
        </w:rPr>
        <w:t>is record</w:t>
      </w:r>
      <w:r w:rsidR="002D22DA">
        <w:rPr>
          <w:lang w:val="en"/>
        </w:rPr>
        <w:t>ed for the</w:t>
      </w:r>
      <w:r w:rsidR="006C2515">
        <w:rPr>
          <w:lang w:val="en"/>
        </w:rPr>
        <w:t xml:space="preserve"> variable i</w:t>
      </w:r>
      <w:r w:rsidR="002D22DA">
        <w:rPr>
          <w:lang w:val="en"/>
        </w:rPr>
        <w:t xml:space="preserve">n </w:t>
      </w:r>
      <w:r w:rsidR="000F6C89">
        <w:rPr>
          <w:lang w:val="en"/>
        </w:rPr>
        <w:t xml:space="preserve">an </w:t>
      </w:r>
      <w:r w:rsidR="006C2515">
        <w:rPr>
          <w:lang w:val="en"/>
        </w:rPr>
        <w:t>observation</w:t>
      </w:r>
      <w:r w:rsidR="002D22DA">
        <w:rPr>
          <w:lang w:val="en"/>
        </w:rPr>
        <w:t xml:space="preserve">) </w:t>
      </w:r>
      <w:r w:rsidRPr="000274DB">
        <w:t xml:space="preserve">and a value of “unknown” </w:t>
      </w:r>
      <w:r w:rsidR="000D5196">
        <w:t xml:space="preserve">(a value is applicable but unknown) </w:t>
      </w:r>
      <w:r w:rsidRPr="000274DB">
        <w:t xml:space="preserve">for </w:t>
      </w:r>
      <w:r w:rsidR="00DC3C36">
        <w:t xml:space="preserve">some key </w:t>
      </w:r>
      <w:r w:rsidRPr="000274DB">
        <w:t>numeric, date</w:t>
      </w:r>
      <w:r w:rsidR="008A36F2">
        <w:t>,</w:t>
      </w:r>
      <w:r w:rsidRPr="000274DB">
        <w:t xml:space="preserve"> and coded data elements in case notification messages.  To accommodate this request, the NNDSS and </w:t>
      </w:r>
      <w:r w:rsidR="00D1599B">
        <w:t xml:space="preserve">CDC </w:t>
      </w:r>
      <w:r w:rsidR="008A36F2">
        <w:t>Message and Vocabulary (</w:t>
      </w:r>
      <w:r w:rsidRPr="000274DB">
        <w:t>M&amp;V</w:t>
      </w:r>
      <w:r w:rsidR="008A36F2">
        <w:t>)</w:t>
      </w:r>
      <w:r w:rsidRPr="000274DB">
        <w:t xml:space="preserve"> </w:t>
      </w:r>
      <w:r w:rsidR="00D1599B">
        <w:t>t</w:t>
      </w:r>
      <w:r w:rsidRPr="000274DB">
        <w:t xml:space="preserve">eams initiated a review of possible technical solutions for those jurisdictions that can </w:t>
      </w:r>
      <w:r w:rsidR="00C548F9">
        <w:t xml:space="preserve">already </w:t>
      </w:r>
      <w:r w:rsidRPr="000274DB">
        <w:t xml:space="preserve">capture the concept of </w:t>
      </w:r>
      <w:r w:rsidR="00E50DBE">
        <w:t>“</w:t>
      </w:r>
      <w:r w:rsidRPr="000274DB">
        <w:t>unknown</w:t>
      </w:r>
      <w:r w:rsidR="008A36F2">
        <w:t>.</w:t>
      </w:r>
      <w:r w:rsidR="00E50DBE">
        <w:t>”</w:t>
      </w:r>
      <w:r w:rsidR="00E4637A">
        <w:t xml:space="preserve">  </w:t>
      </w:r>
      <w:r w:rsidR="008A36F2">
        <w:t>Although</w:t>
      </w:r>
      <w:r w:rsidR="00224F6E">
        <w:t xml:space="preserve"> </w:t>
      </w:r>
      <w:r w:rsidR="007459A9">
        <w:t>an empty data field effectively communicates that information is</w:t>
      </w:r>
      <w:r w:rsidR="00224F6E">
        <w:t xml:space="preserve"> “</w:t>
      </w:r>
      <w:r w:rsidR="007B5AC5">
        <w:t>missing</w:t>
      </w:r>
      <w:r w:rsidR="00224F6E">
        <w:t>”</w:t>
      </w:r>
      <w:r w:rsidR="00C7670F">
        <w:t>,</w:t>
      </w:r>
      <w:r w:rsidR="00224F6E">
        <w:t xml:space="preserve"> </w:t>
      </w:r>
      <w:r w:rsidR="000D5196">
        <w:t xml:space="preserve">a designated code or value </w:t>
      </w:r>
      <w:r w:rsidR="00FD70CF">
        <w:t xml:space="preserve">is </w:t>
      </w:r>
      <w:r w:rsidR="000D5196">
        <w:t xml:space="preserve">still </w:t>
      </w:r>
      <w:r w:rsidR="00FD70CF">
        <w:t xml:space="preserve">needed </w:t>
      </w:r>
      <w:r w:rsidR="00224F6E">
        <w:t xml:space="preserve">to allow differentiation of “unknown” </w:t>
      </w:r>
      <w:r w:rsidR="000731D8">
        <w:t>at the data entry</w:t>
      </w:r>
      <w:r w:rsidR="00532F6D">
        <w:t>, data transmission</w:t>
      </w:r>
      <w:r w:rsidR="000731D8">
        <w:t xml:space="preserve"> and data provisioning level</w:t>
      </w:r>
      <w:r w:rsidR="008C506D">
        <w:t>s</w:t>
      </w:r>
      <w:r w:rsidR="00224F6E">
        <w:t xml:space="preserve">.  </w:t>
      </w:r>
    </w:p>
    <w:p w14:paraId="19D84253" w14:textId="77777777" w:rsidR="000274DB" w:rsidRDefault="000274DB" w:rsidP="00F431E0">
      <w:pPr>
        <w:spacing w:after="0" w:line="240" w:lineRule="auto"/>
        <w:rPr>
          <w:b/>
        </w:rPr>
      </w:pPr>
    </w:p>
    <w:p w14:paraId="187536A8" w14:textId="77777777" w:rsidR="00224F6E" w:rsidRDefault="00532F6D" w:rsidP="00F431E0">
      <w:pPr>
        <w:spacing w:after="0" w:line="240" w:lineRule="auto"/>
      </w:pPr>
      <w:r>
        <w:t>D</w:t>
      </w:r>
      <w:r w:rsidRPr="000274DB">
        <w:t>uring the requirements gathering phase</w:t>
      </w:r>
      <w:r>
        <w:t xml:space="preserve">, </w:t>
      </w:r>
      <w:r w:rsidR="008A36F2">
        <w:t>CDC p</w:t>
      </w:r>
      <w:r w:rsidR="00224F6E" w:rsidRPr="000274DB">
        <w:t xml:space="preserve">rogram </w:t>
      </w:r>
      <w:r w:rsidR="008A36F2">
        <w:t>s</w:t>
      </w:r>
      <w:r w:rsidR="00224F6E" w:rsidRPr="000274DB">
        <w:t xml:space="preserve">ubject </w:t>
      </w:r>
      <w:r w:rsidR="008A36F2">
        <w:t>m</w:t>
      </w:r>
      <w:r w:rsidR="00224F6E" w:rsidRPr="000274DB">
        <w:t xml:space="preserve">atter </w:t>
      </w:r>
      <w:r w:rsidR="008A36F2">
        <w:t>e</w:t>
      </w:r>
      <w:r w:rsidR="00224F6E" w:rsidRPr="000274DB">
        <w:t xml:space="preserve">xperts (SMEs) will </w:t>
      </w:r>
      <w:r w:rsidR="0028358C">
        <w:t>identify</w:t>
      </w:r>
      <w:r w:rsidR="00661EBC">
        <w:t xml:space="preserve"> </w:t>
      </w:r>
      <w:r w:rsidR="00387785">
        <w:t>any</w:t>
      </w:r>
      <w:r w:rsidR="00387785" w:rsidRPr="000274DB">
        <w:t xml:space="preserve"> </w:t>
      </w:r>
      <w:r w:rsidR="007B5AC5">
        <w:t xml:space="preserve">key </w:t>
      </w:r>
      <w:r w:rsidR="00224F6E">
        <w:t>data elements</w:t>
      </w:r>
      <w:r w:rsidR="00224F6E" w:rsidRPr="000274DB">
        <w:t xml:space="preserve"> in their MMGs </w:t>
      </w:r>
      <w:r w:rsidR="00661EBC">
        <w:t xml:space="preserve">for which they </w:t>
      </w:r>
      <w:r w:rsidR="00387785">
        <w:t>request that the health jurisdictions</w:t>
      </w:r>
      <w:r w:rsidR="00224F6E" w:rsidRPr="000274DB">
        <w:t xml:space="preserve"> differentiate “unknown” from “missing” values in case notification messages</w:t>
      </w:r>
      <w:r w:rsidR="00B2078E">
        <w:t>.</w:t>
      </w:r>
      <w:r w:rsidR="00224F6E" w:rsidRPr="000274DB">
        <w:t xml:space="preserve">  The </w:t>
      </w:r>
      <w:r w:rsidR="00D1599B">
        <w:t xml:space="preserve">CDC </w:t>
      </w:r>
      <w:r w:rsidR="008A36F2">
        <w:t>p</w:t>
      </w:r>
      <w:r w:rsidR="00224F6E" w:rsidRPr="000274DB">
        <w:t xml:space="preserve">rograms will be responsible for vetting these choices with the appropriate data collection personnel at the jurisdictional level </w:t>
      </w:r>
      <w:r w:rsidR="000731D8" w:rsidRPr="000731D8">
        <w:t xml:space="preserve">(in advance of the external comment period) </w:t>
      </w:r>
      <w:r w:rsidR="00224F6E" w:rsidRPr="000274DB">
        <w:t xml:space="preserve">as part of the requirements gathering </w:t>
      </w:r>
      <w:r w:rsidR="00E50DBE">
        <w:t xml:space="preserve">phase </w:t>
      </w:r>
      <w:r w:rsidR="00224F6E" w:rsidRPr="000274DB">
        <w:t>and vocabulary development for the MMG</w:t>
      </w:r>
      <w:r w:rsidR="00D1599B">
        <w:t xml:space="preserve">. </w:t>
      </w:r>
      <w:r w:rsidR="005D67E8">
        <w:t xml:space="preserve"> </w:t>
      </w:r>
      <w:r w:rsidR="00D1599B">
        <w:t xml:space="preserve">This vetting </w:t>
      </w:r>
      <w:r w:rsidR="00661EBC">
        <w:t xml:space="preserve">process </w:t>
      </w:r>
      <w:r w:rsidR="00D1599B">
        <w:t>will help</w:t>
      </w:r>
      <w:r w:rsidR="00224F6E" w:rsidRPr="000274DB">
        <w:t xml:space="preserve"> to minimize the rework that might be needed if the feedback is received as part of the </w:t>
      </w:r>
      <w:r w:rsidR="008A36F2">
        <w:t>6</w:t>
      </w:r>
      <w:r w:rsidR="00224F6E" w:rsidRPr="000274DB">
        <w:t>-week external comment period</w:t>
      </w:r>
      <w:r w:rsidR="00387785">
        <w:t xml:space="preserve"> on the MMG</w:t>
      </w:r>
      <w:r w:rsidR="00224F6E" w:rsidRPr="000274DB">
        <w:t>.</w:t>
      </w:r>
    </w:p>
    <w:p w14:paraId="63BE9B77" w14:textId="77777777" w:rsidR="005D67E8" w:rsidRDefault="005D67E8" w:rsidP="00F431E0">
      <w:pPr>
        <w:spacing w:after="0" w:line="240" w:lineRule="auto"/>
      </w:pPr>
    </w:p>
    <w:p w14:paraId="57C59F6D" w14:textId="77777777" w:rsidR="00E54766" w:rsidRPr="008F04AC" w:rsidRDefault="005D67E8" w:rsidP="00F431E0">
      <w:pPr>
        <w:spacing w:after="0" w:line="240" w:lineRule="auto"/>
      </w:pPr>
      <w:r w:rsidRPr="008F04AC">
        <w:t>In general, reporting jurisdictions should plan to send all</w:t>
      </w:r>
      <w:r w:rsidR="00C548F9" w:rsidRPr="008F04AC">
        <w:t xml:space="preserve"> the data elements from the MMGs that they currently collect within their surveillance systems, and they are encouraged to consider adding </w:t>
      </w:r>
      <w:r w:rsidR="00661EBC" w:rsidRPr="008F04AC">
        <w:t xml:space="preserve">all of </w:t>
      </w:r>
      <w:r w:rsidR="00C548F9" w:rsidRPr="008F04AC">
        <w:t>the requested elements to their systems as resources become available.  If information is not available for a data element for a specific case, no value would be transmitted (i.e., the field would be empty)</w:t>
      </w:r>
      <w:r w:rsidR="00661EBC" w:rsidRPr="008F04AC">
        <w:t xml:space="preserve"> in the HL7 message</w:t>
      </w:r>
      <w:r w:rsidR="006B1368" w:rsidRPr="008F04AC">
        <w:rPr>
          <w:sz w:val="28"/>
          <w:szCs w:val="28"/>
        </w:rPr>
        <w:t xml:space="preserve"> </w:t>
      </w:r>
      <w:r w:rsidR="006B1368" w:rsidRPr="008F04AC">
        <w:t>or, if the data element is not required, the OBX segment does not need to be sent in the message</w:t>
      </w:r>
      <w:r w:rsidR="00C548F9" w:rsidRPr="008F04AC">
        <w:t>.  However, for data elements where the CDC Program has requested that “unknown” values be distinguished from those that are simply “missing”, the following guidelines should be used.</w:t>
      </w:r>
      <w:r w:rsidR="00F946AD" w:rsidRPr="008F04AC">
        <w:t xml:space="preserve">  </w:t>
      </w:r>
    </w:p>
    <w:p w14:paraId="3B5E22F0" w14:textId="77777777" w:rsidR="00E54766" w:rsidRPr="008F04AC" w:rsidRDefault="00E54766" w:rsidP="00F431E0">
      <w:pPr>
        <w:spacing w:after="0" w:line="240" w:lineRule="auto"/>
      </w:pPr>
    </w:p>
    <w:p w14:paraId="225F10EB" w14:textId="758F2CEF" w:rsidR="005D67E8" w:rsidRPr="000274DB" w:rsidRDefault="00E54766" w:rsidP="00F431E0">
      <w:pPr>
        <w:spacing w:after="0" w:line="240" w:lineRule="auto"/>
      </w:pPr>
      <w:r w:rsidRPr="008F04AC">
        <w:t xml:space="preserve">Please note that fields that are “required” in the message may not be left empty and may not be populated as an unknown value.  </w:t>
      </w:r>
      <w:r w:rsidR="00135B4E" w:rsidRPr="008F04AC">
        <w:t>If the jurisdiction captures only a “yes” reply and will never be able to differentiate between “no” or “unkno</w:t>
      </w:r>
      <w:r w:rsidR="00CC7ACB" w:rsidRPr="008F04AC">
        <w:t>wn” values for a particular data</w:t>
      </w:r>
      <w:r w:rsidR="00135B4E" w:rsidRPr="008F04AC">
        <w:t xml:space="preserve"> element of interest to the CDC Program, jurisdictions will need to document that they do not have the capacity to make this distinction for the data element in question</w:t>
      </w:r>
      <w:r w:rsidR="002E7DE2" w:rsidRPr="008F04AC">
        <w:rPr>
          <w:color w:val="FF0000"/>
        </w:rPr>
        <w:t xml:space="preserve"> </w:t>
      </w:r>
      <w:r w:rsidR="002E7DE2" w:rsidRPr="008F04AC">
        <w:t>while either pilot testing the MMG, or during the onboarding process</w:t>
      </w:r>
      <w:r w:rsidR="00135B4E" w:rsidRPr="008F04AC">
        <w:t>.</w:t>
      </w:r>
    </w:p>
    <w:p w14:paraId="3418B9B9" w14:textId="77777777" w:rsidR="00F431E0" w:rsidRDefault="00F431E0" w:rsidP="00265D6E">
      <w:pPr>
        <w:pStyle w:val="ListParagraph"/>
        <w:spacing w:after="0" w:line="240" w:lineRule="auto"/>
        <w:ind w:left="0"/>
        <w:contextualSpacing w:val="0"/>
        <w:rPr>
          <w:b/>
          <w:u w:val="single"/>
        </w:rPr>
      </w:pPr>
    </w:p>
    <w:p w14:paraId="3399CA72" w14:textId="77777777" w:rsidR="005A4DC8" w:rsidRPr="000274DB" w:rsidRDefault="005A4DC8" w:rsidP="00502E72">
      <w:pPr>
        <w:pStyle w:val="ListParagraph"/>
        <w:spacing w:after="0" w:line="240" w:lineRule="auto"/>
        <w:ind w:left="0"/>
        <w:contextualSpacing w:val="0"/>
        <w:rPr>
          <w:b/>
          <w:u w:val="single"/>
        </w:rPr>
      </w:pPr>
      <w:r w:rsidRPr="000274DB">
        <w:rPr>
          <w:b/>
          <w:u w:val="single"/>
        </w:rPr>
        <w:t xml:space="preserve">Coded </w:t>
      </w:r>
      <w:r w:rsidR="008A36F2">
        <w:rPr>
          <w:b/>
          <w:u w:val="single"/>
        </w:rPr>
        <w:t>D</w:t>
      </w:r>
      <w:r w:rsidR="000B63A5" w:rsidRPr="000274DB">
        <w:rPr>
          <w:b/>
          <w:u w:val="single"/>
        </w:rPr>
        <w:t xml:space="preserve">ata </w:t>
      </w:r>
      <w:r w:rsidR="008A36F2">
        <w:rPr>
          <w:b/>
          <w:u w:val="single"/>
        </w:rPr>
        <w:t>E</w:t>
      </w:r>
      <w:r w:rsidR="00DE69E4" w:rsidRPr="000274DB">
        <w:rPr>
          <w:b/>
          <w:u w:val="single"/>
        </w:rPr>
        <w:t>lements</w:t>
      </w:r>
    </w:p>
    <w:p w14:paraId="2DF841E5" w14:textId="77777777" w:rsidR="000B63A5" w:rsidRPr="000274DB" w:rsidRDefault="000B63A5" w:rsidP="00502E72">
      <w:pPr>
        <w:pStyle w:val="ListParagraph"/>
        <w:spacing w:after="0" w:line="240" w:lineRule="auto"/>
        <w:ind w:left="0"/>
        <w:contextualSpacing w:val="0"/>
        <w:rPr>
          <w:b/>
        </w:rPr>
      </w:pPr>
    </w:p>
    <w:p w14:paraId="2804B6CC" w14:textId="77777777" w:rsidR="00B62AA2" w:rsidRPr="000274DB" w:rsidRDefault="007B7194" w:rsidP="00502E72">
      <w:pPr>
        <w:pStyle w:val="ListParagraph"/>
        <w:spacing w:after="0" w:line="240" w:lineRule="auto"/>
        <w:ind w:left="0"/>
        <w:contextualSpacing w:val="0"/>
      </w:pPr>
      <w:r w:rsidRPr="000274DB">
        <w:t xml:space="preserve">For coded data elements, </w:t>
      </w:r>
      <w:r w:rsidR="00661EBC">
        <w:t xml:space="preserve">where the CDC Program requests that “unknown” be distinguished from “missing”, CDC requests that the submitting jurisdiction </w:t>
      </w:r>
      <w:r w:rsidR="00947734" w:rsidRPr="000274DB">
        <w:t>add “unknown”</w:t>
      </w:r>
      <w:r w:rsidR="00224F6E">
        <w:t xml:space="preserve"> </w:t>
      </w:r>
      <w:r w:rsidR="00947734" w:rsidRPr="000274DB">
        <w:t>and other</w:t>
      </w:r>
      <w:r w:rsidR="00D50978" w:rsidRPr="000274DB">
        <w:t xml:space="preserve"> null flavors</w:t>
      </w:r>
      <w:r w:rsidR="00784700" w:rsidRPr="000274DB">
        <w:t xml:space="preserve"> (see </w:t>
      </w:r>
      <w:r w:rsidR="00D1599B">
        <w:t>A</w:t>
      </w:r>
      <w:r w:rsidR="00784700" w:rsidRPr="000274DB">
        <w:t>ppendix</w:t>
      </w:r>
      <w:r w:rsidR="00FA347C">
        <w:t xml:space="preserve"> 1</w:t>
      </w:r>
      <w:r w:rsidR="00784700" w:rsidRPr="000274DB">
        <w:t xml:space="preserve"> for complete null flavor value set</w:t>
      </w:r>
      <w:r w:rsidR="00D50978" w:rsidRPr="000274DB">
        <w:t>)</w:t>
      </w:r>
      <w:r w:rsidR="00947734" w:rsidRPr="000274DB">
        <w:t xml:space="preserve"> </w:t>
      </w:r>
      <w:r w:rsidR="00224F6E">
        <w:t>to</w:t>
      </w:r>
      <w:r w:rsidR="00947734" w:rsidRPr="000274DB">
        <w:t xml:space="preserve"> </w:t>
      </w:r>
      <w:r w:rsidR="00661EBC">
        <w:t xml:space="preserve">the </w:t>
      </w:r>
      <w:r w:rsidR="00947734" w:rsidRPr="000274DB">
        <w:t xml:space="preserve">coded value sets.  </w:t>
      </w:r>
      <w:r w:rsidR="00D1599B">
        <w:t>CDC p</w:t>
      </w:r>
      <w:r w:rsidR="00E4637A">
        <w:t xml:space="preserve">rograms will have the discretion to </w:t>
      </w:r>
      <w:r w:rsidR="00661EBC">
        <w:t xml:space="preserve">request the use of </w:t>
      </w:r>
      <w:r w:rsidR="00E4637A">
        <w:t xml:space="preserve">any subset of these null flavors for </w:t>
      </w:r>
      <w:r w:rsidR="00661EBC">
        <w:t xml:space="preserve">the </w:t>
      </w:r>
      <w:r w:rsidR="00E4637A">
        <w:t xml:space="preserve">identified value sets.  </w:t>
      </w:r>
      <w:r w:rsidR="00387785">
        <w:t>This</w:t>
      </w:r>
      <w:r w:rsidR="00947734" w:rsidRPr="000274DB">
        <w:t xml:space="preserve"> will ensure the ability to</w:t>
      </w:r>
      <w:r w:rsidR="00EB1AAF" w:rsidRPr="000274DB">
        <w:t xml:space="preserve"> differentiate between “unknown” and “missing” for coded values.</w:t>
      </w:r>
      <w:r w:rsidR="00947734" w:rsidRPr="000274DB">
        <w:t xml:space="preserve"> </w:t>
      </w:r>
    </w:p>
    <w:p w14:paraId="57E58A52" w14:textId="77777777" w:rsidR="00020C6B" w:rsidRDefault="00020C6B" w:rsidP="00502E72">
      <w:pPr>
        <w:pStyle w:val="ListParagraph"/>
        <w:spacing w:after="0" w:line="240" w:lineRule="auto"/>
        <w:ind w:left="0"/>
        <w:contextualSpacing w:val="0"/>
      </w:pPr>
    </w:p>
    <w:p w14:paraId="0935565D" w14:textId="77777777" w:rsidR="00661EBC" w:rsidRDefault="00661EBC" w:rsidP="00502E72">
      <w:pPr>
        <w:pStyle w:val="ListParagraph"/>
        <w:spacing w:after="0" w:line="240" w:lineRule="auto"/>
        <w:ind w:left="0"/>
        <w:contextualSpacing w:val="0"/>
      </w:pPr>
    </w:p>
    <w:p w14:paraId="4124DBF5" w14:textId="77777777" w:rsidR="00661EBC" w:rsidRDefault="00661EBC" w:rsidP="00502E72">
      <w:pPr>
        <w:pStyle w:val="ListParagraph"/>
        <w:spacing w:after="0" w:line="240" w:lineRule="auto"/>
        <w:ind w:left="0"/>
        <w:contextualSpacing w:val="0"/>
      </w:pPr>
    </w:p>
    <w:p w14:paraId="37BB1124" w14:textId="77777777" w:rsidR="00CC7ACB" w:rsidRDefault="00CC7ACB" w:rsidP="00502E72">
      <w:pPr>
        <w:pStyle w:val="ListParagraph"/>
        <w:spacing w:after="0" w:line="240" w:lineRule="auto"/>
        <w:ind w:left="0"/>
        <w:contextualSpacing w:val="0"/>
      </w:pPr>
    </w:p>
    <w:p w14:paraId="1B49AF6E" w14:textId="77777777" w:rsidR="00502E72" w:rsidRPr="000274DB" w:rsidRDefault="00502E72" w:rsidP="00502E72">
      <w:pPr>
        <w:pStyle w:val="ListParagraph"/>
        <w:spacing w:after="0" w:line="240" w:lineRule="auto"/>
        <w:ind w:left="0"/>
        <w:contextualSpacing w:val="0"/>
      </w:pPr>
      <w:r w:rsidRPr="000274DB">
        <w:t>Example of a coded data element:</w:t>
      </w:r>
    </w:p>
    <w:p w14:paraId="74DBC342" w14:textId="77777777" w:rsidR="007B7194" w:rsidRPr="000274DB" w:rsidRDefault="007B7194" w:rsidP="007B7194">
      <w:pPr>
        <w:pStyle w:val="ListParagraph"/>
        <w:spacing w:after="0" w:line="240" w:lineRule="auto"/>
        <w:ind w:left="1440"/>
        <w:contextualSpacing w:val="0"/>
      </w:pPr>
    </w:p>
    <w:tbl>
      <w:tblPr>
        <w:tblW w:w="1323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80"/>
        <w:gridCol w:w="12150"/>
      </w:tblGrid>
      <w:tr w:rsidR="000274DB" w:rsidRPr="000274DB" w14:paraId="74F9D9E3" w14:textId="77777777" w:rsidTr="001150BA">
        <w:trPr>
          <w:cantSplit/>
        </w:trPr>
        <w:tc>
          <w:tcPr>
            <w:tcW w:w="1080" w:type="dxa"/>
            <w:tcBorders>
              <w:top w:val="single" w:sz="4" w:space="0" w:color="auto"/>
            </w:tcBorders>
          </w:tcPr>
          <w:p w14:paraId="2DDEB2F0" w14:textId="77777777" w:rsidR="00502E72" w:rsidRPr="000274DB" w:rsidRDefault="00502E72" w:rsidP="005854CC">
            <w:pPr>
              <w:keepNext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274DB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2150" w:type="dxa"/>
          </w:tcPr>
          <w:p w14:paraId="538373AF" w14:textId="77777777" w:rsidR="00502E72" w:rsidRPr="000274DB" w:rsidRDefault="00502E72" w:rsidP="005854CC">
            <w:pPr>
              <w:keepNext/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274DB">
              <w:rPr>
                <w:b/>
                <w:bCs/>
                <w:sz w:val="20"/>
                <w:szCs w:val="20"/>
              </w:rPr>
              <w:t xml:space="preserve">Option for Conveying Unknown in Observations using the Literal UNK^UNKNOWN^NULLFL </w:t>
            </w:r>
          </w:p>
        </w:tc>
      </w:tr>
      <w:tr w:rsidR="000274DB" w:rsidRPr="000274DB" w14:paraId="0B9D7D00" w14:textId="77777777" w:rsidTr="00D132F6">
        <w:trPr>
          <w:cantSplit/>
          <w:trHeight w:val="1700"/>
        </w:trPr>
        <w:tc>
          <w:tcPr>
            <w:tcW w:w="1080" w:type="dxa"/>
          </w:tcPr>
          <w:p w14:paraId="3028C716" w14:textId="77777777" w:rsidR="00502E72" w:rsidRPr="000274DB" w:rsidRDefault="00502E72" w:rsidP="007B7194">
            <w:pPr>
              <w:rPr>
                <w:b/>
                <w:sz w:val="20"/>
                <w:szCs w:val="20"/>
              </w:rPr>
            </w:pPr>
            <w:r w:rsidRPr="000274DB">
              <w:rPr>
                <w:b/>
                <w:sz w:val="20"/>
                <w:szCs w:val="20"/>
              </w:rPr>
              <w:t>Coded</w:t>
            </w:r>
          </w:p>
        </w:tc>
        <w:tc>
          <w:tcPr>
            <w:tcW w:w="12150" w:type="dxa"/>
          </w:tcPr>
          <w:p w14:paraId="276A66F1" w14:textId="6153E17A" w:rsidR="00502E72" w:rsidRPr="00964960" w:rsidRDefault="00502E72" w:rsidP="007B7194">
            <w:r w:rsidRPr="00964960">
              <w:rPr>
                <w:b/>
              </w:rPr>
              <w:t xml:space="preserve">For Coded </w:t>
            </w:r>
            <w:r w:rsidR="008A36F2">
              <w:rPr>
                <w:b/>
              </w:rPr>
              <w:t>D</w:t>
            </w:r>
            <w:r w:rsidRPr="00964960">
              <w:rPr>
                <w:b/>
              </w:rPr>
              <w:t xml:space="preserve">ata </w:t>
            </w:r>
            <w:r w:rsidR="008A36F2">
              <w:rPr>
                <w:b/>
              </w:rPr>
              <w:t>T</w:t>
            </w:r>
            <w:r w:rsidRPr="00964960">
              <w:rPr>
                <w:b/>
              </w:rPr>
              <w:t xml:space="preserve">ypes: </w:t>
            </w:r>
            <w:r w:rsidRPr="00964960">
              <w:t>For coded observations that are unknown, many value sets already contain an explicit “unknown”</w:t>
            </w:r>
            <w:r w:rsidR="005A4DC8" w:rsidRPr="00964960">
              <w:t>;</w:t>
            </w:r>
            <w:r w:rsidR="000F6C89">
              <w:t xml:space="preserve"> </w:t>
            </w:r>
            <w:r w:rsidRPr="00964960">
              <w:t xml:space="preserve">Unknown and Other </w:t>
            </w:r>
            <w:r w:rsidR="006C2515">
              <w:t xml:space="preserve">will be added </w:t>
            </w:r>
            <w:r w:rsidRPr="00964960">
              <w:t>to value sets</w:t>
            </w:r>
            <w:r w:rsidR="00D50978" w:rsidRPr="00964960">
              <w:t>,</w:t>
            </w:r>
            <w:r w:rsidRPr="00964960">
              <w:t xml:space="preserve"> as appropriate.</w:t>
            </w:r>
          </w:p>
          <w:p w14:paraId="37FBFE1F" w14:textId="77777777" w:rsidR="00502E72" w:rsidRPr="00E6476F" w:rsidRDefault="00502E72" w:rsidP="007B7194">
            <w:pPr>
              <w:rPr>
                <w:rFonts w:cs="Courier New"/>
              </w:rPr>
            </w:pPr>
            <w:r w:rsidRPr="00964960">
              <w:rPr>
                <w:rFonts w:cs="Courier New"/>
                <w:b/>
              </w:rPr>
              <w:t>Unknown</w:t>
            </w:r>
            <w:r w:rsidRPr="00964960">
              <w:rPr>
                <w:rFonts w:cs="Courier New"/>
              </w:rPr>
              <w:t>: OBX|4|CWE|INV152^Case Disease Imported Code^PHINQUESTION||</w:t>
            </w:r>
            <w:r w:rsidRPr="00E6476F">
              <w:rPr>
                <w:rFonts w:cs="Courier New"/>
              </w:rPr>
              <w:t>UNK^UNKNOWN^NULLFL||||||F</w:t>
            </w:r>
          </w:p>
          <w:p w14:paraId="5950CB8B" w14:textId="77777777" w:rsidR="00502E72" w:rsidRPr="000274DB" w:rsidRDefault="00502E72" w:rsidP="004B30B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6476F">
              <w:rPr>
                <w:rFonts w:cs="Courier New"/>
                <w:b/>
              </w:rPr>
              <w:t>Empty/</w:t>
            </w:r>
            <w:r w:rsidR="004B30B5" w:rsidRPr="00E6476F">
              <w:rPr>
                <w:rFonts w:cs="Courier New"/>
                <w:b/>
              </w:rPr>
              <w:t>Missing</w:t>
            </w:r>
            <w:r w:rsidRPr="00E6476F">
              <w:rPr>
                <w:rFonts w:cs="Courier New"/>
              </w:rPr>
              <w:t>: OBX|4|CWE|INV152^Case Disease Imported Code^PHINQUESTION||||||||F</w:t>
            </w:r>
          </w:p>
        </w:tc>
      </w:tr>
    </w:tbl>
    <w:p w14:paraId="33D112E3" w14:textId="77777777" w:rsidR="002E5788" w:rsidRDefault="002E5788" w:rsidP="00B62AA2"/>
    <w:p w14:paraId="76CE568B" w14:textId="77777777" w:rsidR="00FA347C" w:rsidRPr="000C31BE" w:rsidRDefault="001E4989" w:rsidP="00B62AA2">
      <w:pPr>
        <w:rPr>
          <w:b/>
          <w:u w:val="single"/>
        </w:rPr>
      </w:pPr>
      <w:r>
        <w:rPr>
          <w:b/>
          <w:u w:val="single"/>
        </w:rPr>
        <w:t>N</w:t>
      </w:r>
      <w:r w:rsidR="00FA347C" w:rsidRPr="000C31BE">
        <w:rPr>
          <w:b/>
          <w:u w:val="single"/>
        </w:rPr>
        <w:t xml:space="preserve">umeric and Date </w:t>
      </w:r>
      <w:r w:rsidR="008A36F2">
        <w:rPr>
          <w:b/>
          <w:u w:val="single"/>
        </w:rPr>
        <w:t>F</w:t>
      </w:r>
      <w:r w:rsidR="00FA347C" w:rsidRPr="000C31BE">
        <w:rPr>
          <w:b/>
          <w:u w:val="single"/>
        </w:rPr>
        <w:t>ields</w:t>
      </w:r>
    </w:p>
    <w:p w14:paraId="64DB08A8" w14:textId="77777777" w:rsidR="004F2915" w:rsidRDefault="004F2915" w:rsidP="00B2078E">
      <w:pPr>
        <w:spacing w:after="0" w:line="240" w:lineRule="auto"/>
      </w:pPr>
      <w:r w:rsidRPr="00E44842">
        <w:t xml:space="preserve">If </w:t>
      </w:r>
      <w:r>
        <w:t>a</w:t>
      </w:r>
      <w:r w:rsidRPr="00E44842">
        <w:t xml:space="preserve"> jurisdiction’s </w:t>
      </w:r>
      <w:r w:rsidR="00B11BD3">
        <w:t>surveillance</w:t>
      </w:r>
      <w:r>
        <w:t xml:space="preserve"> </w:t>
      </w:r>
      <w:r w:rsidRPr="00E44842">
        <w:t xml:space="preserve">system does not have a mechanism to capture </w:t>
      </w:r>
      <w:r>
        <w:t>“</w:t>
      </w:r>
      <w:r w:rsidRPr="00E44842">
        <w:t>unknown</w:t>
      </w:r>
      <w:r>
        <w:t>”</w:t>
      </w:r>
      <w:r w:rsidRPr="00E44842">
        <w:t xml:space="preserve"> vs</w:t>
      </w:r>
      <w:r w:rsidR="003E1ECF">
        <w:t>.</w:t>
      </w:r>
      <w:r w:rsidRPr="00E44842">
        <w:t xml:space="preserve"> </w:t>
      </w:r>
      <w:r>
        <w:t>“</w:t>
      </w:r>
      <w:r w:rsidRPr="00E44842">
        <w:t>missing</w:t>
      </w:r>
      <w:r>
        <w:t>”</w:t>
      </w:r>
      <w:r w:rsidRPr="00E44842">
        <w:t xml:space="preserve"> information</w:t>
      </w:r>
      <w:r w:rsidR="00CF5D39">
        <w:t xml:space="preserve"> for numeric and date fields</w:t>
      </w:r>
      <w:r w:rsidR="00C7670F">
        <w:t xml:space="preserve">, </w:t>
      </w:r>
      <w:r w:rsidR="001A0069">
        <w:t>the data elements</w:t>
      </w:r>
      <w:r w:rsidRPr="00E44842">
        <w:t xml:space="preserve"> </w:t>
      </w:r>
      <w:r w:rsidR="003E1ECF">
        <w:t xml:space="preserve">sent from the jurisdiction </w:t>
      </w:r>
      <w:r w:rsidRPr="00E44842">
        <w:t xml:space="preserve">to CDC will appear as “missing/empty” and the </w:t>
      </w:r>
      <w:r w:rsidR="003E1ECF">
        <w:t xml:space="preserve">CDC </w:t>
      </w:r>
      <w:r w:rsidR="008A36F2">
        <w:t>p</w:t>
      </w:r>
      <w:r w:rsidRPr="00E44842">
        <w:t xml:space="preserve">rograms will not be able to differentiate </w:t>
      </w:r>
      <w:r>
        <w:t>“</w:t>
      </w:r>
      <w:r w:rsidRPr="00E44842">
        <w:t>unknown</w:t>
      </w:r>
      <w:r>
        <w:t>”</w:t>
      </w:r>
      <w:r w:rsidRPr="00E44842">
        <w:t xml:space="preserve"> from </w:t>
      </w:r>
      <w:r w:rsidR="008A55C2">
        <w:t>"missing"</w:t>
      </w:r>
      <w:r w:rsidRPr="00E44842">
        <w:t>.</w:t>
      </w:r>
      <w:r>
        <w:t xml:space="preserve">  </w:t>
      </w:r>
      <w:r w:rsidR="001A0069">
        <w:t>For situations where</w:t>
      </w:r>
      <w:r w:rsidR="002409BC">
        <w:t xml:space="preserve"> the</w:t>
      </w:r>
      <w:r w:rsidR="00387785">
        <w:t xml:space="preserve"> program requests an unknown indicator and the</w:t>
      </w:r>
      <w:r w:rsidR="002409BC">
        <w:t xml:space="preserve"> jurisdiction’s surveillance system is able to distinguish between “unknown” and “missing”</w:t>
      </w:r>
      <w:r w:rsidRPr="000274DB">
        <w:t xml:space="preserve">, </w:t>
      </w:r>
      <w:r w:rsidR="00E14916">
        <w:t xml:space="preserve">CDC </w:t>
      </w:r>
      <w:r w:rsidR="003250EB">
        <w:t>recommends the following:</w:t>
      </w:r>
    </w:p>
    <w:p w14:paraId="158BD9D4" w14:textId="77777777" w:rsidR="00400813" w:rsidRPr="008F04AC" w:rsidRDefault="004A3984" w:rsidP="001755B0">
      <w:pPr>
        <w:spacing w:before="120" w:after="0" w:line="240" w:lineRule="auto"/>
        <w:rPr>
          <w:noProof/>
        </w:rPr>
      </w:pPr>
      <w:r w:rsidRPr="008F04AC">
        <w:rPr>
          <w:bCs/>
        </w:rPr>
        <w:t xml:space="preserve">To indicate that the value for the </w:t>
      </w:r>
      <w:r w:rsidR="00387785" w:rsidRPr="008F04AC">
        <w:rPr>
          <w:bCs/>
        </w:rPr>
        <w:t xml:space="preserve">numeric </w:t>
      </w:r>
      <w:r w:rsidR="00842063" w:rsidRPr="008F04AC">
        <w:rPr>
          <w:bCs/>
        </w:rPr>
        <w:t xml:space="preserve">(NM) or structured numeric (SN) </w:t>
      </w:r>
      <w:r w:rsidRPr="008F04AC">
        <w:rPr>
          <w:bCs/>
        </w:rPr>
        <w:t>data element is unknown</w:t>
      </w:r>
      <w:r w:rsidR="0009572B" w:rsidRPr="008F04AC">
        <w:rPr>
          <w:bCs/>
        </w:rPr>
        <w:t xml:space="preserve">, the sender </w:t>
      </w:r>
      <w:r w:rsidR="003250EB" w:rsidRPr="008F04AC">
        <w:rPr>
          <w:bCs/>
        </w:rPr>
        <w:t xml:space="preserve">should send </w:t>
      </w:r>
      <w:r w:rsidR="0009572B" w:rsidRPr="008F04AC">
        <w:rPr>
          <w:bCs/>
        </w:rPr>
        <w:t xml:space="preserve">a series </w:t>
      </w:r>
      <w:r w:rsidR="007F3BB7" w:rsidRPr="008F04AC">
        <w:rPr>
          <w:bCs/>
        </w:rPr>
        <w:t xml:space="preserve">of </w:t>
      </w:r>
      <w:r w:rsidR="003250EB" w:rsidRPr="008F04AC">
        <w:rPr>
          <w:bCs/>
        </w:rPr>
        <w:t>“</w:t>
      </w:r>
      <w:r w:rsidR="007F3BB7" w:rsidRPr="008F04AC">
        <w:rPr>
          <w:bCs/>
        </w:rPr>
        <w:t>9s</w:t>
      </w:r>
      <w:r w:rsidR="003250EB" w:rsidRPr="008F04AC">
        <w:rPr>
          <w:bCs/>
        </w:rPr>
        <w:t>”</w:t>
      </w:r>
      <w:r w:rsidR="007F3BB7" w:rsidRPr="008F04AC">
        <w:rPr>
          <w:bCs/>
        </w:rPr>
        <w:t xml:space="preserve"> </w:t>
      </w:r>
      <w:r w:rsidR="007F3BB7" w:rsidRPr="008F04AC">
        <w:rPr>
          <w:noProof/>
        </w:rPr>
        <w:t xml:space="preserve">outside the normal range for the </w:t>
      </w:r>
      <w:r w:rsidRPr="008F04AC">
        <w:rPr>
          <w:noProof/>
        </w:rPr>
        <w:t>data element</w:t>
      </w:r>
      <w:r w:rsidR="001A0069" w:rsidRPr="008F04AC">
        <w:rPr>
          <w:noProof/>
        </w:rPr>
        <w:t xml:space="preserve"> </w:t>
      </w:r>
      <w:r w:rsidR="004B6D9F" w:rsidRPr="008F04AC">
        <w:rPr>
          <w:bCs/>
        </w:rPr>
        <w:t xml:space="preserve">as </w:t>
      </w:r>
      <w:r w:rsidR="0009572B" w:rsidRPr="008F04AC">
        <w:rPr>
          <w:bCs/>
        </w:rPr>
        <w:t xml:space="preserve">instructed </w:t>
      </w:r>
      <w:r w:rsidR="005E1803" w:rsidRPr="008F04AC">
        <w:rPr>
          <w:bCs/>
        </w:rPr>
        <w:t xml:space="preserve">in the MMG </w:t>
      </w:r>
      <w:r w:rsidR="0009572B" w:rsidRPr="008F04AC">
        <w:rPr>
          <w:bCs/>
        </w:rPr>
        <w:t xml:space="preserve">implementation notes for that </w:t>
      </w:r>
      <w:r w:rsidR="005E1803" w:rsidRPr="008F04AC">
        <w:rPr>
          <w:bCs/>
        </w:rPr>
        <w:t>variable (see Appendix 2).</w:t>
      </w:r>
      <w:r w:rsidR="007F3BB7" w:rsidRPr="008F04AC">
        <w:rPr>
          <w:noProof/>
        </w:rPr>
        <w:t xml:space="preserve">  </w:t>
      </w:r>
    </w:p>
    <w:p w14:paraId="41E8001B" w14:textId="032B7A99" w:rsidR="004E1799" w:rsidRDefault="00E6476F" w:rsidP="001755B0">
      <w:pPr>
        <w:spacing w:before="120" w:after="0" w:line="240" w:lineRule="auto"/>
      </w:pPr>
      <w:r w:rsidRPr="008F04AC">
        <w:rPr>
          <w:noProof/>
        </w:rPr>
        <w:t xml:space="preserve">For date </w:t>
      </w:r>
      <w:r w:rsidR="00400813" w:rsidRPr="008F04AC">
        <w:rPr>
          <w:noProof/>
        </w:rPr>
        <w:t>field</w:t>
      </w:r>
      <w:r w:rsidRPr="008F04AC">
        <w:rPr>
          <w:noProof/>
        </w:rPr>
        <w:t>s, the guidance for conveying unknowns is to also send a s</w:t>
      </w:r>
      <w:r w:rsidR="00400813" w:rsidRPr="008F04AC">
        <w:rPr>
          <w:noProof/>
        </w:rPr>
        <w:t>eries</w:t>
      </w:r>
      <w:r w:rsidRPr="008F04AC">
        <w:rPr>
          <w:noProof/>
        </w:rPr>
        <w:t xml:space="preserve"> of </w:t>
      </w:r>
      <w:r w:rsidR="00400813" w:rsidRPr="008F04AC">
        <w:rPr>
          <w:noProof/>
        </w:rPr>
        <w:t>“9s”</w:t>
      </w:r>
      <w:r w:rsidRPr="008F04AC">
        <w:rPr>
          <w:noProof/>
        </w:rPr>
        <w:t xml:space="preserve"> outside the normal range for the particular data element of interest outlined in the MMG.  </w:t>
      </w:r>
      <w:r w:rsidR="00682A67" w:rsidRPr="008F04AC">
        <w:t xml:space="preserve">Please refer to Appendices 2-4 for examples of how indicator values will be displayed in </w:t>
      </w:r>
      <w:r w:rsidR="00BD2D46" w:rsidRPr="008F04AC">
        <w:t xml:space="preserve">various </w:t>
      </w:r>
      <w:r w:rsidR="001755B0" w:rsidRPr="008F04AC">
        <w:t>contexts</w:t>
      </w:r>
      <w:r w:rsidR="00BD2D46" w:rsidRPr="008F04AC">
        <w:t>.</w:t>
      </w:r>
    </w:p>
    <w:p w14:paraId="69254FC9" w14:textId="77777777" w:rsidR="00B3603D" w:rsidRDefault="00B3603D" w:rsidP="001023FF">
      <w:pPr>
        <w:spacing w:after="0" w:line="240" w:lineRule="auto"/>
      </w:pPr>
    </w:p>
    <w:p w14:paraId="76EDDFD0" w14:textId="77777777" w:rsidR="00B8685F" w:rsidRDefault="002C55AE" w:rsidP="004E1799">
      <w:pPr>
        <w:spacing w:after="0" w:line="240" w:lineRule="auto"/>
        <w:rPr>
          <w:b/>
          <w:sz w:val="24"/>
          <w:szCs w:val="24"/>
        </w:rPr>
      </w:pPr>
      <w:r w:rsidRPr="00B8685F">
        <w:rPr>
          <w:b/>
          <w:sz w:val="24"/>
          <w:szCs w:val="24"/>
        </w:rPr>
        <w:t xml:space="preserve">In developing these recommendations, CDC </w:t>
      </w:r>
      <w:r w:rsidR="00387785">
        <w:rPr>
          <w:b/>
          <w:sz w:val="24"/>
          <w:szCs w:val="24"/>
        </w:rPr>
        <w:t>recognizes</w:t>
      </w:r>
      <w:r w:rsidR="00387785" w:rsidRPr="00B8685F">
        <w:rPr>
          <w:b/>
          <w:sz w:val="24"/>
          <w:szCs w:val="24"/>
        </w:rPr>
        <w:t xml:space="preserve"> </w:t>
      </w:r>
      <w:r w:rsidRPr="00B8685F">
        <w:rPr>
          <w:b/>
          <w:sz w:val="24"/>
          <w:szCs w:val="24"/>
        </w:rPr>
        <w:t xml:space="preserve">that </w:t>
      </w:r>
      <w:r w:rsidR="00B8685F" w:rsidRPr="00B8685F">
        <w:rPr>
          <w:b/>
          <w:sz w:val="24"/>
          <w:szCs w:val="24"/>
        </w:rPr>
        <w:t xml:space="preserve">jurisdictions could incur significant </w:t>
      </w:r>
      <w:r w:rsidR="00846935">
        <w:rPr>
          <w:b/>
          <w:sz w:val="24"/>
          <w:szCs w:val="24"/>
        </w:rPr>
        <w:t xml:space="preserve">financial </w:t>
      </w:r>
      <w:r w:rsidRPr="00B8685F">
        <w:rPr>
          <w:b/>
          <w:sz w:val="24"/>
          <w:szCs w:val="24"/>
        </w:rPr>
        <w:t xml:space="preserve">costs </w:t>
      </w:r>
      <w:r w:rsidR="00B8685F" w:rsidRPr="00B8685F">
        <w:rPr>
          <w:b/>
          <w:sz w:val="24"/>
          <w:szCs w:val="24"/>
        </w:rPr>
        <w:t xml:space="preserve">if </w:t>
      </w:r>
      <w:r w:rsidR="00846935">
        <w:rPr>
          <w:b/>
          <w:sz w:val="24"/>
          <w:szCs w:val="24"/>
        </w:rPr>
        <w:t xml:space="preserve">changes to </w:t>
      </w:r>
      <w:r w:rsidRPr="00B8685F">
        <w:rPr>
          <w:b/>
          <w:sz w:val="24"/>
          <w:szCs w:val="24"/>
        </w:rPr>
        <w:t xml:space="preserve">their </w:t>
      </w:r>
      <w:r w:rsidR="00B8685F" w:rsidRPr="00B8685F">
        <w:rPr>
          <w:b/>
          <w:sz w:val="24"/>
          <w:szCs w:val="24"/>
        </w:rPr>
        <w:t xml:space="preserve">surveillance </w:t>
      </w:r>
      <w:r w:rsidRPr="00B8685F">
        <w:rPr>
          <w:b/>
          <w:sz w:val="24"/>
          <w:szCs w:val="24"/>
        </w:rPr>
        <w:t>system</w:t>
      </w:r>
      <w:r w:rsidR="00B8685F" w:rsidRPr="00B8685F">
        <w:rPr>
          <w:b/>
          <w:sz w:val="24"/>
          <w:szCs w:val="24"/>
        </w:rPr>
        <w:t xml:space="preserve">s </w:t>
      </w:r>
      <w:r w:rsidR="00846935">
        <w:rPr>
          <w:b/>
          <w:sz w:val="24"/>
          <w:szCs w:val="24"/>
        </w:rPr>
        <w:t xml:space="preserve">were required </w:t>
      </w:r>
      <w:r w:rsidR="00B8685F" w:rsidRPr="00B8685F">
        <w:rPr>
          <w:b/>
          <w:sz w:val="24"/>
          <w:szCs w:val="24"/>
        </w:rPr>
        <w:t xml:space="preserve">in order </w:t>
      </w:r>
      <w:r w:rsidRPr="00B8685F">
        <w:rPr>
          <w:b/>
          <w:sz w:val="24"/>
          <w:szCs w:val="24"/>
        </w:rPr>
        <w:t>to collect this information</w:t>
      </w:r>
      <w:r w:rsidR="00B8685F" w:rsidRPr="00B8685F">
        <w:rPr>
          <w:b/>
          <w:sz w:val="24"/>
          <w:szCs w:val="24"/>
        </w:rPr>
        <w:t xml:space="preserve">, as well as </w:t>
      </w:r>
      <w:r w:rsidR="007459A9">
        <w:rPr>
          <w:b/>
          <w:sz w:val="24"/>
          <w:szCs w:val="24"/>
        </w:rPr>
        <w:t xml:space="preserve">from </w:t>
      </w:r>
      <w:r w:rsidRPr="00B8685F">
        <w:rPr>
          <w:b/>
          <w:sz w:val="24"/>
          <w:szCs w:val="24"/>
        </w:rPr>
        <w:t>additional time spen</w:t>
      </w:r>
      <w:r w:rsidR="00B8685F" w:rsidRPr="00B8685F">
        <w:rPr>
          <w:b/>
          <w:sz w:val="24"/>
          <w:szCs w:val="24"/>
        </w:rPr>
        <w:t>t</w:t>
      </w:r>
      <w:r w:rsidRPr="00B8685F">
        <w:rPr>
          <w:b/>
          <w:sz w:val="24"/>
          <w:szCs w:val="24"/>
        </w:rPr>
        <w:t xml:space="preserve"> in data entry.  </w:t>
      </w:r>
      <w:r w:rsidR="00B8685F" w:rsidRPr="00B8685F">
        <w:rPr>
          <w:b/>
          <w:sz w:val="24"/>
          <w:szCs w:val="24"/>
        </w:rPr>
        <w:t xml:space="preserve">Therefore, these guidelines address only </w:t>
      </w:r>
      <w:r w:rsidR="00B8685F">
        <w:rPr>
          <w:b/>
          <w:sz w:val="24"/>
          <w:szCs w:val="24"/>
        </w:rPr>
        <w:t xml:space="preserve">the methods for </w:t>
      </w:r>
      <w:r w:rsidR="00B8685F" w:rsidRPr="00846935">
        <w:rPr>
          <w:b/>
          <w:sz w:val="24"/>
          <w:szCs w:val="24"/>
          <w:u w:val="single"/>
        </w:rPr>
        <w:t>data transmission</w:t>
      </w:r>
      <w:r w:rsidR="00B8685F" w:rsidRPr="00B8685F">
        <w:rPr>
          <w:b/>
          <w:sz w:val="24"/>
          <w:szCs w:val="24"/>
        </w:rPr>
        <w:t xml:space="preserve"> in HL7 messages</w:t>
      </w:r>
      <w:r w:rsidR="007459A9">
        <w:rPr>
          <w:b/>
          <w:sz w:val="24"/>
          <w:szCs w:val="24"/>
        </w:rPr>
        <w:t xml:space="preserve"> </w:t>
      </w:r>
      <w:r w:rsidR="00387785">
        <w:rPr>
          <w:b/>
          <w:sz w:val="24"/>
          <w:szCs w:val="24"/>
        </w:rPr>
        <w:t>when</w:t>
      </w:r>
      <w:r w:rsidR="007459A9">
        <w:rPr>
          <w:b/>
          <w:sz w:val="24"/>
          <w:szCs w:val="24"/>
        </w:rPr>
        <w:t xml:space="preserve"> the information is collected</w:t>
      </w:r>
      <w:r w:rsidR="00387785">
        <w:rPr>
          <w:b/>
          <w:sz w:val="24"/>
          <w:szCs w:val="24"/>
        </w:rPr>
        <w:t xml:space="preserve"> in the surveillance system</w:t>
      </w:r>
      <w:r w:rsidR="00B8685F" w:rsidRPr="00B8685F">
        <w:rPr>
          <w:b/>
          <w:sz w:val="24"/>
          <w:szCs w:val="24"/>
        </w:rPr>
        <w:t>, and</w:t>
      </w:r>
      <w:r w:rsidR="00387785">
        <w:rPr>
          <w:b/>
          <w:sz w:val="24"/>
          <w:szCs w:val="24"/>
        </w:rPr>
        <w:t xml:space="preserve"> are</w:t>
      </w:r>
      <w:r w:rsidR="00B8685F" w:rsidRPr="00B8685F">
        <w:rPr>
          <w:b/>
          <w:sz w:val="24"/>
          <w:szCs w:val="24"/>
        </w:rPr>
        <w:t xml:space="preserve"> not </w:t>
      </w:r>
      <w:r w:rsidR="007459A9">
        <w:rPr>
          <w:b/>
          <w:sz w:val="24"/>
          <w:szCs w:val="24"/>
        </w:rPr>
        <w:t xml:space="preserve">a requirement for </w:t>
      </w:r>
      <w:r w:rsidR="00B8685F" w:rsidRPr="00B8685F">
        <w:rPr>
          <w:b/>
          <w:sz w:val="24"/>
          <w:szCs w:val="24"/>
        </w:rPr>
        <w:t xml:space="preserve">the collection of the data.  </w:t>
      </w:r>
    </w:p>
    <w:p w14:paraId="1EB02CAB" w14:textId="77777777" w:rsidR="00B8685F" w:rsidRDefault="00B8685F" w:rsidP="004E1799">
      <w:pPr>
        <w:spacing w:after="0" w:line="240" w:lineRule="auto"/>
        <w:rPr>
          <w:b/>
          <w:sz w:val="24"/>
          <w:szCs w:val="24"/>
        </w:rPr>
      </w:pPr>
    </w:p>
    <w:p w14:paraId="67AE6A92" w14:textId="77777777" w:rsidR="009E21CA" w:rsidRPr="00B8685F" w:rsidRDefault="003250EB" w:rsidP="004E1799">
      <w:pPr>
        <w:spacing w:after="0" w:line="240" w:lineRule="auto"/>
        <w:rPr>
          <w:b/>
          <w:sz w:val="24"/>
          <w:szCs w:val="24"/>
        </w:rPr>
      </w:pPr>
      <w:r w:rsidRPr="00B8685F">
        <w:rPr>
          <w:b/>
          <w:sz w:val="24"/>
          <w:szCs w:val="24"/>
        </w:rPr>
        <w:t xml:space="preserve">The NNDSS Program </w:t>
      </w:r>
      <w:r w:rsidR="00557404" w:rsidRPr="00B8685F">
        <w:rPr>
          <w:b/>
          <w:sz w:val="24"/>
          <w:szCs w:val="24"/>
        </w:rPr>
        <w:t>recommend</w:t>
      </w:r>
      <w:r w:rsidR="00F21D0F" w:rsidRPr="00B8685F">
        <w:rPr>
          <w:b/>
          <w:sz w:val="24"/>
          <w:szCs w:val="24"/>
        </w:rPr>
        <w:t xml:space="preserve">s </w:t>
      </w:r>
      <w:r w:rsidR="00557404" w:rsidRPr="00B8685F">
        <w:rPr>
          <w:b/>
          <w:sz w:val="24"/>
          <w:szCs w:val="24"/>
        </w:rPr>
        <w:t xml:space="preserve">that </w:t>
      </w:r>
      <w:r w:rsidRPr="00B8685F">
        <w:rPr>
          <w:b/>
          <w:sz w:val="24"/>
          <w:szCs w:val="24"/>
        </w:rPr>
        <w:t>CDC Programs be judicious in requesting that submitters distinguish between “unknown” and “missing” values</w:t>
      </w:r>
      <w:r w:rsidR="00557404" w:rsidRPr="00B8685F">
        <w:rPr>
          <w:b/>
          <w:sz w:val="24"/>
          <w:szCs w:val="24"/>
        </w:rPr>
        <w:t xml:space="preserve"> </w:t>
      </w:r>
      <w:r w:rsidRPr="00B8685F">
        <w:rPr>
          <w:b/>
          <w:sz w:val="24"/>
          <w:szCs w:val="24"/>
        </w:rPr>
        <w:t xml:space="preserve">in HL7 messages </w:t>
      </w:r>
      <w:r w:rsidR="00846935">
        <w:rPr>
          <w:b/>
          <w:sz w:val="24"/>
          <w:szCs w:val="24"/>
        </w:rPr>
        <w:t xml:space="preserve">so as </w:t>
      </w:r>
      <w:r w:rsidR="00557404" w:rsidRPr="00B8685F">
        <w:rPr>
          <w:b/>
          <w:sz w:val="24"/>
          <w:szCs w:val="24"/>
        </w:rPr>
        <w:t>to minimize the burden on the jurisdictions.</w:t>
      </w:r>
      <w:r w:rsidR="00E775DC" w:rsidRPr="00B8685F">
        <w:rPr>
          <w:b/>
          <w:sz w:val="24"/>
          <w:szCs w:val="24"/>
        </w:rPr>
        <w:t xml:space="preserve">  </w:t>
      </w:r>
    </w:p>
    <w:p w14:paraId="293B43B3" w14:textId="77777777" w:rsidR="0009572B" w:rsidRDefault="0009572B" w:rsidP="007C2DA5">
      <w:pPr>
        <w:rPr>
          <w:b/>
        </w:rPr>
      </w:pPr>
    </w:p>
    <w:p w14:paraId="61A0E9A4" w14:textId="77777777" w:rsidR="00682A67" w:rsidRDefault="00682A6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5301A95" w14:textId="77777777" w:rsidR="00614A05" w:rsidRPr="00C7670F" w:rsidRDefault="00757290" w:rsidP="007C2DA5">
      <w:pPr>
        <w:rPr>
          <w:b/>
          <w:u w:val="single"/>
        </w:rPr>
      </w:pPr>
      <w:r w:rsidRPr="004B6D9F">
        <w:rPr>
          <w:b/>
          <w:u w:val="single"/>
        </w:rPr>
        <w:lastRenderedPageBreak/>
        <w:t>A</w:t>
      </w:r>
      <w:r w:rsidR="00FA347C" w:rsidRPr="004B6D9F">
        <w:rPr>
          <w:b/>
          <w:u w:val="single"/>
        </w:rPr>
        <w:t>ppendix 1.</w:t>
      </w:r>
      <w:r w:rsidR="00FA347C" w:rsidRPr="00C7670F">
        <w:rPr>
          <w:b/>
          <w:u w:val="single"/>
        </w:rPr>
        <w:t xml:space="preserve">  </w:t>
      </w:r>
      <w:r w:rsidR="00784700" w:rsidRPr="00C7670F">
        <w:rPr>
          <w:b/>
          <w:u w:val="single"/>
        </w:rPr>
        <w:t>Null flavor value set</w:t>
      </w:r>
      <w:r w:rsidR="00A40C4D" w:rsidRPr="00C7670F">
        <w:rPr>
          <w:b/>
          <w:u w:val="single"/>
        </w:rPr>
        <w:t xml:space="preserve"> </w:t>
      </w:r>
      <w:r w:rsidR="00FA347C" w:rsidRPr="00C7670F">
        <w:rPr>
          <w:b/>
          <w:u w:val="single"/>
        </w:rPr>
        <w:t>for coded data elements</w:t>
      </w:r>
    </w:p>
    <w:tbl>
      <w:tblPr>
        <w:tblW w:w="1353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50"/>
        <w:gridCol w:w="11340"/>
      </w:tblGrid>
      <w:tr w:rsidR="000274DB" w:rsidRPr="000274DB" w14:paraId="6F9E8229" w14:textId="77777777" w:rsidTr="000C31BE">
        <w:trPr>
          <w:trHeight w:val="315"/>
          <w:tblCellSpacing w:w="0" w:type="dxa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78B672" w14:textId="77777777" w:rsidR="007C2DA5" w:rsidRPr="006C2515" w:rsidRDefault="00E4637A" w:rsidP="006C2515">
            <w:pPr>
              <w:jc w:val="center"/>
              <w:rPr>
                <w:b/>
              </w:rPr>
            </w:pPr>
            <w:r w:rsidRPr="006C2515">
              <w:rPr>
                <w:b/>
              </w:rPr>
              <w:t>C</w:t>
            </w:r>
            <w:r w:rsidR="007C2DA5" w:rsidRPr="006C2515">
              <w:rPr>
                <w:b/>
              </w:rPr>
              <w:t>ode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FC180C" w14:textId="77777777" w:rsidR="007C2DA5" w:rsidRPr="006C2515" w:rsidRDefault="00E4637A" w:rsidP="006C2515">
            <w:pPr>
              <w:jc w:val="center"/>
              <w:rPr>
                <w:b/>
              </w:rPr>
            </w:pPr>
            <w:r w:rsidRPr="006C2515">
              <w:rPr>
                <w:b/>
              </w:rPr>
              <w:t>N</w:t>
            </w:r>
            <w:r w:rsidR="007C2DA5" w:rsidRPr="006C2515">
              <w:rPr>
                <w:b/>
              </w:rPr>
              <w:t>ame</w:t>
            </w:r>
          </w:p>
        </w:tc>
        <w:tc>
          <w:tcPr>
            <w:tcW w:w="11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83335A9" w14:textId="77777777" w:rsidR="007C2DA5" w:rsidRPr="006C2515" w:rsidRDefault="00E4637A" w:rsidP="006C2515">
            <w:pPr>
              <w:jc w:val="center"/>
              <w:rPr>
                <w:b/>
              </w:rPr>
            </w:pPr>
            <w:r w:rsidRPr="006C2515">
              <w:rPr>
                <w:b/>
              </w:rPr>
              <w:t>D</w:t>
            </w:r>
            <w:r w:rsidR="007C2DA5" w:rsidRPr="006C2515">
              <w:rPr>
                <w:b/>
              </w:rPr>
              <w:t>efinition</w:t>
            </w:r>
          </w:p>
        </w:tc>
      </w:tr>
      <w:tr w:rsidR="000274DB" w:rsidRPr="000274DB" w14:paraId="67A639FC" w14:textId="77777777" w:rsidTr="000C31BE">
        <w:trPr>
          <w:trHeight w:val="40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46312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896CE6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No information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32398B5" w14:textId="77777777" w:rsidR="007C2DA5" w:rsidRPr="000274DB" w:rsidRDefault="007C2DA5" w:rsidP="00E4637A">
            <w:pPr>
              <w:spacing w:after="0" w:line="240" w:lineRule="auto"/>
            </w:pPr>
            <w:r w:rsidRPr="000274DB">
              <w:t>No information whatsoever can be inferred from this exceptional value. This is the most general exceptional value. It is also the default exceptional value.</w:t>
            </w:r>
          </w:p>
        </w:tc>
      </w:tr>
      <w:tr w:rsidR="000274DB" w:rsidRPr="000274DB" w14:paraId="42580CFD" w14:textId="77777777" w:rsidTr="000C31BE">
        <w:trPr>
          <w:trHeight w:val="40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0B5767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OTH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508F9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other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4D60A5B" w14:textId="77777777" w:rsidR="007C2DA5" w:rsidRPr="000274DB" w:rsidRDefault="007C2DA5" w:rsidP="00E4637A">
            <w:pPr>
              <w:spacing w:after="0" w:line="240" w:lineRule="auto"/>
            </w:pPr>
            <w:r w:rsidRPr="000274DB">
              <w:t>The actual value is not an element in the value domain of a variable. (e.g., concept not provided by required code system).</w:t>
            </w:r>
          </w:p>
        </w:tc>
      </w:tr>
      <w:tr w:rsidR="000274DB" w:rsidRPr="000274DB" w14:paraId="6E4B0147" w14:textId="77777777" w:rsidTr="000C31BE">
        <w:trPr>
          <w:trHeight w:val="25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F72E23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UNK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1C198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unknown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55CA5A2" w14:textId="77777777" w:rsidR="007C2DA5" w:rsidRPr="000274DB" w:rsidRDefault="007C2DA5" w:rsidP="006A283C">
            <w:pPr>
              <w:spacing w:after="0" w:line="240" w:lineRule="auto"/>
            </w:pPr>
            <w:r w:rsidRPr="000274DB">
              <w:t>A proper value is applicable but not known</w:t>
            </w:r>
            <w:r w:rsidR="000274DB">
              <w:t>.</w:t>
            </w:r>
          </w:p>
        </w:tc>
      </w:tr>
      <w:tr w:rsidR="000274DB" w:rsidRPr="000274DB" w14:paraId="490A2348" w14:textId="77777777" w:rsidTr="000C31BE">
        <w:trPr>
          <w:trHeight w:val="40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7D014B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ASKU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787DE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asked but unknown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2141F86" w14:textId="77777777" w:rsidR="007C2DA5" w:rsidRPr="000274DB" w:rsidRDefault="007C2DA5" w:rsidP="00E4637A">
            <w:pPr>
              <w:spacing w:after="0" w:line="240" w:lineRule="auto"/>
            </w:pPr>
            <w:r w:rsidRPr="000274DB">
              <w:t>Information was sought but not found (e.g., patient was asked but didn’t know)</w:t>
            </w:r>
            <w:r w:rsidR="000274DB">
              <w:t>.</w:t>
            </w:r>
          </w:p>
        </w:tc>
      </w:tr>
      <w:tr w:rsidR="000274DB" w:rsidRPr="000274DB" w14:paraId="5B53672B" w14:textId="77777777" w:rsidTr="000C31BE">
        <w:trPr>
          <w:trHeight w:val="40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86590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NAV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D0812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temporarily unavailable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40B94AC" w14:textId="77777777" w:rsidR="007C2DA5" w:rsidRPr="000274DB" w:rsidRDefault="007C2DA5" w:rsidP="00E4637A">
            <w:pPr>
              <w:spacing w:after="0" w:line="240" w:lineRule="auto"/>
            </w:pPr>
            <w:r w:rsidRPr="000274DB">
              <w:t>Information is not available at this time but it is expected that it will be available later.</w:t>
            </w:r>
          </w:p>
        </w:tc>
      </w:tr>
      <w:tr w:rsidR="000274DB" w:rsidRPr="000274DB" w14:paraId="348693A2" w14:textId="77777777" w:rsidTr="000C31BE">
        <w:trPr>
          <w:trHeight w:val="25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A9D0E9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NASK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050E2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not asked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6EBF0ED" w14:textId="77777777" w:rsidR="007C2DA5" w:rsidRPr="000274DB" w:rsidRDefault="007C2DA5" w:rsidP="00E4637A">
            <w:pPr>
              <w:spacing w:after="0" w:line="240" w:lineRule="auto"/>
            </w:pPr>
            <w:r w:rsidRPr="000274DB">
              <w:t>This information has not been sought (e.g., patient was not asked)</w:t>
            </w:r>
            <w:r w:rsidR="000274DB">
              <w:t>.</w:t>
            </w:r>
          </w:p>
        </w:tc>
      </w:tr>
      <w:tr w:rsidR="000274DB" w:rsidRPr="000274DB" w14:paraId="35A57915" w14:textId="77777777" w:rsidTr="000C31BE">
        <w:trPr>
          <w:trHeight w:val="85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DA7808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MSK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B9E01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masked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2950B3" w14:textId="77777777" w:rsidR="00784700" w:rsidRPr="000274DB" w:rsidRDefault="007C2DA5" w:rsidP="00E4637A">
            <w:pPr>
              <w:spacing w:after="0" w:line="240" w:lineRule="auto"/>
            </w:pPr>
            <w:r w:rsidRPr="000274DB">
              <w:t>There is information on this item available but it has not been provided by the sender due to security, privacy</w:t>
            </w:r>
            <w:r w:rsidR="006A283C">
              <w:t>,</w:t>
            </w:r>
            <w:r w:rsidRPr="000274DB">
              <w:t xml:space="preserve"> or other reasons. There may be an alternate mechanism for gaining access to this </w:t>
            </w:r>
            <w:r w:rsidR="00784700" w:rsidRPr="000274DB">
              <w:t>information.</w:t>
            </w:r>
          </w:p>
          <w:p w14:paraId="5309AFAE" w14:textId="77777777" w:rsidR="007C2DA5" w:rsidRPr="000274DB" w:rsidRDefault="00784700" w:rsidP="006A283C">
            <w:pPr>
              <w:spacing w:after="0" w:line="240" w:lineRule="auto"/>
            </w:pPr>
            <w:r w:rsidRPr="000274DB">
              <w:rPr>
                <w:b/>
              </w:rPr>
              <w:t>Note</w:t>
            </w:r>
            <w:r w:rsidR="007C2DA5" w:rsidRPr="000274DB">
              <w:rPr>
                <w:b/>
              </w:rPr>
              <w:t>:</w:t>
            </w:r>
            <w:r w:rsidR="007C2DA5" w:rsidRPr="000274DB">
              <w:t xml:space="preserve"> </w:t>
            </w:r>
            <w:r w:rsidR="006A283C">
              <w:t>U</w:t>
            </w:r>
            <w:r w:rsidR="007C2DA5" w:rsidRPr="000274DB">
              <w:t xml:space="preserve">sing this null flavor does provide information that may be a breach of confidentiality, even though no detail data </w:t>
            </w:r>
            <w:r w:rsidR="006A283C">
              <w:t>are</w:t>
            </w:r>
            <w:r w:rsidR="007C2DA5" w:rsidRPr="000274DB">
              <w:t xml:space="preserve"> provided. Its primary purpose is for those circumstances where it is necessary to inform the receiver that the information does exist without providing any detail.</w:t>
            </w:r>
          </w:p>
        </w:tc>
      </w:tr>
      <w:tr w:rsidR="000274DB" w:rsidRPr="000274DB" w14:paraId="5AA8D6FE" w14:textId="77777777" w:rsidTr="000C31BE">
        <w:trPr>
          <w:trHeight w:val="25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2F06C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E383F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not applicable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270C100" w14:textId="77777777" w:rsidR="007C2DA5" w:rsidRPr="000274DB" w:rsidRDefault="007C2DA5" w:rsidP="00E4637A">
            <w:pPr>
              <w:spacing w:after="0" w:line="240" w:lineRule="auto"/>
            </w:pPr>
            <w:r w:rsidRPr="000274DB">
              <w:t>No proper value is applicable in this context (e.g., last menstrual period for a male).</w:t>
            </w:r>
          </w:p>
        </w:tc>
      </w:tr>
      <w:tr w:rsidR="000274DB" w:rsidRPr="000274DB" w14:paraId="0CF0C968" w14:textId="77777777" w:rsidTr="000C31BE">
        <w:trPr>
          <w:trHeight w:val="555"/>
          <w:tblCellSpacing w:w="0" w:type="dxa"/>
        </w:trPr>
        <w:tc>
          <w:tcPr>
            <w:tcW w:w="8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A4CBEBE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NP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D3E4B27" w14:textId="77777777" w:rsidR="007C2DA5" w:rsidRPr="000274DB" w:rsidRDefault="007C2DA5" w:rsidP="00E4637A">
            <w:pPr>
              <w:spacing w:after="0" w:line="240" w:lineRule="auto"/>
              <w:jc w:val="center"/>
            </w:pPr>
            <w:r w:rsidRPr="000274DB">
              <w:t>not present</w:t>
            </w:r>
          </w:p>
        </w:tc>
        <w:tc>
          <w:tcPr>
            <w:tcW w:w="113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D5DFA0" w14:textId="77777777" w:rsidR="007C2DA5" w:rsidRPr="000274DB" w:rsidRDefault="007C2DA5" w:rsidP="00E4637A">
            <w:pPr>
              <w:spacing w:after="0" w:line="240" w:lineRule="auto"/>
            </w:pPr>
            <w:r w:rsidRPr="000274DB">
              <w:t>Value is not present in a message. This is only defined in messages, never in application data! All values not present in the message must be replaced by the applicable default, or no-information (NI) as the default of all defaults</w:t>
            </w:r>
            <w:r w:rsidR="000274DB">
              <w:t>.</w:t>
            </w:r>
          </w:p>
        </w:tc>
      </w:tr>
    </w:tbl>
    <w:p w14:paraId="0C6B4AD0" w14:textId="77777777" w:rsidR="00E64B10" w:rsidRDefault="00E64B10" w:rsidP="00E64B10">
      <w:pPr>
        <w:pStyle w:val="Heading1"/>
      </w:pPr>
    </w:p>
    <w:p w14:paraId="0B21D19A" w14:textId="77777777" w:rsidR="0009572B" w:rsidRDefault="0009572B" w:rsidP="00E64B10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</w:p>
    <w:p w14:paraId="2B72B1BA" w14:textId="77777777" w:rsidR="0009572B" w:rsidRDefault="0009572B" w:rsidP="0009572B"/>
    <w:p w14:paraId="6A18E98F" w14:textId="77777777" w:rsidR="0009572B" w:rsidRPr="0009572B" w:rsidRDefault="0009572B" w:rsidP="0009572B"/>
    <w:p w14:paraId="58C50D9B" w14:textId="77777777" w:rsidR="0009572B" w:rsidRDefault="0009572B" w:rsidP="00E64B10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</w:p>
    <w:p w14:paraId="1AA7DA6A" w14:textId="77777777" w:rsidR="00AF2B35" w:rsidRDefault="00AF2B35" w:rsidP="00AF2B35"/>
    <w:p w14:paraId="3472C596" w14:textId="77777777" w:rsidR="004B6D9F" w:rsidRPr="004B6D9F" w:rsidRDefault="004B6D9F" w:rsidP="004B6D9F"/>
    <w:p w14:paraId="3212E45C" w14:textId="77777777" w:rsidR="00E64B10" w:rsidRPr="0009572B" w:rsidRDefault="005E1803" w:rsidP="00E64B10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lastRenderedPageBreak/>
        <w:t xml:space="preserve">Appendix 2: </w:t>
      </w:r>
      <w:r w:rsidR="004B6D9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 xml:space="preserve"> </w:t>
      </w:r>
      <w:r w:rsidR="00E64B10" w:rsidRPr="0009572B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 xml:space="preserve">Examples </w:t>
      </w:r>
      <w:r w:rsidR="00FD70C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of implementation notes for use with out-of-range values</w:t>
      </w:r>
    </w:p>
    <w:p w14:paraId="19CF613C" w14:textId="77777777" w:rsidR="00E64B10" w:rsidRDefault="00E64B10" w:rsidP="00E64B10">
      <w:pPr>
        <w:spacing w:after="0" w:line="240" w:lineRule="auto"/>
        <w:rPr>
          <w:sz w:val="24"/>
          <w:szCs w:val="24"/>
        </w:rPr>
      </w:pPr>
    </w:p>
    <w:tbl>
      <w:tblPr>
        <w:tblW w:w="14161" w:type="dxa"/>
        <w:tblInd w:w="-47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33"/>
        <w:gridCol w:w="1189"/>
        <w:gridCol w:w="1298"/>
        <w:gridCol w:w="1946"/>
        <w:gridCol w:w="834"/>
        <w:gridCol w:w="741"/>
        <w:gridCol w:w="649"/>
        <w:gridCol w:w="741"/>
        <w:gridCol w:w="1946"/>
        <w:gridCol w:w="741"/>
        <w:gridCol w:w="914"/>
        <w:gridCol w:w="2329"/>
      </w:tblGrid>
      <w:tr w:rsidR="00E64B10" w14:paraId="1C9CABEA" w14:textId="77777777" w:rsidTr="00C7670F">
        <w:trPr>
          <w:trHeight w:val="740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8A8"/>
            <w:hideMark/>
          </w:tcPr>
          <w:p w14:paraId="43D1FD09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69E50B9F" w14:textId="77777777" w:rsidR="00E64B10" w:rsidRDefault="00E64B10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PHIN Variable ID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F8A8"/>
            <w:hideMark/>
          </w:tcPr>
          <w:p w14:paraId="12FBCC4C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60D94AE9" w14:textId="77777777" w:rsidR="00E64B10" w:rsidRDefault="00E64B10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Code System Source</w:t>
            </w:r>
          </w:p>
          <w:p w14:paraId="0B1BBB8B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F8A8"/>
            <w:hideMark/>
          </w:tcPr>
          <w:p w14:paraId="41F67061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26420B83" w14:textId="77777777" w:rsidR="00E64B10" w:rsidRDefault="00E64B10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Label/Short Name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F8A8"/>
            <w:hideMark/>
          </w:tcPr>
          <w:p w14:paraId="4EC06500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45EF849F" w14:textId="77777777" w:rsidR="00E64B10" w:rsidRDefault="00E64B10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F8A8"/>
            <w:hideMark/>
          </w:tcPr>
          <w:p w14:paraId="10BF9684" w14:textId="77777777" w:rsidR="004B6D9F" w:rsidRDefault="004B6D9F" w:rsidP="004B6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20FDF5C2" w14:textId="77777777" w:rsidR="00E64B10" w:rsidRDefault="00E6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F8A8"/>
            <w:hideMark/>
          </w:tcPr>
          <w:p w14:paraId="49C9E8F8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61FB5599" w14:textId="77777777" w:rsidR="00E64B10" w:rsidRDefault="00E64B10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CDC Priority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F8A8"/>
            <w:hideMark/>
          </w:tcPr>
          <w:p w14:paraId="020FB0D1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2EFEFA6C" w14:textId="77777777" w:rsidR="00E64B10" w:rsidRDefault="00E64B10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May Repeat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F8A8"/>
            <w:hideMark/>
          </w:tcPr>
          <w:p w14:paraId="06D9D96E" w14:textId="77777777" w:rsidR="004B6D9F" w:rsidRDefault="004B6D9F" w:rsidP="004B6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6E77136B" w14:textId="77777777" w:rsidR="00E64B10" w:rsidRDefault="00E6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Valid Values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hideMark/>
          </w:tcPr>
          <w:p w14:paraId="6930F47E" w14:textId="77777777" w:rsidR="004B6D9F" w:rsidRDefault="004B6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16207319" w14:textId="77777777" w:rsidR="00E64B10" w:rsidRDefault="00E6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HL7 Message Context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hideMark/>
          </w:tcPr>
          <w:p w14:paraId="75EC3A14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027D13B8" w14:textId="77777777" w:rsidR="00E64B10" w:rsidRDefault="00E64B10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HL7 Data Type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hideMark/>
          </w:tcPr>
          <w:p w14:paraId="136A3677" w14:textId="77777777" w:rsidR="004B6D9F" w:rsidRDefault="004B6D9F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6CB824AF" w14:textId="77777777" w:rsidR="00E64B10" w:rsidRDefault="00E64B10" w:rsidP="00C76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HL7 Optionality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hideMark/>
          </w:tcPr>
          <w:p w14:paraId="6F6439EB" w14:textId="77777777" w:rsidR="004B6D9F" w:rsidRDefault="004B6D9F" w:rsidP="004B6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730EDF62" w14:textId="77777777" w:rsidR="00E64B10" w:rsidRDefault="00E6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HL7 Implementation Notes</w:t>
            </w:r>
          </w:p>
        </w:tc>
      </w:tr>
      <w:tr w:rsidR="00E64B10" w14:paraId="40A0BA49" w14:textId="77777777" w:rsidTr="00C7670F">
        <w:trPr>
          <w:trHeight w:val="630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BE67B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DEM115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5D88C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PHINQuestions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40DD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Date of Birth (generic variable)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1522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Date of Birth (generic variable)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191B1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F130F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B0588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01F80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5D53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PID-7 Date of Birth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9FB3D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TS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834F2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DCF8" w14:textId="465C9303" w:rsidR="00E64B10" w:rsidRPr="00E6476F" w:rsidRDefault="008420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</w:rPr>
            </w:pPr>
            <w:r w:rsidRPr="008F04AC">
              <w:rPr>
                <w:rFonts w:ascii="Arial" w:eastAsia="Times New Roman" w:hAnsi="Arial" w:cs="Arial"/>
                <w:sz w:val="16"/>
                <w:szCs w:val="16"/>
              </w:rPr>
              <w:t xml:space="preserve">For unknown date, PID-7 </w:t>
            </w:r>
            <w:r w:rsidRPr="008F04AC">
              <w:rPr>
                <w:rFonts w:ascii="Arial" w:eastAsia="Times New Roman" w:hAnsi="Arial" w:cs="Arial"/>
                <w:b/>
                <w:sz w:val="16"/>
                <w:szCs w:val="16"/>
              </w:rPr>
              <w:t>MAY</w:t>
            </w:r>
            <w:r w:rsidRPr="008F04AC">
              <w:rPr>
                <w:rFonts w:ascii="Arial" w:eastAsia="Times New Roman" w:hAnsi="Arial" w:cs="Arial"/>
                <w:sz w:val="16"/>
                <w:szCs w:val="16"/>
              </w:rPr>
              <w:t xml:space="preserve"> be populated with '99999999'</w:t>
            </w:r>
          </w:p>
        </w:tc>
      </w:tr>
      <w:tr w:rsidR="00E64B10" w14:paraId="7C7596E1" w14:textId="77777777" w:rsidTr="00C7670F">
        <w:trPr>
          <w:trHeight w:val="97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8440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VAC142 (proposed)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4D56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PHINQuestions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ABE06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of last disease-specific vaccination doses prior to illness onset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C797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of last disease-specific vaccination doses prior to illness onset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DCC5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6781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95F4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A688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070AA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Observation/OBX Segment with this variable ID and label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31FA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TS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265A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51F10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OBX-5 will contain '99999999' for unknown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of last disease-specific vaccination doses prior to illness onset</w:t>
            </w:r>
          </w:p>
        </w:tc>
      </w:tr>
      <w:tr w:rsidR="00E64B10" w14:paraId="1F8350B7" w14:textId="77777777" w:rsidTr="00C7670F">
        <w:trPr>
          <w:trHeight w:val="776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2F6C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VAC140  (proposed)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1B79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PHINQuestions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D79D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disease-specific vaccination doses prior to illness onset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4FAA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disease-specific vaccination doses prior to illness onset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51E59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A2443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CF6C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B14BD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75A78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Observation/OBX Segment with this variable ID and label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9632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C585" w14:textId="77777777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527C" w14:textId="286B0A6B" w:rsidR="00E64B10" w:rsidRDefault="00E64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6C251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OBX-5 will contain '^9999' for unknown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disease-specific vaccination doses prior to illness onset</w:t>
            </w:r>
          </w:p>
        </w:tc>
      </w:tr>
    </w:tbl>
    <w:p w14:paraId="1EECF994" w14:textId="77777777" w:rsidR="006C2515" w:rsidRPr="00C7670F" w:rsidRDefault="006C2515" w:rsidP="006C2515">
      <w:pPr>
        <w:rPr>
          <w:i/>
          <w:noProof/>
        </w:rPr>
      </w:pPr>
      <w:r w:rsidRPr="00C7670F">
        <w:rPr>
          <w:i/>
          <w:noProof/>
        </w:rPr>
        <w:t>*Please note that Structured Numeric must have the ^ in the first component to be structurally valid.</w:t>
      </w:r>
    </w:p>
    <w:p w14:paraId="0BBC4504" w14:textId="77777777" w:rsidR="00E64B10" w:rsidRPr="0009572B" w:rsidRDefault="005E1803" w:rsidP="00E64B10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Ap</w:t>
      </w:r>
      <w:r w:rsidR="007F3BB7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</w:t>
      </w: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 xml:space="preserve">endix 3: </w:t>
      </w:r>
      <w:r w:rsidR="004B6D9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 xml:space="preserve"> </w:t>
      </w:r>
      <w:r w:rsidR="00FD70C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Example of how information on “unknown” status might be collected in a surveillance system</w:t>
      </w:r>
      <w:r w:rsidR="00E64B10" w:rsidRPr="0009572B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:</w:t>
      </w:r>
    </w:p>
    <w:p w14:paraId="50B05756" w14:textId="77777777" w:rsidR="00E64B10" w:rsidRDefault="00E64B10">
      <w:pPr>
        <w:rPr>
          <w:b/>
        </w:rPr>
      </w:pPr>
      <w:r>
        <w:rPr>
          <w:noProof/>
          <w:sz w:val="16"/>
          <w:szCs w:val="16"/>
        </w:rPr>
        <w:drawing>
          <wp:inline distT="0" distB="0" distL="0" distR="0" wp14:anchorId="4A9B0E0A" wp14:editId="203CF2C8">
            <wp:extent cx="5130746" cy="321216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67" cy="331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135084" w14:textId="77777777" w:rsidR="00E64B10" w:rsidRPr="0009572B" w:rsidRDefault="005E1803" w:rsidP="00E64B10">
      <w:pPr>
        <w:pStyle w:val="Heading1"/>
        <w:rPr>
          <w:u w:val="single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lastRenderedPageBreak/>
        <w:t xml:space="preserve">Appendix 4: </w:t>
      </w:r>
      <w:r w:rsidR="004B6D9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 xml:space="preserve"> </w:t>
      </w:r>
      <w:r w:rsidR="0009572B" w:rsidRPr="0009572B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</w:t>
      </w:r>
      <w:r w:rsidR="00E64B10" w:rsidRPr="0009572B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roposed CDCP Business Rules</w:t>
      </w:r>
      <w:r w:rsidR="00FD70C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 xml:space="preserve"> for processing out-of-range “unknown” indicators</w:t>
      </w:r>
      <w:r w:rsidR="00E64B10" w:rsidRPr="0009572B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 xml:space="preserve">: </w:t>
      </w:r>
    </w:p>
    <w:p w14:paraId="38049C5D" w14:textId="77777777" w:rsidR="004B6D9F" w:rsidRDefault="004B6D9F" w:rsidP="00E64B10">
      <w:pPr>
        <w:spacing w:before="120" w:after="0" w:line="240" w:lineRule="auto"/>
        <w:rPr>
          <w:b/>
          <w:noProof/>
        </w:rPr>
      </w:pPr>
    </w:p>
    <w:p w14:paraId="23EF6F68" w14:textId="77777777" w:rsidR="00E64B10" w:rsidRPr="00C7670F" w:rsidRDefault="00E64B10" w:rsidP="00E64B10">
      <w:pPr>
        <w:spacing w:before="120" w:after="0" w:line="240" w:lineRule="auto"/>
        <w:rPr>
          <w:b/>
          <w:noProof/>
        </w:rPr>
      </w:pPr>
      <w:r w:rsidRPr="00C7670F">
        <w:rPr>
          <w:b/>
          <w:noProof/>
        </w:rPr>
        <w:t>If the field’s datatype is “TS” (timestamp), and the value is ‘99999999’,</w:t>
      </w:r>
      <w:r w:rsidR="00FD70CF" w:rsidRPr="00C7670F">
        <w:rPr>
          <w:b/>
          <w:noProof/>
        </w:rPr>
        <w:t xml:space="preserve"> </w:t>
      </w:r>
      <w:r w:rsidRPr="00C7670F">
        <w:rPr>
          <w:b/>
          <w:noProof/>
        </w:rPr>
        <w:t>it does not fail</w:t>
      </w:r>
      <w:r w:rsidR="00672A96" w:rsidRPr="00C7670F">
        <w:rPr>
          <w:b/>
          <w:noProof/>
        </w:rPr>
        <w:t xml:space="preserve">.  </w:t>
      </w:r>
      <w:r w:rsidRPr="00C7670F">
        <w:rPr>
          <w:b/>
          <w:noProof/>
        </w:rPr>
        <w:t xml:space="preserve">This applies to </w:t>
      </w:r>
      <w:r w:rsidR="00672A96" w:rsidRPr="00C7670F">
        <w:rPr>
          <w:b/>
          <w:noProof/>
        </w:rPr>
        <w:t>DOB (PID-7)</w:t>
      </w:r>
      <w:r w:rsidRPr="00C7670F">
        <w:rPr>
          <w:b/>
          <w:noProof/>
        </w:rPr>
        <w:t xml:space="preserve"> and all the date observations in OBX-5.  </w:t>
      </w:r>
    </w:p>
    <w:p w14:paraId="3391B788" w14:textId="77777777" w:rsidR="00E64B10" w:rsidRPr="00C7670F" w:rsidRDefault="00E64B10" w:rsidP="00E64B10">
      <w:pPr>
        <w:spacing w:before="120" w:after="0" w:line="240" w:lineRule="auto"/>
        <w:rPr>
          <w:noProof/>
        </w:rPr>
      </w:pPr>
      <w:r w:rsidRPr="00C7670F">
        <w:rPr>
          <w:noProof/>
        </w:rPr>
        <w:t>Example showing unknown DOB in PID segment:</w:t>
      </w:r>
    </w:p>
    <w:p w14:paraId="783AB292" w14:textId="77777777" w:rsidR="00E64B10" w:rsidRPr="00C7670F" w:rsidRDefault="00E64B10" w:rsidP="00E64B10">
      <w:pPr>
        <w:spacing w:after="0" w:line="240" w:lineRule="auto"/>
        <w:rPr>
          <w:rFonts w:cs="Courier New"/>
          <w:noProof/>
        </w:rPr>
      </w:pPr>
      <w:r w:rsidRPr="00C7670F">
        <w:rPr>
          <w:rFonts w:cs="Courier New"/>
          <w:noProof/>
        </w:rPr>
        <w:t xml:space="preserve">PID|1||LocalPatID1DEM197^^^SendAppName&amp;2.16.840.1.114222.GENv2&amp;ISO </w:t>
      </w:r>
    </w:p>
    <w:p w14:paraId="7EE186E4" w14:textId="77777777" w:rsidR="00E64B10" w:rsidRPr="00E6476F" w:rsidRDefault="00E64B10" w:rsidP="00E64B10">
      <w:pPr>
        <w:spacing w:after="0" w:line="240" w:lineRule="auto"/>
        <w:rPr>
          <w:rFonts w:cs="Courier New"/>
          <w:noProof/>
        </w:rPr>
      </w:pPr>
      <w:r w:rsidRPr="00C7670F">
        <w:rPr>
          <w:rFonts w:cs="Courier New"/>
          <w:noProof/>
        </w:rPr>
        <w:t>||~^^^^^^S</w:t>
      </w:r>
      <w:r w:rsidRPr="00E6476F">
        <w:rPr>
          <w:rFonts w:cs="Courier New"/>
          <w:noProof/>
        </w:rPr>
        <w:t xml:space="preserve">||99999999||||||||||||||| </w:t>
      </w:r>
    </w:p>
    <w:p w14:paraId="2D00E2C6" w14:textId="77777777" w:rsidR="00E64B10" w:rsidRPr="00E6476F" w:rsidRDefault="00E64B10" w:rsidP="00E64B10">
      <w:pPr>
        <w:spacing w:before="120" w:after="0" w:line="240" w:lineRule="auto"/>
        <w:rPr>
          <w:noProof/>
        </w:rPr>
      </w:pPr>
      <w:r w:rsidRPr="00E6476F">
        <w:rPr>
          <w:noProof/>
        </w:rPr>
        <w:t>Examples showing unknown date in an observation/OBX segment:</w:t>
      </w:r>
    </w:p>
    <w:p w14:paraId="160888D8" w14:textId="77777777" w:rsidR="00E64B10" w:rsidRPr="00E6476F" w:rsidRDefault="00E64B10" w:rsidP="00E64B10">
      <w:pPr>
        <w:spacing w:after="0" w:line="240" w:lineRule="auto"/>
        <w:rPr>
          <w:noProof/>
        </w:rPr>
      </w:pPr>
      <w:r w:rsidRPr="00E6476F">
        <w:rPr>
          <w:noProof/>
        </w:rPr>
        <w:t>OBX|53|ST|MTH153^Mother's Birthdate^PHINQUESTION||99999999||||||F</w:t>
      </w:r>
    </w:p>
    <w:p w14:paraId="607681CF" w14:textId="77777777" w:rsidR="00E64B10" w:rsidRPr="00E6476F" w:rsidRDefault="00E64B10" w:rsidP="00E64B10">
      <w:pPr>
        <w:spacing w:after="0" w:line="240" w:lineRule="auto"/>
        <w:rPr>
          <w:noProof/>
        </w:rPr>
      </w:pPr>
      <w:r w:rsidRPr="00E6476F">
        <w:rPr>
          <w:noProof/>
        </w:rPr>
        <w:t>OBX|57|TS|75200-6^Date of first prenatal visit^LN||99999999||||||F</w:t>
      </w:r>
    </w:p>
    <w:p w14:paraId="3D5EDD02" w14:textId="77777777" w:rsidR="00E64B10" w:rsidRPr="00E6476F" w:rsidRDefault="00E64B10" w:rsidP="00E64B10">
      <w:pPr>
        <w:rPr>
          <w:noProof/>
        </w:rPr>
      </w:pPr>
    </w:p>
    <w:p w14:paraId="7B516466" w14:textId="689775B7" w:rsidR="00E64B10" w:rsidRPr="00E6476F" w:rsidRDefault="00400813" w:rsidP="00E64B10">
      <w:pPr>
        <w:spacing w:before="120" w:after="0" w:line="240" w:lineRule="auto"/>
        <w:rPr>
          <w:b/>
          <w:noProof/>
        </w:rPr>
      </w:pPr>
      <w:r>
        <w:rPr>
          <w:b/>
          <w:noProof/>
        </w:rPr>
        <w:t xml:space="preserve">If Value Type is NUM or </w:t>
      </w:r>
      <w:r w:rsidR="00E64B10" w:rsidRPr="00E6476F">
        <w:rPr>
          <w:b/>
          <w:noProof/>
        </w:rPr>
        <w:t xml:space="preserve">SN, </w:t>
      </w:r>
      <w:r w:rsidR="00635C6D" w:rsidRPr="00E6476F">
        <w:rPr>
          <w:b/>
          <w:noProof/>
        </w:rPr>
        <w:t xml:space="preserve">it may contain a series of 9s outside the normal range for the </w:t>
      </w:r>
      <w:r w:rsidR="00FD70CF" w:rsidRPr="00E6476F">
        <w:rPr>
          <w:b/>
          <w:noProof/>
        </w:rPr>
        <w:t>data element, and this will not fail</w:t>
      </w:r>
      <w:r w:rsidR="00E64B10" w:rsidRPr="00E6476F">
        <w:rPr>
          <w:b/>
          <w:noProof/>
        </w:rPr>
        <w:t>.</w:t>
      </w:r>
    </w:p>
    <w:p w14:paraId="7C85929D" w14:textId="77777777" w:rsidR="00E64B10" w:rsidRPr="00E6476F" w:rsidRDefault="00E64B10" w:rsidP="00E64B10">
      <w:pPr>
        <w:spacing w:before="120" w:after="0" w:line="240" w:lineRule="auto"/>
        <w:rPr>
          <w:noProof/>
        </w:rPr>
      </w:pPr>
      <w:r w:rsidRPr="00E6476F">
        <w:rPr>
          <w:noProof/>
        </w:rPr>
        <w:t>Examples showing unknown number in observations/OBX segments:</w:t>
      </w:r>
    </w:p>
    <w:p w14:paraId="2B569117" w14:textId="77777777" w:rsidR="00E64B10" w:rsidRPr="00E6476F" w:rsidRDefault="00E64B10" w:rsidP="00E64B10">
      <w:pPr>
        <w:spacing w:after="0" w:line="240" w:lineRule="auto"/>
        <w:rPr>
          <w:noProof/>
        </w:rPr>
      </w:pPr>
      <w:r w:rsidRPr="00E6476F">
        <w:rPr>
          <w:noProof/>
        </w:rPr>
        <w:t>OBX|54|SN|75201-4^Number of previous pregnancies^LN||^9999||||||F</w:t>
      </w:r>
    </w:p>
    <w:p w14:paraId="494A8347" w14:textId="71147B04" w:rsidR="00E64B10" w:rsidRPr="00C7670F" w:rsidRDefault="00E64B10" w:rsidP="006C2515">
      <w:pPr>
        <w:rPr>
          <w:i/>
          <w:noProof/>
        </w:rPr>
      </w:pPr>
      <w:r w:rsidRPr="00E6476F">
        <w:rPr>
          <w:noProof/>
        </w:rPr>
        <w:t>OBX|55|SN|75202-2^Number of live births (total)^LN||^9999||||||F</w:t>
      </w:r>
    </w:p>
    <w:sectPr w:rsidR="00E64B10" w:rsidRPr="00C7670F" w:rsidSect="00AF2B35">
      <w:endnotePr>
        <w:numFmt w:val="decimal"/>
      </w:endnote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4C938" w14:textId="77777777" w:rsidR="001947DA" w:rsidRDefault="001947DA" w:rsidP="00160F22">
      <w:pPr>
        <w:spacing w:after="0" w:line="240" w:lineRule="auto"/>
      </w:pPr>
      <w:r>
        <w:separator/>
      </w:r>
    </w:p>
  </w:endnote>
  <w:endnote w:type="continuationSeparator" w:id="0">
    <w:p w14:paraId="0426BA88" w14:textId="77777777" w:rsidR="001947DA" w:rsidRDefault="001947DA" w:rsidP="0016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CDDD5" w14:textId="77777777" w:rsidR="001947DA" w:rsidRDefault="001947DA" w:rsidP="00160F22">
      <w:pPr>
        <w:spacing w:after="0" w:line="240" w:lineRule="auto"/>
      </w:pPr>
      <w:r>
        <w:separator/>
      </w:r>
    </w:p>
  </w:footnote>
  <w:footnote w:type="continuationSeparator" w:id="0">
    <w:p w14:paraId="731F1C4F" w14:textId="77777777" w:rsidR="001947DA" w:rsidRDefault="001947DA" w:rsidP="0016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BED"/>
    <w:multiLevelType w:val="hybridMultilevel"/>
    <w:tmpl w:val="44943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ECA50BA">
      <w:numFmt w:val="bullet"/>
      <w:lvlText w:val="–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59B9"/>
    <w:multiLevelType w:val="hybridMultilevel"/>
    <w:tmpl w:val="CD64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1B83"/>
    <w:multiLevelType w:val="hybridMultilevel"/>
    <w:tmpl w:val="D4A8B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6BE8"/>
    <w:multiLevelType w:val="hybridMultilevel"/>
    <w:tmpl w:val="DD9A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80F23"/>
    <w:multiLevelType w:val="hybridMultilevel"/>
    <w:tmpl w:val="C3FC4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0121E7"/>
    <w:multiLevelType w:val="hybridMultilevel"/>
    <w:tmpl w:val="18527806"/>
    <w:lvl w:ilvl="0" w:tplc="F964FE0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7355E6"/>
    <w:multiLevelType w:val="hybridMultilevel"/>
    <w:tmpl w:val="F4E81BF8"/>
    <w:lvl w:ilvl="0" w:tplc="8AC07DD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892B52"/>
    <w:multiLevelType w:val="hybridMultilevel"/>
    <w:tmpl w:val="3BFA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6515D"/>
    <w:multiLevelType w:val="hybridMultilevel"/>
    <w:tmpl w:val="17F21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10A95"/>
    <w:multiLevelType w:val="hybridMultilevel"/>
    <w:tmpl w:val="5AB4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E7CC5"/>
    <w:multiLevelType w:val="hybridMultilevel"/>
    <w:tmpl w:val="A790AF4E"/>
    <w:lvl w:ilvl="0" w:tplc="D890CF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04909"/>
    <w:multiLevelType w:val="multilevel"/>
    <w:tmpl w:val="329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719C0"/>
    <w:multiLevelType w:val="hybridMultilevel"/>
    <w:tmpl w:val="CA106F36"/>
    <w:lvl w:ilvl="0" w:tplc="A322ECB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71EF9"/>
    <w:multiLevelType w:val="hybridMultilevel"/>
    <w:tmpl w:val="C6BA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308C5"/>
    <w:multiLevelType w:val="hybridMultilevel"/>
    <w:tmpl w:val="17F21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C4EA6"/>
    <w:multiLevelType w:val="hybridMultilevel"/>
    <w:tmpl w:val="F782BEF2"/>
    <w:lvl w:ilvl="0" w:tplc="009A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2AC16">
      <w:start w:val="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4B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4A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A7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2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0C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CB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A6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205B0C"/>
    <w:multiLevelType w:val="hybridMultilevel"/>
    <w:tmpl w:val="E2CA17FE"/>
    <w:lvl w:ilvl="0" w:tplc="0409000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68FA1891"/>
    <w:multiLevelType w:val="hybridMultilevel"/>
    <w:tmpl w:val="0518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57CDF"/>
    <w:multiLevelType w:val="hybridMultilevel"/>
    <w:tmpl w:val="95F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F2B7A"/>
    <w:multiLevelType w:val="hybridMultilevel"/>
    <w:tmpl w:val="589C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14"/>
  </w:num>
  <w:num w:numId="5">
    <w:abstractNumId w:val="8"/>
  </w:num>
  <w:num w:numId="6">
    <w:abstractNumId w:val="2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0"/>
  </w:num>
  <w:num w:numId="15">
    <w:abstractNumId w:val="16"/>
  </w:num>
  <w:num w:numId="16">
    <w:abstractNumId w:val="19"/>
  </w:num>
  <w:num w:numId="17">
    <w:abstractNumId w:val="4"/>
  </w:num>
  <w:num w:numId="18">
    <w:abstractNumId w:val="5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57"/>
    <w:rsid w:val="00001EBE"/>
    <w:rsid w:val="00002AC2"/>
    <w:rsid w:val="00002B57"/>
    <w:rsid w:val="00003AA2"/>
    <w:rsid w:val="000113DA"/>
    <w:rsid w:val="00014335"/>
    <w:rsid w:val="00014672"/>
    <w:rsid w:val="00020C6B"/>
    <w:rsid w:val="00023E6D"/>
    <w:rsid w:val="000274DB"/>
    <w:rsid w:val="00033643"/>
    <w:rsid w:val="000356F7"/>
    <w:rsid w:val="0004322C"/>
    <w:rsid w:val="0004586D"/>
    <w:rsid w:val="00057679"/>
    <w:rsid w:val="0006461C"/>
    <w:rsid w:val="000731D8"/>
    <w:rsid w:val="000827D3"/>
    <w:rsid w:val="00082F25"/>
    <w:rsid w:val="00083592"/>
    <w:rsid w:val="00087665"/>
    <w:rsid w:val="00087BE9"/>
    <w:rsid w:val="00090DB4"/>
    <w:rsid w:val="0009572B"/>
    <w:rsid w:val="000A7874"/>
    <w:rsid w:val="000B1333"/>
    <w:rsid w:val="000B1DAD"/>
    <w:rsid w:val="000B2F8A"/>
    <w:rsid w:val="000B63A5"/>
    <w:rsid w:val="000C31BE"/>
    <w:rsid w:val="000C5E3A"/>
    <w:rsid w:val="000D05DE"/>
    <w:rsid w:val="000D5196"/>
    <w:rsid w:val="000D6646"/>
    <w:rsid w:val="000D7E72"/>
    <w:rsid w:val="000E7EFF"/>
    <w:rsid w:val="000F1320"/>
    <w:rsid w:val="000F1BEA"/>
    <w:rsid w:val="000F6C89"/>
    <w:rsid w:val="000F7729"/>
    <w:rsid w:val="001023FF"/>
    <w:rsid w:val="001150BA"/>
    <w:rsid w:val="00116197"/>
    <w:rsid w:val="001179AE"/>
    <w:rsid w:val="0013220D"/>
    <w:rsid w:val="0013248A"/>
    <w:rsid w:val="0013403A"/>
    <w:rsid w:val="00135B4E"/>
    <w:rsid w:val="001368AB"/>
    <w:rsid w:val="00137FB4"/>
    <w:rsid w:val="001417F4"/>
    <w:rsid w:val="00145CE5"/>
    <w:rsid w:val="001538F2"/>
    <w:rsid w:val="00153DB1"/>
    <w:rsid w:val="001571C3"/>
    <w:rsid w:val="00160F22"/>
    <w:rsid w:val="0016426E"/>
    <w:rsid w:val="00172596"/>
    <w:rsid w:val="001755B0"/>
    <w:rsid w:val="00182505"/>
    <w:rsid w:val="0018317E"/>
    <w:rsid w:val="001947DA"/>
    <w:rsid w:val="00196494"/>
    <w:rsid w:val="001A0069"/>
    <w:rsid w:val="001A019E"/>
    <w:rsid w:val="001A2259"/>
    <w:rsid w:val="001A77C3"/>
    <w:rsid w:val="001A7A44"/>
    <w:rsid w:val="001B24C7"/>
    <w:rsid w:val="001B61AD"/>
    <w:rsid w:val="001B748D"/>
    <w:rsid w:val="001B76D3"/>
    <w:rsid w:val="001C10A4"/>
    <w:rsid w:val="001C1AF1"/>
    <w:rsid w:val="001C37B9"/>
    <w:rsid w:val="001D4D20"/>
    <w:rsid w:val="001D5601"/>
    <w:rsid w:val="001D58CE"/>
    <w:rsid w:val="001D5BCD"/>
    <w:rsid w:val="001D5D7B"/>
    <w:rsid w:val="001D6D4D"/>
    <w:rsid w:val="001D74E7"/>
    <w:rsid w:val="001E4989"/>
    <w:rsid w:val="001E7BF6"/>
    <w:rsid w:val="002006A4"/>
    <w:rsid w:val="00214618"/>
    <w:rsid w:val="00215A8B"/>
    <w:rsid w:val="0022155D"/>
    <w:rsid w:val="002236FA"/>
    <w:rsid w:val="00224F6E"/>
    <w:rsid w:val="00232D02"/>
    <w:rsid w:val="002359ED"/>
    <w:rsid w:val="00236F15"/>
    <w:rsid w:val="002409BC"/>
    <w:rsid w:val="00245E22"/>
    <w:rsid w:val="0026507E"/>
    <w:rsid w:val="00265D6E"/>
    <w:rsid w:val="00274927"/>
    <w:rsid w:val="002764B3"/>
    <w:rsid w:val="00280433"/>
    <w:rsid w:val="0028358C"/>
    <w:rsid w:val="002836EA"/>
    <w:rsid w:val="0029440B"/>
    <w:rsid w:val="0029522A"/>
    <w:rsid w:val="002A5E7E"/>
    <w:rsid w:val="002A63CA"/>
    <w:rsid w:val="002B0C7B"/>
    <w:rsid w:val="002C29FF"/>
    <w:rsid w:val="002C3C06"/>
    <w:rsid w:val="002C55AE"/>
    <w:rsid w:val="002C75E4"/>
    <w:rsid w:val="002D22DA"/>
    <w:rsid w:val="002D48F0"/>
    <w:rsid w:val="002E5788"/>
    <w:rsid w:val="002E7DE2"/>
    <w:rsid w:val="002F20E8"/>
    <w:rsid w:val="00307634"/>
    <w:rsid w:val="00310A42"/>
    <w:rsid w:val="003231A5"/>
    <w:rsid w:val="003237D7"/>
    <w:rsid w:val="003250EB"/>
    <w:rsid w:val="00333242"/>
    <w:rsid w:val="00347BAA"/>
    <w:rsid w:val="00360696"/>
    <w:rsid w:val="00371BBF"/>
    <w:rsid w:val="003724A8"/>
    <w:rsid w:val="0037306D"/>
    <w:rsid w:val="00380D54"/>
    <w:rsid w:val="003866E9"/>
    <w:rsid w:val="00387785"/>
    <w:rsid w:val="00391C70"/>
    <w:rsid w:val="003A085C"/>
    <w:rsid w:val="003B28C7"/>
    <w:rsid w:val="003B78A8"/>
    <w:rsid w:val="003C3CD3"/>
    <w:rsid w:val="003E070D"/>
    <w:rsid w:val="003E1ECF"/>
    <w:rsid w:val="003E5962"/>
    <w:rsid w:val="003E6961"/>
    <w:rsid w:val="003F0FC1"/>
    <w:rsid w:val="003F262C"/>
    <w:rsid w:val="00400813"/>
    <w:rsid w:val="00400F6C"/>
    <w:rsid w:val="00403910"/>
    <w:rsid w:val="00405F43"/>
    <w:rsid w:val="004130D8"/>
    <w:rsid w:val="00416166"/>
    <w:rsid w:val="00431319"/>
    <w:rsid w:val="00433BB6"/>
    <w:rsid w:val="00442DA3"/>
    <w:rsid w:val="00447B0C"/>
    <w:rsid w:val="00450DF6"/>
    <w:rsid w:val="00460727"/>
    <w:rsid w:val="00462E5E"/>
    <w:rsid w:val="00464438"/>
    <w:rsid w:val="004705F1"/>
    <w:rsid w:val="004712AB"/>
    <w:rsid w:val="004739E4"/>
    <w:rsid w:val="00477076"/>
    <w:rsid w:val="00481432"/>
    <w:rsid w:val="00482C38"/>
    <w:rsid w:val="00483AFD"/>
    <w:rsid w:val="004860E5"/>
    <w:rsid w:val="004951BF"/>
    <w:rsid w:val="00495FCD"/>
    <w:rsid w:val="004A030D"/>
    <w:rsid w:val="004A3984"/>
    <w:rsid w:val="004A6AAC"/>
    <w:rsid w:val="004A7987"/>
    <w:rsid w:val="004B1FAE"/>
    <w:rsid w:val="004B2500"/>
    <w:rsid w:val="004B30B5"/>
    <w:rsid w:val="004B5E50"/>
    <w:rsid w:val="004B6D9F"/>
    <w:rsid w:val="004B77F3"/>
    <w:rsid w:val="004B7AD2"/>
    <w:rsid w:val="004C1E55"/>
    <w:rsid w:val="004C2CD7"/>
    <w:rsid w:val="004C3473"/>
    <w:rsid w:val="004C673E"/>
    <w:rsid w:val="004D7518"/>
    <w:rsid w:val="004E03B2"/>
    <w:rsid w:val="004E1799"/>
    <w:rsid w:val="004E4AA0"/>
    <w:rsid w:val="004F1BF6"/>
    <w:rsid w:val="004F2915"/>
    <w:rsid w:val="004F4BE4"/>
    <w:rsid w:val="00502E72"/>
    <w:rsid w:val="00507E05"/>
    <w:rsid w:val="005105F7"/>
    <w:rsid w:val="0051144C"/>
    <w:rsid w:val="0051309C"/>
    <w:rsid w:val="005140F3"/>
    <w:rsid w:val="00517BC7"/>
    <w:rsid w:val="00521390"/>
    <w:rsid w:val="005262C9"/>
    <w:rsid w:val="00531354"/>
    <w:rsid w:val="00532F6D"/>
    <w:rsid w:val="00544B88"/>
    <w:rsid w:val="005504C6"/>
    <w:rsid w:val="00555A02"/>
    <w:rsid w:val="00557404"/>
    <w:rsid w:val="00560299"/>
    <w:rsid w:val="005631C7"/>
    <w:rsid w:val="00563A84"/>
    <w:rsid w:val="00571008"/>
    <w:rsid w:val="00575E34"/>
    <w:rsid w:val="00582F5B"/>
    <w:rsid w:val="005854CC"/>
    <w:rsid w:val="005861AA"/>
    <w:rsid w:val="005909A6"/>
    <w:rsid w:val="00593445"/>
    <w:rsid w:val="00593CC3"/>
    <w:rsid w:val="005945A7"/>
    <w:rsid w:val="005A000B"/>
    <w:rsid w:val="005A0B27"/>
    <w:rsid w:val="005A4DC8"/>
    <w:rsid w:val="005B03B4"/>
    <w:rsid w:val="005B6410"/>
    <w:rsid w:val="005C7F09"/>
    <w:rsid w:val="005D12E9"/>
    <w:rsid w:val="005D67E8"/>
    <w:rsid w:val="005D68C3"/>
    <w:rsid w:val="005E0BEF"/>
    <w:rsid w:val="005E1803"/>
    <w:rsid w:val="005E53BF"/>
    <w:rsid w:val="005F0667"/>
    <w:rsid w:val="005F21E1"/>
    <w:rsid w:val="006013C4"/>
    <w:rsid w:val="00614A05"/>
    <w:rsid w:val="0061529C"/>
    <w:rsid w:val="00617545"/>
    <w:rsid w:val="00621CE9"/>
    <w:rsid w:val="00633F09"/>
    <w:rsid w:val="00635C6D"/>
    <w:rsid w:val="0064195C"/>
    <w:rsid w:val="006432B6"/>
    <w:rsid w:val="006434BB"/>
    <w:rsid w:val="0064503D"/>
    <w:rsid w:val="00655FBD"/>
    <w:rsid w:val="00661EBC"/>
    <w:rsid w:val="00670CCD"/>
    <w:rsid w:val="00672A96"/>
    <w:rsid w:val="00676017"/>
    <w:rsid w:val="0067723D"/>
    <w:rsid w:val="00682A67"/>
    <w:rsid w:val="00683BB1"/>
    <w:rsid w:val="006A0C38"/>
    <w:rsid w:val="006A283C"/>
    <w:rsid w:val="006B1368"/>
    <w:rsid w:val="006C2515"/>
    <w:rsid w:val="006C7144"/>
    <w:rsid w:val="006D223F"/>
    <w:rsid w:val="006D3F61"/>
    <w:rsid w:val="006F01BD"/>
    <w:rsid w:val="006F1C41"/>
    <w:rsid w:val="006F63DA"/>
    <w:rsid w:val="00702C50"/>
    <w:rsid w:val="00712094"/>
    <w:rsid w:val="007134B8"/>
    <w:rsid w:val="00714B00"/>
    <w:rsid w:val="00717EA7"/>
    <w:rsid w:val="00722CF8"/>
    <w:rsid w:val="007237FA"/>
    <w:rsid w:val="00733E31"/>
    <w:rsid w:val="00741F1E"/>
    <w:rsid w:val="00743C7A"/>
    <w:rsid w:val="00744BA2"/>
    <w:rsid w:val="007459A9"/>
    <w:rsid w:val="00753E43"/>
    <w:rsid w:val="00755027"/>
    <w:rsid w:val="0075516A"/>
    <w:rsid w:val="00757290"/>
    <w:rsid w:val="00763915"/>
    <w:rsid w:val="00766853"/>
    <w:rsid w:val="0077138F"/>
    <w:rsid w:val="00774BFD"/>
    <w:rsid w:val="007755DF"/>
    <w:rsid w:val="00782293"/>
    <w:rsid w:val="007823C4"/>
    <w:rsid w:val="00784700"/>
    <w:rsid w:val="007871E0"/>
    <w:rsid w:val="00794385"/>
    <w:rsid w:val="0079594C"/>
    <w:rsid w:val="007A154C"/>
    <w:rsid w:val="007A203B"/>
    <w:rsid w:val="007A7B5F"/>
    <w:rsid w:val="007B1021"/>
    <w:rsid w:val="007B33B1"/>
    <w:rsid w:val="007B5379"/>
    <w:rsid w:val="007B5AC5"/>
    <w:rsid w:val="007B7194"/>
    <w:rsid w:val="007B7626"/>
    <w:rsid w:val="007C2DA5"/>
    <w:rsid w:val="007C5009"/>
    <w:rsid w:val="007D38E7"/>
    <w:rsid w:val="007F08AF"/>
    <w:rsid w:val="007F3BB7"/>
    <w:rsid w:val="007F43B5"/>
    <w:rsid w:val="007F5BDF"/>
    <w:rsid w:val="007F6C10"/>
    <w:rsid w:val="00801AD9"/>
    <w:rsid w:val="00801BEF"/>
    <w:rsid w:val="008315FF"/>
    <w:rsid w:val="00831F37"/>
    <w:rsid w:val="0083291B"/>
    <w:rsid w:val="00840B33"/>
    <w:rsid w:val="00842063"/>
    <w:rsid w:val="00842FC7"/>
    <w:rsid w:val="00844664"/>
    <w:rsid w:val="0084648B"/>
    <w:rsid w:val="00846935"/>
    <w:rsid w:val="00847B1B"/>
    <w:rsid w:val="008508DA"/>
    <w:rsid w:val="00852DD1"/>
    <w:rsid w:val="00855251"/>
    <w:rsid w:val="00864A7D"/>
    <w:rsid w:val="00866F5C"/>
    <w:rsid w:val="008741DA"/>
    <w:rsid w:val="00882C8C"/>
    <w:rsid w:val="00882EBD"/>
    <w:rsid w:val="00882F96"/>
    <w:rsid w:val="00893CFB"/>
    <w:rsid w:val="00894436"/>
    <w:rsid w:val="00894BA7"/>
    <w:rsid w:val="00896098"/>
    <w:rsid w:val="008A2736"/>
    <w:rsid w:val="008A36F2"/>
    <w:rsid w:val="008A3870"/>
    <w:rsid w:val="008A4773"/>
    <w:rsid w:val="008A55C2"/>
    <w:rsid w:val="008B01F3"/>
    <w:rsid w:val="008B0857"/>
    <w:rsid w:val="008B406D"/>
    <w:rsid w:val="008C506D"/>
    <w:rsid w:val="008D00FB"/>
    <w:rsid w:val="008D0982"/>
    <w:rsid w:val="008D336C"/>
    <w:rsid w:val="008D56CD"/>
    <w:rsid w:val="008F04AC"/>
    <w:rsid w:val="008F4F74"/>
    <w:rsid w:val="008F597A"/>
    <w:rsid w:val="00903D19"/>
    <w:rsid w:val="0091278A"/>
    <w:rsid w:val="009174ED"/>
    <w:rsid w:val="0092073A"/>
    <w:rsid w:val="00921915"/>
    <w:rsid w:val="009370BD"/>
    <w:rsid w:val="0094007E"/>
    <w:rsid w:val="00947734"/>
    <w:rsid w:val="009504B2"/>
    <w:rsid w:val="009528BA"/>
    <w:rsid w:val="00954514"/>
    <w:rsid w:val="00963E2D"/>
    <w:rsid w:val="0096452D"/>
    <w:rsid w:val="00964960"/>
    <w:rsid w:val="0097178F"/>
    <w:rsid w:val="00982B05"/>
    <w:rsid w:val="009843C1"/>
    <w:rsid w:val="00987E4C"/>
    <w:rsid w:val="00991925"/>
    <w:rsid w:val="009A0401"/>
    <w:rsid w:val="009A0FD6"/>
    <w:rsid w:val="009A16FF"/>
    <w:rsid w:val="009A63C6"/>
    <w:rsid w:val="009B41CF"/>
    <w:rsid w:val="009B537E"/>
    <w:rsid w:val="009B5B6B"/>
    <w:rsid w:val="009B6D69"/>
    <w:rsid w:val="009D521F"/>
    <w:rsid w:val="009E21CA"/>
    <w:rsid w:val="009E2370"/>
    <w:rsid w:val="009F02F4"/>
    <w:rsid w:val="009F324A"/>
    <w:rsid w:val="009F3562"/>
    <w:rsid w:val="00A04419"/>
    <w:rsid w:val="00A0467E"/>
    <w:rsid w:val="00A17D00"/>
    <w:rsid w:val="00A22A00"/>
    <w:rsid w:val="00A35C3C"/>
    <w:rsid w:val="00A3797F"/>
    <w:rsid w:val="00A40C4D"/>
    <w:rsid w:val="00A46872"/>
    <w:rsid w:val="00A51064"/>
    <w:rsid w:val="00A557AD"/>
    <w:rsid w:val="00A64D38"/>
    <w:rsid w:val="00A706EA"/>
    <w:rsid w:val="00A72F3A"/>
    <w:rsid w:val="00A80F14"/>
    <w:rsid w:val="00A82BA3"/>
    <w:rsid w:val="00A84CAD"/>
    <w:rsid w:val="00A867F4"/>
    <w:rsid w:val="00A96B91"/>
    <w:rsid w:val="00AB62C5"/>
    <w:rsid w:val="00AC6A31"/>
    <w:rsid w:val="00AE0333"/>
    <w:rsid w:val="00AE0D60"/>
    <w:rsid w:val="00AE324C"/>
    <w:rsid w:val="00AF2B35"/>
    <w:rsid w:val="00AF5DCC"/>
    <w:rsid w:val="00B05CF6"/>
    <w:rsid w:val="00B06506"/>
    <w:rsid w:val="00B100EF"/>
    <w:rsid w:val="00B11BD3"/>
    <w:rsid w:val="00B11D76"/>
    <w:rsid w:val="00B152B5"/>
    <w:rsid w:val="00B2078E"/>
    <w:rsid w:val="00B25347"/>
    <w:rsid w:val="00B33A50"/>
    <w:rsid w:val="00B3603D"/>
    <w:rsid w:val="00B458E5"/>
    <w:rsid w:val="00B47231"/>
    <w:rsid w:val="00B523E1"/>
    <w:rsid w:val="00B55735"/>
    <w:rsid w:val="00B62AA2"/>
    <w:rsid w:val="00B65A9E"/>
    <w:rsid w:val="00B7431A"/>
    <w:rsid w:val="00B8027E"/>
    <w:rsid w:val="00B8274F"/>
    <w:rsid w:val="00B8685F"/>
    <w:rsid w:val="00B90443"/>
    <w:rsid w:val="00B91B73"/>
    <w:rsid w:val="00BB40A2"/>
    <w:rsid w:val="00BC331C"/>
    <w:rsid w:val="00BC36B1"/>
    <w:rsid w:val="00BC46E4"/>
    <w:rsid w:val="00BC47F7"/>
    <w:rsid w:val="00BD2D46"/>
    <w:rsid w:val="00BD7EAD"/>
    <w:rsid w:val="00BE29A4"/>
    <w:rsid w:val="00BE318E"/>
    <w:rsid w:val="00BF0664"/>
    <w:rsid w:val="00BF21D7"/>
    <w:rsid w:val="00BF39C9"/>
    <w:rsid w:val="00BF699B"/>
    <w:rsid w:val="00C03216"/>
    <w:rsid w:val="00C068DB"/>
    <w:rsid w:val="00C15822"/>
    <w:rsid w:val="00C20D73"/>
    <w:rsid w:val="00C22208"/>
    <w:rsid w:val="00C27C29"/>
    <w:rsid w:val="00C37650"/>
    <w:rsid w:val="00C4362C"/>
    <w:rsid w:val="00C44C28"/>
    <w:rsid w:val="00C46923"/>
    <w:rsid w:val="00C51C69"/>
    <w:rsid w:val="00C53E2E"/>
    <w:rsid w:val="00C548F9"/>
    <w:rsid w:val="00C62CC6"/>
    <w:rsid w:val="00C64E4D"/>
    <w:rsid w:val="00C71881"/>
    <w:rsid w:val="00C72E3C"/>
    <w:rsid w:val="00C73384"/>
    <w:rsid w:val="00C7670F"/>
    <w:rsid w:val="00C77F1E"/>
    <w:rsid w:val="00CA23D0"/>
    <w:rsid w:val="00CA6EAF"/>
    <w:rsid w:val="00CA78B9"/>
    <w:rsid w:val="00CB0737"/>
    <w:rsid w:val="00CB7153"/>
    <w:rsid w:val="00CC22BF"/>
    <w:rsid w:val="00CC2977"/>
    <w:rsid w:val="00CC75FE"/>
    <w:rsid w:val="00CC7ACB"/>
    <w:rsid w:val="00CD633C"/>
    <w:rsid w:val="00CD6B6A"/>
    <w:rsid w:val="00CE3CB0"/>
    <w:rsid w:val="00CE74D9"/>
    <w:rsid w:val="00CF3934"/>
    <w:rsid w:val="00CF3941"/>
    <w:rsid w:val="00CF5D39"/>
    <w:rsid w:val="00CF5D4C"/>
    <w:rsid w:val="00D00B52"/>
    <w:rsid w:val="00D01BD1"/>
    <w:rsid w:val="00D04400"/>
    <w:rsid w:val="00D044C8"/>
    <w:rsid w:val="00D132F6"/>
    <w:rsid w:val="00D1599B"/>
    <w:rsid w:val="00D35B70"/>
    <w:rsid w:val="00D40A1D"/>
    <w:rsid w:val="00D50978"/>
    <w:rsid w:val="00D518A7"/>
    <w:rsid w:val="00D53AFC"/>
    <w:rsid w:val="00D57D48"/>
    <w:rsid w:val="00D60B50"/>
    <w:rsid w:val="00D6429C"/>
    <w:rsid w:val="00D65181"/>
    <w:rsid w:val="00D67866"/>
    <w:rsid w:val="00D720FA"/>
    <w:rsid w:val="00D77A23"/>
    <w:rsid w:val="00D87B7C"/>
    <w:rsid w:val="00D93F94"/>
    <w:rsid w:val="00D944C8"/>
    <w:rsid w:val="00D97D6F"/>
    <w:rsid w:val="00DA0354"/>
    <w:rsid w:val="00DA4661"/>
    <w:rsid w:val="00DA4728"/>
    <w:rsid w:val="00DA51E3"/>
    <w:rsid w:val="00DB159D"/>
    <w:rsid w:val="00DB50DC"/>
    <w:rsid w:val="00DC3C36"/>
    <w:rsid w:val="00DC57CC"/>
    <w:rsid w:val="00DC6518"/>
    <w:rsid w:val="00DD42FF"/>
    <w:rsid w:val="00DD6CE9"/>
    <w:rsid w:val="00DE0796"/>
    <w:rsid w:val="00DE0F36"/>
    <w:rsid w:val="00DE4903"/>
    <w:rsid w:val="00DE6733"/>
    <w:rsid w:val="00DE69E4"/>
    <w:rsid w:val="00DF1523"/>
    <w:rsid w:val="00E01C20"/>
    <w:rsid w:val="00E03D57"/>
    <w:rsid w:val="00E03F0B"/>
    <w:rsid w:val="00E14916"/>
    <w:rsid w:val="00E16B66"/>
    <w:rsid w:val="00E23F5A"/>
    <w:rsid w:val="00E30007"/>
    <w:rsid w:val="00E359CB"/>
    <w:rsid w:val="00E41209"/>
    <w:rsid w:val="00E41F62"/>
    <w:rsid w:val="00E44842"/>
    <w:rsid w:val="00E4637A"/>
    <w:rsid w:val="00E50DBE"/>
    <w:rsid w:val="00E53C67"/>
    <w:rsid w:val="00E54766"/>
    <w:rsid w:val="00E5545D"/>
    <w:rsid w:val="00E57BD6"/>
    <w:rsid w:val="00E601AD"/>
    <w:rsid w:val="00E603FF"/>
    <w:rsid w:val="00E6476F"/>
    <w:rsid w:val="00E64B10"/>
    <w:rsid w:val="00E775DC"/>
    <w:rsid w:val="00E90347"/>
    <w:rsid w:val="00EA5EF2"/>
    <w:rsid w:val="00EA62E3"/>
    <w:rsid w:val="00EB1AAF"/>
    <w:rsid w:val="00EB3157"/>
    <w:rsid w:val="00EB3A39"/>
    <w:rsid w:val="00EB3E11"/>
    <w:rsid w:val="00EB7796"/>
    <w:rsid w:val="00EC1AC8"/>
    <w:rsid w:val="00EC5216"/>
    <w:rsid w:val="00EC60A0"/>
    <w:rsid w:val="00EC63E5"/>
    <w:rsid w:val="00ED15AA"/>
    <w:rsid w:val="00ED5EBD"/>
    <w:rsid w:val="00EE2011"/>
    <w:rsid w:val="00EE4523"/>
    <w:rsid w:val="00EE6C7D"/>
    <w:rsid w:val="00EF3D54"/>
    <w:rsid w:val="00F00EDE"/>
    <w:rsid w:val="00F01298"/>
    <w:rsid w:val="00F0643A"/>
    <w:rsid w:val="00F10469"/>
    <w:rsid w:val="00F1102E"/>
    <w:rsid w:val="00F11F93"/>
    <w:rsid w:val="00F1282E"/>
    <w:rsid w:val="00F21BCE"/>
    <w:rsid w:val="00F21D0F"/>
    <w:rsid w:val="00F22333"/>
    <w:rsid w:val="00F31A0B"/>
    <w:rsid w:val="00F41352"/>
    <w:rsid w:val="00F431E0"/>
    <w:rsid w:val="00F552C2"/>
    <w:rsid w:val="00F62B36"/>
    <w:rsid w:val="00F63A0D"/>
    <w:rsid w:val="00F67B75"/>
    <w:rsid w:val="00F71352"/>
    <w:rsid w:val="00F773EE"/>
    <w:rsid w:val="00F81D01"/>
    <w:rsid w:val="00F9073A"/>
    <w:rsid w:val="00F91084"/>
    <w:rsid w:val="00F940B4"/>
    <w:rsid w:val="00F946AD"/>
    <w:rsid w:val="00FA347C"/>
    <w:rsid w:val="00FA5F37"/>
    <w:rsid w:val="00FB0C46"/>
    <w:rsid w:val="00FB3A26"/>
    <w:rsid w:val="00FB5B79"/>
    <w:rsid w:val="00FB66AF"/>
    <w:rsid w:val="00FB6AEC"/>
    <w:rsid w:val="00FC36C0"/>
    <w:rsid w:val="00FC4CF8"/>
    <w:rsid w:val="00FC56D3"/>
    <w:rsid w:val="00FD21B8"/>
    <w:rsid w:val="00FD70CF"/>
    <w:rsid w:val="00FE2A1C"/>
    <w:rsid w:val="00FE6CA1"/>
    <w:rsid w:val="00FE788E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9A34"/>
  <w15:docId w15:val="{352B5770-9368-4C16-BB3D-857126C7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BCE"/>
  </w:style>
  <w:style w:type="paragraph" w:styleId="Heading1">
    <w:name w:val="heading 1"/>
    <w:basedOn w:val="Normal"/>
    <w:next w:val="Normal"/>
    <w:link w:val="Heading1Char"/>
    <w:uiPriority w:val="9"/>
    <w:qFormat/>
    <w:rsid w:val="00E64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0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C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C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C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0F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F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0F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60F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60F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0F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8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1E0"/>
  </w:style>
  <w:style w:type="paragraph" w:styleId="Footer">
    <w:name w:val="footer"/>
    <w:basedOn w:val="Normal"/>
    <w:link w:val="FooterChar"/>
    <w:uiPriority w:val="99"/>
    <w:unhideWhenUsed/>
    <w:rsid w:val="0078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1E0"/>
  </w:style>
  <w:style w:type="paragraph" w:styleId="Revision">
    <w:name w:val="Revision"/>
    <w:hidden/>
    <w:uiPriority w:val="99"/>
    <w:semiHidden/>
    <w:rsid w:val="0092191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C31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4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4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D2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32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8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7402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47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0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2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39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089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896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5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0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5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0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0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2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9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9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0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3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3671465F6D242A2069F4A211F2AC6" ma:contentTypeVersion="0" ma:contentTypeDescription="Create a new document." ma:contentTypeScope="" ma:versionID="20a375fd69cdf5a639ba3fc585e57d8f">
  <xsd:schema xmlns:xsd="http://www.w3.org/2001/XMLSchema" xmlns:xs="http://www.w3.org/2001/XMLSchema" xmlns:p="http://schemas.microsoft.com/office/2006/metadata/properties" xmlns:ns2="61e0aa89-821a-4b43-b623-2509ea82b111" targetNamespace="http://schemas.microsoft.com/office/2006/metadata/properties" ma:root="true" ma:fieldsID="c9263b72be4536e08eb3731bed28dc00" ns2:_="">
    <xsd:import namespace="61e0aa89-821a-4b43-b623-2509ea82b1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0aa89-821a-4b43-b623-2509ea82b1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1e0aa89-821a-4b43-b623-2509ea82b111">7DAU5SSH7P55-1450-1137</_dlc_DocId>
    <_dlc_DocIdUrl xmlns="61e0aa89-821a-4b43-b623-2509ea82b111">
      <Url>http://esp.cdc.gov/sites/osels/PHSIPO/DNDHI/NNDSS/NND_Case_Notification/_layouts/DocIdRedir.aspx?ID=7DAU5SSH7P55-1450-1137</Url>
      <Description>7DAU5SSH7P55-1450-1137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FD604-BCB7-4B8E-840C-8CB70EBF1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0aa89-821a-4b43-b623-2509ea82b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2F9C1-3D5A-4647-8C4E-A117DEE48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1A30B-336E-42E0-B0B5-B24CD8098A1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B6D6A1D-B1AB-4810-947C-F90214DD7497}">
  <ds:schemaRefs>
    <ds:schemaRef ds:uri="http://schemas.microsoft.com/office/2006/metadata/properties"/>
    <ds:schemaRef ds:uri="http://schemas.microsoft.com/office/infopath/2007/PartnerControls"/>
    <ds:schemaRef ds:uri="61e0aa89-821a-4b43-b623-2509ea82b111"/>
  </ds:schemaRefs>
</ds:datastoreItem>
</file>

<file path=customXml/itemProps5.xml><?xml version="1.0" encoding="utf-8"?>
<ds:datastoreItem xmlns:ds="http://schemas.openxmlformats.org/officeDocument/2006/customXml" ds:itemID="{6940CF5C-F1B7-4CAC-BB70-68D2417A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Practices for Unknown Values in Case Notification MMGs</vt:lpstr>
    </vt:vector>
  </TitlesOfParts>
  <Company>Centers for Disease Control and Prevention</Company>
  <LinksUpToDate>false</LinksUpToDate>
  <CharactersWithSpaces>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for Unknown Values in Case Notification MMGs</dc:title>
  <dc:creator>CDC User</dc:creator>
  <cp:lastModifiedBy>Morrill, William E. (CDC/OPHSS/CSELS)</cp:lastModifiedBy>
  <cp:revision>2</cp:revision>
  <cp:lastPrinted>2016-10-14T17:38:00Z</cp:lastPrinted>
  <dcterms:created xsi:type="dcterms:W3CDTF">2016-11-15T19:25:00Z</dcterms:created>
  <dcterms:modified xsi:type="dcterms:W3CDTF">2016-11-15T19:25:00Z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0x0101007233671465F6D242A2069F4A211F2AC6</vt:lpwstr>
  </property>
  <property fmtid="{D5CDD505-2E9C-101B-9397-08002B2CF9AE}" pid="3" name="_dlc_DocIdItemGuid">
    <vt:lpwstr>cad9c133-d4a8-4a09-af86-ec49a14554d1</vt:lpwstr>
  </property>
</Properties>
</file>