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2E6E5E"/>
          <w:spacing w:val="40"/>
          <w:sz w:val="30"/>
          <w:szCs w:val="30"/>
        </w:rPr>
        <w:t xml:space="preserve">ARKCLOUD</w:t>
      </w:r>
    </w:p>
    <w:p>
      <w:pPr>
        <w:pBdr>
          <w:bottom w:val="single" w:color="2E6E5E" w:sz="6" w:space="8"/>
        </w:pBdr>
        <w:spacing w:after="400"/>
        <w:jc w:val="center"/>
      </w:pPr>
      <w:r>
        <w:t xml:space="preserve"/>
      </w:r>
    </w:p>
    <w:p>
      <w:pPr>
        <w:spacing w:after="100"/>
        <w:jc w:val="center"/>
      </w:pPr>
      <w:r>
        <w:rPr>
          <w:b/>
          <w:bCs/>
          <w:color w:val="1F3B57"/>
          <w:sz w:val="56"/>
          <w:szCs w:val="56"/>
        </w:rPr>
        <w:t xml:space="preserve">État des lieux — Sprint 6</w:t>
      </w:r>
    </w:p>
    <w:p>
      <w:pPr>
        <w:spacing w:after="600"/>
        <w:jc w:val="center"/>
      </w:pPr>
      <w:r>
        <w:rPr>
          <w:i/>
          <w:iCs/>
          <w:color w:val="5F5E5A"/>
          <w:sz w:val="28"/>
          <w:szCs w:val="28"/>
        </w:rPr>
        <w:t xml:space="preserve">Sécurité cloud avancée</w:t>
      </w:r>
    </w:p>
    <w:p>
      <w:pPr>
        <w:spacing w:after="60"/>
        <w:jc w:val="center"/>
      </w:pPr>
      <w:r>
        <w:rPr>
          <w:color w:val="5F5E5A"/>
          <w:sz w:val="22"/>
          <w:szCs w:val="22"/>
        </w:rPr>
        <w:t xml:space="preserve">Rapport technique complet</w:t>
      </w:r>
    </w:p>
    <w:p>
      <w:pPr>
        <w:spacing w:after="1200"/>
        <w:jc w:val="center"/>
      </w:pPr>
      <w:r>
        <w:rPr>
          <w:color w:val="5F5E5A"/>
          <w:sz w:val="20"/>
          <w:szCs w:val="20"/>
        </w:rPr>
        <w:t xml:space="preserve">07 septembre 2026</w:t>
      </w:r>
    </w:p>
    <w:p>
      <w:pPr>
        <w:jc w:val="center"/>
      </w:pPr>
      <w:r>
        <w:rPr>
          <w:i/>
          <w:iCs/>
          <w:color w:val="9A968C"/>
          <w:sz w:val="16"/>
          <w:szCs w:val="16"/>
        </w:rPr>
        <w:t xml:space="preserve">Sources : docs/architecture-arkcloud.md · docs/threat-model-stride.md · docs/adr/ (repo ArkCloud) · README.md (repo ArkCloudInfra)</w:t>
      </w:r>
    </w:p>
    <w:p>
      <w:r>
        <w:br w:type="page"/>
      </w:r>
    </w:p>
    <w:p>
      <w:pPr>
        <w:pStyle w:val="Heading1"/>
        <w:pBdr>
          <w:bottom w:val="single" w:color="2E6E5E" w:sz="4" w:space="4"/>
        </w:pBdr>
        <w:spacing w:after="220" w:before="480"/>
      </w:pPr>
      <w:r>
        <w:rPr>
          <w:b/>
          <w:bCs/>
          <w:color w:val="2E6E5E"/>
          <w:sz w:val="30"/>
          <w:szCs w:val="30"/>
        </w:rPr>
        <w:t xml:space="preserve">1  </w:t>
      </w:r>
      <w:r>
        <w:rPr>
          <w:b/>
          <w:bCs/>
          <w:color w:val="1F3B57"/>
          <w:sz w:val="30"/>
          <w:szCs w:val="30"/>
        </w:rPr>
        <w:t xml:space="preserve">Résumé exécutif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6E5E" w:sz="16"/>
              <w:left w:val="single" w:color="E3F0EC" w:sz="2"/>
              <w:bottom w:val="single" w:color="E3F0EC" w:sz="2"/>
              <w:right w:val="single" w:color="E3F0EC" w:sz="2"/>
            </w:tcBorders>
            <w:shd w:fill="E3F0EC" w:val="clear"/>
            <w:tcMar>
              <w:top w:type="dxa" w:w="160"/>
              <w:left w:type="dxa" w:w="200"/>
              <w:bottom w:type="dxa" w:w="160"/>
              <w:right w:type="dxa" w:w="200"/>
            </w:tcMar>
          </w:tcPr>
          <w:p>
            <w:pPr>
              <w:spacing w:after="60"/>
            </w:pPr>
            <w:r>
              <w:rPr>
                <w:b/>
                <w:bCs/>
                <w:color w:val="1F3B57"/>
                <w:sz w:val="19"/>
                <w:szCs w:val="19"/>
              </w:rPr>
              <w:t xml:space="preserve">Contexte</w:t>
            </w:r>
          </w:p>
          <w:p>
            <w:pPr>
              <w:spacing w:line="280"/>
            </w:pPr>
            <w:r>
              <w:rPr>
                <w:color w:val="3A3936"/>
                <w:sz w:val="20"/>
                <w:szCs w:val="20"/>
              </w:rPr>
              <w:t xml:space="preserve">Le Sprint 6 (« Sécurité cloud avancée ») fait suite à un incident réel : la fuite publique d'un fichier tfplan contenant l'état Terraform complet, avec des secrets en clair (mots de passe admin PostgreSQL, clés de stockage, etc.). La remédiation immédiate — purge de l'historique git, rotation Tier 1 des secrets les plus critiques — a été suivie d'un travail de fond plus large.</w:t>
            </w:r>
          </w:p>
        </w:tc>
      </w:tr>
    </w:tbl>
    <w:p>
      <w:pPr>
        <w:spacing w:after="160" w:line="300"/>
      </w:pPr>
      <w:r>
        <w:rPr>
          <w:sz w:val="21"/>
          <w:szCs w:val="21"/>
        </w:rPr>
        <w:t xml:space="preserve"/>
      </w:r>
    </w:p>
    <w:p>
      <w:pPr>
        <w:spacing w:after="160" w:line="300"/>
      </w:pPr>
      <w:r>
        <w:rPr>
          <w:sz w:val="21"/>
          <w:szCs w:val="21"/>
        </w:rPr>
        <w:t xml:space="preserve">Le travail de fond est structuré autour de quatre axes : durcissement de l'infrastructure (logs, chiffrement, IAM), modélisation de menaces STRIDE, réduction du privilège applicatif (rôle arkcloud_app), et vérification active de la restaurabilité plutôt que de la supposer.</w:t>
      </w:r>
    </w:p>
    <w:p>
      <w:pPr>
        <w:spacing w:after="160" w:line="300"/>
      </w:pPr>
      <w:r>
        <w:rPr>
          <w:sz w:val="21"/>
          <w:szCs w:val="21"/>
        </w:rPr>
        <w:t xml:space="preserve">État à date : les trois menaces STRIDE nouvellement identifiées ce sprint ont toutes une mitigation vérifiée ou une décision d'acceptation tracée en ADR. La rotation Tier 2 des secrets exposés dans la fuite est complète à l'exception d'un blocage confirmé côté Azure (clés Log Analytics, ticket support ouvert). La fenêtre de restauration PostgreSQL AWS est passée de moins de 24h à 6 jours, plafond réel du compte vérifié en direct plutôt que supposé.</w:t>
      </w:r>
    </w:p>
    <w:p>
      <w:pPr>
        <w:pStyle w:val="Heading1"/>
        <w:pBdr>
          <w:bottom w:val="single" w:color="2E6E5E" w:sz="4" w:space="4"/>
        </w:pBdr>
        <w:spacing w:after="220" w:before="480"/>
      </w:pPr>
      <w:r>
        <w:rPr>
          <w:b/>
          <w:bCs/>
          <w:color w:val="2E6E5E"/>
          <w:sz w:val="30"/>
          <w:szCs w:val="30"/>
        </w:rPr>
        <w:t xml:space="preserve">2  </w:t>
      </w:r>
      <w:r>
        <w:rPr>
          <w:b/>
          <w:bCs/>
          <w:color w:val="1F3B57"/>
          <w:sz w:val="30"/>
          <w:szCs w:val="30"/>
        </w:rPr>
        <w:t xml:space="preserve">Architecture — vue d'ensemble double-cloud</w:t>
      </w:r>
    </w:p>
    <w:p>
      <w:pPr>
        <w:spacing w:after="160" w:line="300"/>
      </w:pPr>
      <w:r>
        <w:rPr>
          <w:sz w:val="21"/>
          <w:szCs w:val="21"/>
        </w:rPr>
        <w:t xml:space="preserve">ArkCloud est déployé en double-cloud actif (Azure + AWS), deux piles applicatives complètes et indépendantes plutôt qu'un site principal et un site de secours passif. Chaque cloud héberge son propre frontend Blazor, sa propre API .NET, sa propre base PostgreSQL et ses propres secrets.</w:t>
      </w:r>
    </w:p>
    <w:p>
      <w:pPr>
        <w:spacing w:after="260" w:before="160"/>
        <w:jc w:val="center"/>
      </w:pPr>
      <w:r>
        <w:drawing>
          <wp:inline distT="0" distB="0" distL="0" distR="0">
            <wp:extent cx="5429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981325"/>
                    </a:xfrm>
                    <a:prstGeom prst="rect">
                      <a:avLst/>
                    </a:prstGeom>
                  </pic:spPr>
                </pic:pic>
              </a:graphicData>
            </a:graphic>
          </wp:inline>
        </w:drawing>
      </w:r>
    </w:p>
    <w:p>
      <w:r>
        <w:br w:type="page"/>
      </w:r>
    </w:p>
    <w:p>
      <w:pPr>
        <w:pStyle w:val="Heading1"/>
        <w:pBdr>
          <w:bottom w:val="single" w:color="2E6E5E" w:sz="4" w:space="4"/>
        </w:pBdr>
        <w:spacing w:after="220" w:before="480"/>
      </w:pPr>
      <w:r>
        <w:rPr>
          <w:b/>
          <w:bCs/>
          <w:color w:val="2E6E5E"/>
          <w:sz w:val="30"/>
          <w:szCs w:val="30"/>
        </w:rPr>
        <w:t xml:space="preserve">3  </w:t>
      </w:r>
      <w:r>
        <w:rPr>
          <w:b/>
          <w:bCs/>
          <w:color w:val="1F3B57"/>
          <w:sz w:val="30"/>
          <w:szCs w:val="30"/>
        </w:rPr>
        <w:t xml:space="preserve">Modélisation de menaces STRIDE</w:t>
      </w:r>
    </w:p>
    <w:p>
      <w:pPr>
        <w:spacing w:after="160" w:line="300"/>
      </w:pPr>
      <w:r>
        <w:rPr>
          <w:sz w:val="21"/>
          <w:szCs w:val="21"/>
        </w:rPr>
        <w:t xml:space="preserve">Chaque flux de confiance (navigateur → ALB/App Service, Blazor → API, API → base, CI → cloud, rotation automatique → base) a été passé au filtre des 6 catégories STRIDE. Seules les catégories où une menace réelle a été identifiée sont détaillées ci-dessous.</w:t>
      </w:r>
    </w:p>
    <w:p>
      <w:pPr>
        <w:pStyle w:val="Heading2"/>
        <w:spacing w:after="140" w:before="320"/>
      </w:pPr>
      <w:r>
        <w:rPr>
          <w:b/>
          <w:bCs/>
          <w:color w:val="2E6E5E"/>
          <w:sz w:val="24"/>
          <w:szCs w:val="24"/>
        </w:rPr>
        <w:t xml:space="preserve">3.1  Navigateur → ALB (AWS) / App Service (Azure)</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800"/>
        <w:gridCol w:w="4500"/>
        <w:gridCol w:w="2700"/>
      </w:tblGrid>
      <w:tr>
        <w:trPr>
          <w:tblHeader/>
        </w:trPr>
        <w:tc>
          <w:tcPr>
            <w:tcW w:type="dxa" w:w="1800"/>
            <w:shd w:fill="1F3B57" w:val="clear"/>
            <w:tcMar>
              <w:top w:type="dxa" w:w="100"/>
              <w:left w:type="dxa" w:w="120"/>
              <w:bottom w:type="dxa" w:w="100"/>
              <w:right w:type="dxa" w:w="120"/>
            </w:tcMar>
            <w:vAlign w:val="center"/>
          </w:tcPr>
          <w:p>
            <w:r>
              <w:rPr>
                <w:b/>
                <w:bCs/>
                <w:color w:val="FFFFFF"/>
                <w:sz w:val="18"/>
                <w:szCs w:val="18"/>
              </w:rPr>
              <w:t xml:space="preserve">Catégorie</w:t>
            </w:r>
          </w:p>
        </w:tc>
        <w:tc>
          <w:tcPr>
            <w:tcW w:type="dxa" w:w="4500"/>
            <w:shd w:fill="1F3B57" w:val="clear"/>
            <w:tcMar>
              <w:top w:type="dxa" w:w="100"/>
              <w:left w:type="dxa" w:w="120"/>
              <w:bottom w:type="dxa" w:w="100"/>
              <w:right w:type="dxa" w:w="120"/>
            </w:tcMar>
            <w:vAlign w:val="center"/>
          </w:tcPr>
          <w:p>
            <w:r>
              <w:rPr>
                <w:b/>
                <w:bCs/>
                <w:color w:val="FFFFFF"/>
                <w:sz w:val="18"/>
                <w:szCs w:val="18"/>
              </w:rPr>
              <w:t xml:space="preserve">Menace</w:t>
            </w:r>
          </w:p>
        </w:tc>
        <w:tc>
          <w:tcPr>
            <w:tcW w:type="dxa" w:w="2700"/>
            <w:shd w:fill="1F3B57" w:val="clear"/>
            <w:tcMar>
              <w:top w:type="dxa" w:w="100"/>
              <w:left w:type="dxa" w:w="120"/>
              <w:bottom w:type="dxa" w:w="100"/>
              <w:right w:type="dxa" w:w="120"/>
            </w:tcMar>
            <w:vAlign w:val="center"/>
          </w:tcPr>
          <w:p>
            <w:r>
              <w:rPr>
                <w:b/>
                <w:bCs/>
                <w:color w:val="FFFFFF"/>
                <w:sz w:val="18"/>
                <w:szCs w:val="18"/>
              </w:rPr>
              <w:t xml:space="preserve">Décision</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Spoofing</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Certificat auto-signé sur l'ALB AWS (pas de domaine réel disponible)</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Acceptée — ADR-0003</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Tampering</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Modification du trafic en transit</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 HTTPS forcé des deux côtés</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Repudiation</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Aucun log d'accès ALB au niveau infra</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(Sprint 6) — bucket S3 dédié, vérifié de bout en bout</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Denial of service</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Aucun rate limiting au niveau infra</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Acceptée pour l'instant — ADR-0008</w:t>
            </w:r>
          </w:p>
        </w:tc>
      </w:tr>
    </w:tbl>
    <w:p>
      <w:pPr>
        <w:pStyle w:val="Heading2"/>
        <w:spacing w:after="140" w:before="320"/>
      </w:pPr>
      <w:r>
        <w:rPr>
          <w:b/>
          <w:bCs/>
          <w:color w:val="2E6E5E"/>
          <w:sz w:val="24"/>
          <w:szCs w:val="24"/>
        </w:rPr>
        <w:t xml:space="preserve">3.2  Blazor → API</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800"/>
        <w:gridCol w:w="4500"/>
        <w:gridCol w:w="2700"/>
      </w:tblGrid>
      <w:tr>
        <w:trPr>
          <w:tblHeader/>
        </w:trPr>
        <w:tc>
          <w:tcPr>
            <w:tcW w:type="dxa" w:w="1800"/>
            <w:shd w:fill="1F3B57" w:val="clear"/>
            <w:tcMar>
              <w:top w:type="dxa" w:w="100"/>
              <w:left w:type="dxa" w:w="120"/>
              <w:bottom w:type="dxa" w:w="100"/>
              <w:right w:type="dxa" w:w="120"/>
            </w:tcMar>
            <w:vAlign w:val="center"/>
          </w:tcPr>
          <w:p>
            <w:r>
              <w:rPr>
                <w:b/>
                <w:bCs/>
                <w:color w:val="FFFFFF"/>
                <w:sz w:val="18"/>
                <w:szCs w:val="18"/>
              </w:rPr>
              <w:t xml:space="preserve">Catégorie</w:t>
            </w:r>
          </w:p>
        </w:tc>
        <w:tc>
          <w:tcPr>
            <w:tcW w:type="dxa" w:w="4500"/>
            <w:shd w:fill="1F3B57" w:val="clear"/>
            <w:tcMar>
              <w:top w:type="dxa" w:w="100"/>
              <w:left w:type="dxa" w:w="120"/>
              <w:bottom w:type="dxa" w:w="100"/>
              <w:right w:type="dxa" w:w="120"/>
            </w:tcMar>
            <w:vAlign w:val="center"/>
          </w:tcPr>
          <w:p>
            <w:r>
              <w:rPr>
                <w:b/>
                <w:bCs/>
                <w:color w:val="FFFFFF"/>
                <w:sz w:val="18"/>
                <w:szCs w:val="18"/>
              </w:rPr>
              <w:t xml:space="preserve">Menace</w:t>
            </w:r>
          </w:p>
        </w:tc>
        <w:tc>
          <w:tcPr>
            <w:tcW w:type="dxa" w:w="2700"/>
            <w:shd w:fill="1F3B57" w:val="clear"/>
            <w:tcMar>
              <w:top w:type="dxa" w:w="100"/>
              <w:left w:type="dxa" w:w="120"/>
              <w:bottom w:type="dxa" w:w="100"/>
              <w:right w:type="dxa" w:w="120"/>
            </w:tcMar>
            <w:vAlign w:val="center"/>
          </w:tcPr>
          <w:p>
            <w:r>
              <w:rPr>
                <w:b/>
                <w:bCs/>
                <w:color w:val="FFFFFF"/>
                <w:sz w:val="18"/>
                <w:szCs w:val="18"/>
              </w:rPr>
              <w:t xml:space="preserve">Décision</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Spoofing</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Falsification d'identité auprès de l'API</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 JWT Bearer</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Tampering</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Falsification du token/requête en transit</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 JWT signé HMAC + HTTPS</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Information disclosure</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CORS trop permissif</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 policy CORS nommée</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Elevation of privilege</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Accès au-delà du rôle utilisateur</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 policies d'autorisation serveur</w:t>
            </w:r>
          </w:p>
        </w:tc>
      </w:tr>
    </w:tbl>
    <w:p>
      <w:pPr>
        <w:pStyle w:val="Heading2"/>
        <w:spacing w:after="140" w:before="320"/>
      </w:pPr>
      <w:r>
        <w:rPr>
          <w:b/>
          <w:bCs/>
          <w:color w:val="2E6E5E"/>
          <w:sz w:val="24"/>
          <w:szCs w:val="24"/>
        </w:rPr>
        <w:t xml:space="preserve">3.3  API → base (PostgreSQL)</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800"/>
        <w:gridCol w:w="4500"/>
        <w:gridCol w:w="2700"/>
      </w:tblGrid>
      <w:tr>
        <w:trPr>
          <w:tblHeader/>
        </w:trPr>
        <w:tc>
          <w:tcPr>
            <w:tcW w:type="dxa" w:w="1800"/>
            <w:shd w:fill="1F3B57" w:val="clear"/>
            <w:tcMar>
              <w:top w:type="dxa" w:w="100"/>
              <w:left w:type="dxa" w:w="120"/>
              <w:bottom w:type="dxa" w:w="100"/>
              <w:right w:type="dxa" w:w="120"/>
            </w:tcMar>
            <w:vAlign w:val="center"/>
          </w:tcPr>
          <w:p>
            <w:r>
              <w:rPr>
                <w:b/>
                <w:bCs/>
                <w:color w:val="FFFFFF"/>
                <w:sz w:val="18"/>
                <w:szCs w:val="18"/>
              </w:rPr>
              <w:t xml:space="preserve">Catégorie</w:t>
            </w:r>
          </w:p>
        </w:tc>
        <w:tc>
          <w:tcPr>
            <w:tcW w:type="dxa" w:w="4500"/>
            <w:shd w:fill="1F3B57" w:val="clear"/>
            <w:tcMar>
              <w:top w:type="dxa" w:w="100"/>
              <w:left w:type="dxa" w:w="120"/>
              <w:bottom w:type="dxa" w:w="100"/>
              <w:right w:type="dxa" w:w="120"/>
            </w:tcMar>
            <w:vAlign w:val="center"/>
          </w:tcPr>
          <w:p>
            <w:r>
              <w:rPr>
                <w:b/>
                <w:bCs/>
                <w:color w:val="FFFFFF"/>
                <w:sz w:val="18"/>
                <w:szCs w:val="18"/>
              </w:rPr>
              <w:t xml:space="preserve">Menace</w:t>
            </w:r>
          </w:p>
        </w:tc>
        <w:tc>
          <w:tcPr>
            <w:tcW w:type="dxa" w:w="2700"/>
            <w:shd w:fill="1F3B57" w:val="clear"/>
            <w:tcMar>
              <w:top w:type="dxa" w:w="100"/>
              <w:left w:type="dxa" w:w="120"/>
              <w:bottom w:type="dxa" w:w="100"/>
              <w:right w:type="dxa" w:w="120"/>
            </w:tcMar>
            <w:vAlign w:val="center"/>
          </w:tcPr>
          <w:p>
            <w:r>
              <w:rPr>
                <w:b/>
                <w:bCs/>
                <w:color w:val="FFFFFF"/>
                <w:sz w:val="18"/>
                <w:szCs w:val="18"/>
              </w:rPr>
              <w:t xml:space="preserve">Décision</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Spoofing</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Service usurpant l'API se connectant directement</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 réseau privé uniquement</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Tampering</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Interception/modification du trafic SQL</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 TLS forcé</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Information disclosure</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Donnée personnelle fuitant dans les logs applicatifs</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À traiter — objet du chantier RGPD séparé</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Elevation of privilege</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Compte applicatif trop privilégié (arkcloudadmin)</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Résolu (Sprint 6) — voir section 4</w:t>
            </w:r>
          </w:p>
        </w:tc>
      </w:tr>
    </w:tbl>
    <w:p>
      <w:pPr>
        <w:pStyle w:val="Heading2"/>
        <w:spacing w:after="140" w:before="320"/>
      </w:pPr>
      <w:r>
        <w:rPr>
          <w:b/>
          <w:bCs/>
          <w:color w:val="2E6E5E"/>
          <w:sz w:val="24"/>
          <w:szCs w:val="24"/>
        </w:rPr>
        <w:t xml:space="preserve">3.4  CI (GitHub Actions) → cloud</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800"/>
        <w:gridCol w:w="4500"/>
        <w:gridCol w:w="2700"/>
      </w:tblGrid>
      <w:tr>
        <w:trPr>
          <w:tblHeader/>
        </w:trPr>
        <w:tc>
          <w:tcPr>
            <w:tcW w:type="dxa" w:w="1800"/>
            <w:shd w:fill="1F3B57" w:val="clear"/>
            <w:tcMar>
              <w:top w:type="dxa" w:w="100"/>
              <w:left w:type="dxa" w:w="120"/>
              <w:bottom w:type="dxa" w:w="100"/>
              <w:right w:type="dxa" w:w="120"/>
            </w:tcMar>
            <w:vAlign w:val="center"/>
          </w:tcPr>
          <w:p>
            <w:r>
              <w:rPr>
                <w:b/>
                <w:bCs/>
                <w:color w:val="FFFFFF"/>
                <w:sz w:val="18"/>
                <w:szCs w:val="18"/>
              </w:rPr>
              <w:t xml:space="preserve">Catégorie</w:t>
            </w:r>
          </w:p>
        </w:tc>
        <w:tc>
          <w:tcPr>
            <w:tcW w:type="dxa" w:w="4500"/>
            <w:shd w:fill="1F3B57" w:val="clear"/>
            <w:tcMar>
              <w:top w:type="dxa" w:w="100"/>
              <w:left w:type="dxa" w:w="120"/>
              <w:bottom w:type="dxa" w:w="100"/>
              <w:right w:type="dxa" w:w="120"/>
            </w:tcMar>
            <w:vAlign w:val="center"/>
          </w:tcPr>
          <w:p>
            <w:r>
              <w:rPr>
                <w:b/>
                <w:bCs/>
                <w:color w:val="FFFFFF"/>
                <w:sz w:val="18"/>
                <w:szCs w:val="18"/>
              </w:rPr>
              <w:t xml:space="preserve">Menace</w:t>
            </w:r>
          </w:p>
        </w:tc>
        <w:tc>
          <w:tcPr>
            <w:tcW w:type="dxa" w:w="2700"/>
            <w:shd w:fill="1F3B57" w:val="clear"/>
            <w:tcMar>
              <w:top w:type="dxa" w:w="100"/>
              <w:left w:type="dxa" w:w="120"/>
              <w:bottom w:type="dxa" w:w="100"/>
              <w:right w:type="dxa" w:w="120"/>
            </w:tcMar>
            <w:vAlign w:val="center"/>
          </w:tcPr>
          <w:p>
            <w:r>
              <w:rPr>
                <w:b/>
                <w:bCs/>
                <w:color w:val="FFFFFF"/>
                <w:sz w:val="18"/>
                <w:szCs w:val="18"/>
              </w:rPr>
              <w:t xml:space="preserve">Décision</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Spoofing</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Workflow usurpé obtenant des identifiants cloud</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 OIDC, aucune clé statique</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Elevation of privilege</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Rôle CI plus permissif que nécessaire</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(Sprint 6) — AdministratorAccess retiré</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Elevation of privilege</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GHCR_PAT, secret humain dans le chemin de déploiement</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Acceptée — ADR-0007</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Repudiation</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Modification d'infra sans traçabilité</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Mitigée — PR + plan publié + gate manuel</w:t>
            </w:r>
          </w:p>
        </w:tc>
      </w:tr>
    </w:tbl>
    <w:p>
      <w:pPr>
        <w:pStyle w:val="Heading2"/>
        <w:spacing w:after="140" w:before="320"/>
      </w:pPr>
      <w:r>
        <w:rPr>
          <w:b/>
          <w:bCs/>
          <w:color w:val="2E6E5E"/>
          <w:sz w:val="24"/>
          <w:szCs w:val="24"/>
        </w:rPr>
        <w:t xml:space="preserve">3.5  Rotation automatique (Runbook/Lambda) → base</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800"/>
        <w:gridCol w:w="4500"/>
        <w:gridCol w:w="2700"/>
      </w:tblGrid>
      <w:tr>
        <w:trPr>
          <w:tblHeader/>
        </w:trPr>
        <w:tc>
          <w:tcPr>
            <w:tcW w:type="dxa" w:w="1800"/>
            <w:shd w:fill="1F3B57" w:val="clear"/>
            <w:tcMar>
              <w:top w:type="dxa" w:w="100"/>
              <w:left w:type="dxa" w:w="120"/>
              <w:bottom w:type="dxa" w:w="100"/>
              <w:right w:type="dxa" w:w="120"/>
            </w:tcMar>
            <w:vAlign w:val="center"/>
          </w:tcPr>
          <w:p>
            <w:r>
              <w:rPr>
                <w:b/>
                <w:bCs/>
                <w:color w:val="FFFFFF"/>
                <w:sz w:val="18"/>
                <w:szCs w:val="18"/>
              </w:rPr>
              <w:t xml:space="preserve">Catégorie</w:t>
            </w:r>
          </w:p>
        </w:tc>
        <w:tc>
          <w:tcPr>
            <w:tcW w:type="dxa" w:w="4500"/>
            <w:shd w:fill="1F3B57" w:val="clear"/>
            <w:tcMar>
              <w:top w:type="dxa" w:w="100"/>
              <w:left w:type="dxa" w:w="120"/>
              <w:bottom w:type="dxa" w:w="100"/>
              <w:right w:type="dxa" w:w="120"/>
            </w:tcMar>
            <w:vAlign w:val="center"/>
          </w:tcPr>
          <w:p>
            <w:r>
              <w:rPr>
                <w:b/>
                <w:bCs/>
                <w:color w:val="FFFFFF"/>
                <w:sz w:val="18"/>
                <w:szCs w:val="18"/>
              </w:rPr>
              <w:t xml:space="preserve">Menace</w:t>
            </w:r>
          </w:p>
        </w:tc>
        <w:tc>
          <w:tcPr>
            <w:tcW w:type="dxa" w:w="2700"/>
            <w:shd w:fill="1F3B57" w:val="clear"/>
            <w:tcMar>
              <w:top w:type="dxa" w:w="100"/>
              <w:left w:type="dxa" w:w="120"/>
              <w:bottom w:type="dxa" w:w="100"/>
              <w:right w:type="dxa" w:w="120"/>
            </w:tcMar>
            <w:vAlign w:val="center"/>
          </w:tcPr>
          <w:p>
            <w:r>
              <w:rPr>
                <w:b/>
                <w:bCs/>
                <w:color w:val="FFFFFF"/>
                <w:sz w:val="18"/>
                <w:szCs w:val="18"/>
              </w:rPr>
              <w:t xml:space="preserve">Décision</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Elevation of privilege</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Identité de rotation trop permissive</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Mitigée (Sprint 6) — rôles personnalisés dédiés</w:t>
            </w:r>
          </w:p>
        </w:tc>
      </w:tr>
      <w:tr>
        <w:tc>
          <w:tcPr>
            <w:tcW w:type="dxa" w:w="1800"/>
            <w:shd w:fill="F7F6F2" w:val="clear"/>
            <w:tcMar>
              <w:top w:type="dxa" w:w="100"/>
              <w:left w:type="dxa" w:w="120"/>
              <w:bottom w:type="dxa" w:w="100"/>
              <w:right w:type="dxa" w:w="120"/>
            </w:tcMar>
            <w:vAlign w:val="center"/>
          </w:tcPr>
          <w:p>
            <w:r>
              <w:rPr>
                <w:b w:val="false"/>
                <w:bCs w:val="false"/>
                <w:color w:val="232220"/>
                <w:sz w:val="18"/>
                <w:szCs w:val="18"/>
              </w:rPr>
              <w:t xml:space="preserve">Denial of service</w:t>
            </w:r>
          </w:p>
        </w:tc>
        <w:tc>
          <w:tcPr>
            <w:tcW w:type="dxa" w:w="4500"/>
            <w:shd w:fill="F7F6F2" w:val="clear"/>
            <w:tcMar>
              <w:top w:type="dxa" w:w="100"/>
              <w:left w:type="dxa" w:w="120"/>
              <w:bottom w:type="dxa" w:w="100"/>
              <w:right w:type="dxa" w:w="120"/>
            </w:tcMar>
            <w:vAlign w:val="center"/>
          </w:tcPr>
          <w:p>
            <w:r>
              <w:rPr>
                <w:b w:val="false"/>
                <w:bCs w:val="false"/>
                <w:color w:val="232220"/>
                <w:sz w:val="18"/>
                <w:szCs w:val="18"/>
              </w:rPr>
              <w:t xml:space="preserve">Rotation ratée rendant la base inaccessible</w:t>
            </w:r>
          </w:p>
        </w:tc>
        <w:tc>
          <w:tcPr>
            <w:tcW w:type="dxa" w:w="2700"/>
            <w:shd w:fill="F7F6F2" w:val="clear"/>
            <w:tcMar>
              <w:top w:type="dxa" w:w="100"/>
              <w:left w:type="dxa" w:w="120"/>
              <w:bottom w:type="dxa" w:w="100"/>
              <w:right w:type="dxa" w:w="120"/>
            </w:tcMar>
            <w:vAlign w:val="center"/>
          </w:tcPr>
          <w:p>
            <w:r>
              <w:rPr>
                <w:b w:val="false"/>
                <w:bCs w:val="false"/>
                <w:color w:val="232220"/>
                <w:sz w:val="18"/>
                <w:szCs w:val="18"/>
              </w:rPr>
              <w:t xml:space="preserve">Partiellement mitigée — alarme CloudWatch (AWS), pas d'équivalent Azure</w:t>
            </w:r>
          </w:p>
        </w:tc>
      </w:tr>
      <w:tr>
        <w:tc>
          <w:tcPr>
            <w:tcW w:type="dxa" w:w="1800"/>
            <w:shd w:fill="FFFFFF" w:val="clear"/>
            <w:tcMar>
              <w:top w:type="dxa" w:w="100"/>
              <w:left w:type="dxa" w:w="120"/>
              <w:bottom w:type="dxa" w:w="100"/>
              <w:right w:type="dxa" w:w="120"/>
            </w:tcMar>
            <w:vAlign w:val="center"/>
          </w:tcPr>
          <w:p>
            <w:r>
              <w:rPr>
                <w:b w:val="false"/>
                <w:bCs w:val="false"/>
                <w:color w:val="232220"/>
                <w:sz w:val="18"/>
                <w:szCs w:val="18"/>
              </w:rPr>
              <w:t xml:space="preserve">Tampering</w:t>
            </w:r>
          </w:p>
        </w:tc>
        <w:tc>
          <w:tcPr>
            <w:tcW w:type="dxa" w:w="4500"/>
            <w:shd w:fill="FFFFFF" w:val="clear"/>
            <w:tcMar>
              <w:top w:type="dxa" w:w="100"/>
              <w:left w:type="dxa" w:w="120"/>
              <w:bottom w:type="dxa" w:w="100"/>
              <w:right w:type="dxa" w:w="120"/>
            </w:tcMar>
            <w:vAlign w:val="center"/>
          </w:tcPr>
          <w:p>
            <w:r>
              <w:rPr>
                <w:b w:val="false"/>
                <w:bCs w:val="false"/>
                <w:color w:val="232220"/>
                <w:sz w:val="18"/>
                <w:szCs w:val="18"/>
              </w:rPr>
              <w:t xml:space="preserve">Restaurabilité après rotation jamais vérifiée</w:t>
            </w:r>
          </w:p>
        </w:tc>
        <w:tc>
          <w:tcPr>
            <w:tcW w:type="dxa" w:w="2700"/>
            <w:shd w:fill="FFFFFF" w:val="clear"/>
            <w:tcMar>
              <w:top w:type="dxa" w:w="100"/>
              <w:left w:type="dxa" w:w="120"/>
              <w:bottom w:type="dxa" w:w="100"/>
              <w:right w:type="dxa" w:w="120"/>
            </w:tcMar>
            <w:vAlign w:val="center"/>
          </w:tcPr>
          <w:p>
            <w:r>
              <w:rPr>
                <w:b w:val="false"/>
                <w:bCs w:val="false"/>
                <w:color w:val="232220"/>
                <w:sz w:val="18"/>
                <w:szCs w:val="18"/>
              </w:rPr>
              <w:t xml:space="preserve">Résolu (Sprint 6) — drill réel, voir section 5</w:t>
            </w:r>
          </w:p>
        </w:tc>
      </w:tr>
    </w:tbl>
    <w:p>
      <w:pPr>
        <w:pStyle w:val="Heading2"/>
        <w:spacing w:after="140" w:before="320"/>
      </w:pPr>
      <w:r>
        <w:rPr>
          <w:b/>
          <w:bCs/>
          <w:color w:val="2E6E5E"/>
          <w:sz w:val="24"/>
          <w:szCs w:val="24"/>
        </w:rPr>
        <w:t xml:space="preserve">3.6  Bilan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6E5E" w:sz="16"/>
              <w:left w:val="single" w:color="E3F0EC" w:sz="2"/>
              <w:bottom w:val="single" w:color="E3F0EC" w:sz="2"/>
              <w:right w:val="single" w:color="E3F0EC" w:sz="2"/>
            </w:tcBorders>
            <w:shd w:fill="E3F0EC" w:val="clear"/>
            <w:tcMar>
              <w:top w:type="dxa" w:w="160"/>
              <w:left w:type="dxa" w:w="200"/>
              <w:bottom w:type="dxa" w:w="160"/>
              <w:right w:type="dxa" w:w="200"/>
            </w:tcMar>
          </w:tcPr>
          <w:p>
            <w:pPr>
              <w:spacing w:after="60"/>
            </w:pPr>
            <w:r>
              <w:rPr>
                <w:b/>
                <w:bCs/>
                <w:color w:val="1F3B57"/>
                <w:sz w:val="19"/>
                <w:szCs w:val="19"/>
              </w:rPr>
              <w:t xml:space="preserve">Zéro menace en attente</w:t>
            </w:r>
          </w:p>
          <w:p>
            <w:pPr>
              <w:spacing w:line="280"/>
            </w:pPr>
            <w:r>
              <w:rPr>
                <w:color w:val="3A3936"/>
                <w:sz w:val="20"/>
                <w:szCs w:val="20"/>
              </w:rPr>
              <w:t xml:space="preserve">Aucune menace ne reste au statut « à traiter » parmi les trois candidates identifiées spécifiquement par cet exercice STRIDE ce sprint (logs ALB, privilège applicatif, restaurabilité post-rotation) — chacune a une mitigation vérifiée en conditions réelles, pas seulement documentée sur le papier.</w:t>
            </w:r>
          </w:p>
        </w:tc>
      </w:tr>
    </w:tbl>
    <w:p>
      <w:pPr>
        <w:spacing w:after="160" w:line="300"/>
      </w:pPr>
      <w:r>
        <w:rPr>
          <w:sz w:val="21"/>
          <w:szCs w:val="21"/>
        </w:rPr>
        <w:t xml:space="preserve"/>
      </w:r>
    </w:p>
    <w:p>
      <w:pPr>
        <w:pStyle w:val="ListParagraph"/>
        <w:numPr>
          <w:ilvl w:val="0"/>
          <w:numId w:val="1"/>
        </w:numPr>
        <w:spacing w:after="100" w:line="280"/>
      </w:pPr>
      <w:r>
        <w:rPr>
          <w:sz w:val="21"/>
          <w:szCs w:val="21"/>
        </w:rPr>
        <w:t xml:space="preserve">Résolues ce sprint : logs d'accès ALB (repudiation, flux 1), privilège applicatif (élévation, flux 3), restaurabilité post-rotation (tampering, flux 5).</w:t>
      </w:r>
    </w:p>
    <w:p>
      <w:pPr>
        <w:pStyle w:val="ListParagraph"/>
        <w:numPr>
          <w:ilvl w:val="0"/>
          <w:numId w:val="1"/>
        </w:numPr>
        <w:spacing w:after="100" w:line="280"/>
      </w:pPr>
      <w:r>
        <w:rPr>
          <w:sz w:val="21"/>
          <w:szCs w:val="21"/>
        </w:rPr>
        <w:t xml:space="preserve">Acceptées et tracées en ADR : certificat auto-signé (ADR-0003), Jwt:Key non rotatable à chaud (ADR-0004), GHCR_PAT secret humain (ADR-0007), absence de rate limiting infra (ADR-0008).</w:t>
      </w:r>
    </w:p>
    <w:p>
      <w:pPr>
        <w:pStyle w:val="ListParagraph"/>
        <w:numPr>
          <w:ilvl w:val="0"/>
          <w:numId w:val="1"/>
        </w:numPr>
        <w:spacing w:after="100" w:line="280"/>
      </w:pPr>
      <w:r>
        <w:rPr>
          <w:sz w:val="21"/>
          <w:szCs w:val="21"/>
        </w:rPr>
        <w:t xml:space="preserve">Hors périmètre STRIDE, tracé séparément : fuite de donnée personnelle dans les logs (chantier RGPD dédié).</w:t>
      </w:r>
    </w:p>
    <w:p>
      <w:r>
        <w:br w:type="page"/>
      </w:r>
    </w:p>
    <w:p>
      <w:pPr>
        <w:pStyle w:val="Heading1"/>
        <w:pBdr>
          <w:bottom w:val="single" w:color="2E6E5E" w:sz="4" w:space="4"/>
        </w:pBdr>
        <w:spacing w:after="220" w:before="480"/>
      </w:pPr>
      <w:r>
        <w:rPr>
          <w:b/>
          <w:bCs/>
          <w:color w:val="2E6E5E"/>
          <w:sz w:val="30"/>
          <w:szCs w:val="30"/>
        </w:rPr>
        <w:t xml:space="preserve">4  </w:t>
      </w:r>
      <w:r>
        <w:rPr>
          <w:b/>
          <w:bCs/>
          <w:color w:val="1F3B57"/>
          <w:sz w:val="30"/>
          <w:szCs w:val="30"/>
        </w:rPr>
        <w:t xml:space="preserve">Le rôle applicatif arkcloud_app</w:t>
      </w:r>
    </w:p>
    <w:p>
      <w:pPr>
        <w:spacing w:after="160" w:line="300"/>
      </w:pPr>
      <w:r>
        <w:rPr>
          <w:sz w:val="21"/>
          <w:szCs w:val="21"/>
        </w:rPr>
        <w:t xml:space="preserve">Jusqu'au Sprint 6, ArkCloud.API se connectait à PostgreSQL comme arkcloudadmin — le compte admin du serveur, avec bien plus de droits que nécessaire pour du CRUD applicatif. Le Sprint 6 bascule vers un rôle dédié, strictement DML (SELECT/INSERT/UPDATE/DELETE, jamais CREATE/DROP/ALTER), vérifié en conditions réelles sur les deux clouds.</w:t>
      </w:r>
    </w:p>
    <w:p>
      <w:pPr>
        <w:spacing w:after="260" w:before="160"/>
        <w:jc w:val="center"/>
      </w:pPr>
      <w:r>
        <w:drawing>
          <wp:inline distT="0" distB="0" distL="0" distR="0">
            <wp:extent cx="54292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590800"/>
                    </a:xfrm>
                    <a:prstGeom prst="rect">
                      <a:avLst/>
                    </a:prstGeom>
                  </pic:spPr>
                </pic:pic>
              </a:graphicData>
            </a:graphic>
          </wp:inline>
        </w:drawing>
      </w:r>
    </w:p>
    <w:p>
      <w:pPr>
        <w:spacing w:after="160" w:line="300"/>
      </w:pPr>
      <w:r>
        <w:rPr>
          <w:sz w:val="21"/>
          <w:szCs w:val="21"/>
        </w:rPr>
        <w:t xml:space="preserve">Deux mécanismes de rotation différents, pas par choix esthétique mais parce que les deux Automation/rotation existants n'avaient pas le même point de départ :</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2000"/>
        <w:gridCol w:w="3500"/>
        <w:gridCol w:w="3500"/>
      </w:tblGrid>
      <w:tr>
        <w:trPr>
          <w:tblHeader/>
        </w:trPr>
        <w:tc>
          <w:tcPr>
            <w:tcW w:type="dxa" w:w="2000"/>
            <w:shd w:fill="1F3B57" w:val="clear"/>
            <w:tcMar>
              <w:top w:type="dxa" w:w="100"/>
              <w:left w:type="dxa" w:w="120"/>
              <w:bottom w:type="dxa" w:w="100"/>
              <w:right w:type="dxa" w:w="120"/>
            </w:tcMar>
            <w:vAlign w:val="center"/>
          </w:tcPr>
          <w:p>
            <w:r>
              <w:rPr>
                <w:b/>
                <w:bCs/>
                <w:color w:val="FFFFFF"/>
                <w:sz w:val="18"/>
                <w:szCs w:val="18"/>
              </w:rPr>
              <w:t xml:space="preserve"/>
            </w:r>
          </w:p>
        </w:tc>
        <w:tc>
          <w:tcPr>
            <w:tcW w:type="dxa" w:w="3500"/>
            <w:shd w:fill="1F3B57" w:val="clear"/>
            <w:tcMar>
              <w:top w:type="dxa" w:w="100"/>
              <w:left w:type="dxa" w:w="120"/>
              <w:bottom w:type="dxa" w:w="100"/>
              <w:right w:type="dxa" w:w="120"/>
            </w:tcMar>
            <w:vAlign w:val="center"/>
          </w:tcPr>
          <w:p>
            <w:r>
              <w:rPr>
                <w:b/>
                <w:bCs/>
                <w:color w:val="FFFFFF"/>
                <w:sz w:val="18"/>
                <w:szCs w:val="18"/>
              </w:rPr>
              <w:t xml:space="preserve">Azure</w:t>
            </w:r>
          </w:p>
        </w:tc>
        <w:tc>
          <w:tcPr>
            <w:tcW w:type="dxa" w:w="3500"/>
            <w:shd w:fill="1F3B57" w:val="clear"/>
            <w:tcMar>
              <w:top w:type="dxa" w:w="100"/>
              <w:left w:type="dxa" w:w="120"/>
              <w:bottom w:type="dxa" w:w="100"/>
              <w:right w:type="dxa" w:w="120"/>
            </w:tcMar>
            <w:vAlign w:val="center"/>
          </w:tcPr>
          <w:p>
            <w:r>
              <w:rPr>
                <w:b/>
                <w:bCs/>
                <w:color w:val="FFFFFF"/>
                <w:sz w:val="18"/>
                <w:szCs w:val="18"/>
              </w:rPr>
              <w:t xml:space="preserve">AWS</w:t>
            </w:r>
          </w:p>
        </w:tc>
      </w:tr>
      <w:tr>
        <w:tc>
          <w:tcPr>
            <w:tcW w:type="dxa" w:w="2000"/>
            <w:shd w:fill="FFFFFF" w:val="clear"/>
            <w:tcMar>
              <w:top w:type="dxa" w:w="100"/>
              <w:left w:type="dxa" w:w="120"/>
              <w:bottom w:type="dxa" w:w="100"/>
              <w:right w:type="dxa" w:w="120"/>
            </w:tcMar>
            <w:vAlign w:val="center"/>
          </w:tcPr>
          <w:p>
            <w:r>
              <w:rPr>
                <w:b w:val="false"/>
                <w:bCs w:val="false"/>
                <w:color w:val="232220"/>
                <w:sz w:val="18"/>
                <w:szCs w:val="18"/>
              </w:rPr>
              <w:t xml:space="preserve">Mécanisme</w:t>
            </w:r>
          </w:p>
        </w:tc>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Function App (Flex Consumption), déclenchement manuel</w:t>
            </w:r>
          </w:p>
        </w:tc>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Lambda existante étendue (target_role=app), automatique 90j</w:t>
            </w:r>
          </w:p>
        </w:tc>
      </w:tr>
      <w:tr>
        <w:tc>
          <w:tcPr>
            <w:tcW w:type="dxa" w:w="2000"/>
            <w:shd w:fill="F7F6F2" w:val="clear"/>
            <w:tcMar>
              <w:top w:type="dxa" w:w="100"/>
              <w:left w:type="dxa" w:w="120"/>
              <w:bottom w:type="dxa" w:w="100"/>
              <w:right w:type="dxa" w:w="120"/>
            </w:tcMar>
            <w:vAlign w:val="center"/>
          </w:tcPr>
          <w:p>
            <w:r>
              <w:rPr>
                <w:b w:val="false"/>
                <w:bCs w:val="false"/>
                <w:color w:val="232220"/>
                <w:sz w:val="18"/>
                <w:szCs w:val="18"/>
              </w:rPr>
              <w:t xml:space="preserve">Pourquoi différent</w:t>
            </w:r>
          </w:p>
        </w:tc>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Le Runbook admin n'a aucun accès réseau au VNet — l'étendre demanderait un Hybrid Runbook Worker (VM continue, écarté pour coût/bénéfice)</w:t>
            </w:r>
          </w:p>
        </w:tc>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La Lambda de rotation admin tourne déjà dans le VPC — extension sans nouvel accès réseau</w:t>
            </w:r>
          </w:p>
        </w:tc>
      </w:tr>
      <w:tr>
        <w:tc>
          <w:tcPr>
            <w:tcW w:type="dxa" w:w="2000"/>
            <w:shd w:fill="FFFFFF" w:val="clear"/>
            <w:tcMar>
              <w:top w:type="dxa" w:w="100"/>
              <w:left w:type="dxa" w:w="120"/>
              <w:bottom w:type="dxa" w:w="100"/>
              <w:right w:type="dxa" w:w="120"/>
            </w:tcMar>
            <w:vAlign w:val="center"/>
          </w:tcPr>
          <w:p>
            <w:r>
              <w:rPr>
                <w:b w:val="false"/>
                <w:bCs w:val="false"/>
                <w:color w:val="232220"/>
                <w:sz w:val="18"/>
                <w:szCs w:val="18"/>
              </w:rPr>
              <w:t xml:space="preserve">État réel</w:t>
            </w:r>
          </w:p>
        </w:tc>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Rôle créé et rotation vérifiée en conditions réelles (mot de passe testé avant publication)</w:t>
            </w:r>
          </w:p>
        </w:tc>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Bascule confirmée : task definition ECS active, ALB répond 200 OK sur /health</w:t>
            </w:r>
          </w:p>
        </w:tc>
      </w:tr>
      <w:tr>
        <w:tc>
          <w:tcPr>
            <w:tcW w:type="dxa" w:w="2000"/>
            <w:shd w:fill="F7F6F2" w:val="clear"/>
            <w:tcMar>
              <w:top w:type="dxa" w:w="100"/>
              <w:left w:type="dxa" w:w="120"/>
              <w:bottom w:type="dxa" w:w="100"/>
              <w:right w:type="dxa" w:w="120"/>
            </w:tcMar>
            <w:vAlign w:val="center"/>
          </w:tcPr>
          <w:p>
            <w:r>
              <w:rPr>
                <w:b w:val="false"/>
                <w:bCs w:val="false"/>
                <w:color w:val="232220"/>
                <w:sz w:val="18"/>
                <w:szCs w:val="18"/>
              </w:rPr>
              <w:t xml:space="preserve">Décision de référence</w:t>
            </w:r>
          </w:p>
        </w:tc>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ADR-0010 (Kudu retenu à terme, implémentation en backlog — le Function App reste le mécanisme réel utilisé)</w:t>
            </w:r>
          </w:p>
        </w:tc>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w:t>
            </w:r>
          </w:p>
        </w:tc>
      </w:tr>
    </w:tbl>
    <w:p>
      <w:pPr>
        <w:pStyle w:val="Heading1"/>
        <w:pBdr>
          <w:bottom w:val="single" w:color="2E6E5E" w:sz="4" w:space="4"/>
        </w:pBdr>
        <w:spacing w:after="220" w:before="480"/>
      </w:pPr>
      <w:r>
        <w:rPr>
          <w:b/>
          <w:bCs/>
          <w:color w:val="2E6E5E"/>
          <w:sz w:val="30"/>
          <w:szCs w:val="30"/>
        </w:rPr>
        <w:t xml:space="preserve">5  </w:t>
      </w:r>
      <w:r>
        <w:rPr>
          <w:b/>
          <w:bCs/>
          <w:color w:val="1F3B57"/>
          <w:sz w:val="30"/>
          <w:szCs w:val="30"/>
        </w:rPr>
        <w:t xml:space="preserve">Drill de restauration — STRIDE flux 5</w:t>
      </w:r>
    </w:p>
    <w:p>
      <w:pPr>
        <w:spacing w:after="160" w:line="300"/>
      </w:pPr>
      <w:r>
        <w:rPr>
          <w:sz w:val="21"/>
          <w:szCs w:val="21"/>
        </w:rPr>
        <w:t xml:space="preserve">Exécuté en conditions réelles le 31/08/2026, pas comme un exercice théorique : snapshot manuel de psql-arkcloud-dev pris, rotation immédiate du secret admin déclenchée, snapshot restauré dans une instance jetable isolée (réseau privé, jamais exposée publiquement). Connexion effectuée depuis une instance EC2 temporaire via AWS Systems Manager (aucune clé SSH, aucune exposition).</w:t>
      </w:r>
    </w:p>
    <w:p>
      <w:pPr>
        <w:pStyle w:val="ListParagraph"/>
        <w:numPr>
          <w:ilvl w:val="0"/>
          <w:numId w:val="1"/>
        </w:numPr>
        <w:spacing w:after="100" w:line="280"/>
      </w:pPr>
      <w:r>
        <w:rPr>
          <w:sz w:val="21"/>
          <w:szCs w:val="21"/>
        </w:rPr>
        <w:t xml:space="preserve">Résultat confirmé : la connexion avec le mot de passe actuel échoue sur l'instance restaurée (FATAL: password authentication failed) — la menace est réelle, pas hypothétique.</w:t>
      </w:r>
    </w:p>
    <w:p>
      <w:pPr>
        <w:pStyle w:val="ListParagraph"/>
        <w:numPr>
          <w:ilvl w:val="0"/>
          <w:numId w:val="1"/>
        </w:numPr>
        <w:spacing w:after="100" w:line="280"/>
      </w:pPr>
      <w:r>
        <w:rPr>
          <w:sz w:val="21"/>
          <w:szCs w:val="21"/>
        </w:rPr>
        <w:t xml:space="preserve">Procédure de récupération testée et validée : récupération de l'ancien mot de passe via la version AWSPREVIOUS du secret, connexion réussie, puis ALTER ROLE pour resynchroniser sur le mot de passe courant.</w:t>
      </w:r>
    </w:p>
    <w:p>
      <w:pPr>
        <w:pStyle w:val="ListParagraph"/>
        <w:numPr>
          <w:ilvl w:val="0"/>
          <w:numId w:val="1"/>
        </w:numPr>
        <w:spacing w:after="100" w:line="280"/>
      </w:pPr>
      <w:r>
        <w:rPr>
          <w:sz w:val="21"/>
          <w:szCs w:val="21"/>
        </w:rPr>
        <w:t xml:space="preserve">Toutes les ressources temporaires du drill détruites après coup — instance RDS, instance EC2, rôle IAM, security group, snapshot manuel — aucune trace persistante.</w:t>
      </w:r>
    </w:p>
    <w:p>
      <w:pPr>
        <w:pStyle w:val="ListParagraph"/>
        <w:numPr>
          <w:ilvl w:val="0"/>
          <w:numId w:val="1"/>
        </w:numPr>
        <w:spacing w:after="100" w:line="280"/>
      </w:pPr>
      <w:r>
        <w:rPr>
          <w:sz w:val="21"/>
          <w:szCs w:val="21"/>
        </w:rPr>
        <w:t xml:space="preserve">Finding annexe : BackupRetentionPeriod de psql-arkcloud-dev à seulement 1 jour, insuffisant pour un PITR au-delà de 24h — traité séparément, voir section 6.</w:t>
      </w:r>
    </w:p>
    <w:p>
      <w:r>
        <w:br w:type="page"/>
      </w:r>
    </w:p>
    <w:p>
      <w:pPr>
        <w:pStyle w:val="Heading1"/>
        <w:pBdr>
          <w:bottom w:val="single" w:color="2E6E5E" w:sz="4" w:space="4"/>
        </w:pBdr>
        <w:spacing w:after="220" w:before="480"/>
      </w:pPr>
      <w:r>
        <w:rPr>
          <w:b/>
          <w:bCs/>
          <w:color w:val="2E6E5E"/>
          <w:sz w:val="30"/>
          <w:szCs w:val="30"/>
        </w:rPr>
        <w:t xml:space="preserve">6  </w:t>
      </w:r>
      <w:r>
        <w:rPr>
          <w:b/>
          <w:bCs/>
          <w:color w:val="1F3B57"/>
          <w:sz w:val="30"/>
          <w:szCs w:val="30"/>
        </w:rPr>
        <w:t xml:space="preserve">Rétention des backups RDS — plafond Free Tier confirmé</w:t>
      </w:r>
    </w:p>
    <w:p>
      <w:pPr>
        <w:spacing w:after="160" w:line="300"/>
      </w:pPr>
      <w:r>
        <w:rPr>
          <w:sz w:val="21"/>
          <w:szCs w:val="21"/>
        </w:rPr>
        <w:t xml:space="preserve">La rétention de 1 jour découverte pendant le drill n'était pas un oubli mais une contrainte AWS Free Tier déjà documentée dans le code (7 jours rejeté à la création avec FreeTierRestrictionError), dont le plafond exact n'avait jamais été mesuré. Testé en direct le 07/09/2026 via ModifyDBInstance (apply_immediately) plutôt que supposé :</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3000"/>
        <w:gridCol w:w="6000"/>
      </w:tblGrid>
      <w:tr>
        <w:trPr>
          <w:tblHeader/>
        </w:trPr>
        <w:tc>
          <w:tcPr>
            <w:tcW w:type="dxa" w:w="3000"/>
            <w:shd w:fill="1F3B57" w:val="clear"/>
            <w:tcMar>
              <w:top w:type="dxa" w:w="100"/>
              <w:left w:type="dxa" w:w="120"/>
              <w:bottom w:type="dxa" w:w="100"/>
              <w:right w:type="dxa" w:w="120"/>
            </w:tcMar>
            <w:vAlign w:val="center"/>
          </w:tcPr>
          <w:p>
            <w:r>
              <w:rPr>
                <w:b/>
                <w:bCs/>
                <w:color w:val="FFFFFF"/>
                <w:sz w:val="18"/>
                <w:szCs w:val="18"/>
              </w:rPr>
              <w:t xml:space="preserve">Valeur testée</w:t>
            </w:r>
          </w:p>
        </w:tc>
        <w:tc>
          <w:tcPr>
            <w:tcW w:type="dxa" w:w="6000"/>
            <w:shd w:fill="1F3B57" w:val="clear"/>
            <w:tcMar>
              <w:top w:type="dxa" w:w="100"/>
              <w:left w:type="dxa" w:w="120"/>
              <w:bottom w:type="dxa" w:w="100"/>
              <w:right w:type="dxa" w:w="120"/>
            </w:tcMar>
            <w:vAlign w:val="center"/>
          </w:tcPr>
          <w:p>
            <w:r>
              <w:rPr>
                <w:b/>
                <w:bCs/>
                <w:color w:val="FFFFFF"/>
                <w:sz w:val="18"/>
                <w:szCs w:val="18"/>
              </w:rPr>
              <w:t xml:space="preserve">Résultat</w:t>
            </w:r>
          </w:p>
        </w:tc>
      </w:tr>
      <w:tr>
        <w:tc>
          <w:tcPr>
            <w:tcW w:type="dxa" w:w="3000"/>
            <w:shd w:fill="FFFFFF" w:val="clear"/>
            <w:tcMar>
              <w:top w:type="dxa" w:w="100"/>
              <w:left w:type="dxa" w:w="120"/>
              <w:bottom w:type="dxa" w:w="100"/>
              <w:right w:type="dxa" w:w="120"/>
            </w:tcMar>
            <w:vAlign w:val="center"/>
          </w:tcPr>
          <w:p>
            <w:r>
              <w:rPr>
                <w:b w:val="false"/>
                <w:bCs w:val="false"/>
                <w:color w:val="232220"/>
                <w:sz w:val="18"/>
                <w:szCs w:val="18"/>
              </w:rPr>
              <w:t xml:space="preserve">3 jours</w:t>
            </w:r>
          </w:p>
        </w:tc>
        <w:tc>
          <w:tcPr>
            <w:tcW w:type="dxa" w:w="6000"/>
            <w:shd w:fill="FFFFFF" w:val="clear"/>
            <w:tcMar>
              <w:top w:type="dxa" w:w="100"/>
              <w:left w:type="dxa" w:w="120"/>
              <w:bottom w:type="dxa" w:w="100"/>
              <w:right w:type="dxa" w:w="120"/>
            </w:tcMar>
            <w:vAlign w:val="center"/>
          </w:tcPr>
          <w:p>
            <w:r>
              <w:rPr>
                <w:b w:val="false"/>
                <w:bCs w:val="false"/>
                <w:color w:val="232220"/>
                <w:sz w:val="18"/>
                <w:szCs w:val="18"/>
              </w:rPr>
              <w:t xml:space="preserve">Accepté</w:t>
            </w:r>
          </w:p>
        </w:tc>
      </w:tr>
      <w:tr>
        <w:tc>
          <w:tcPr>
            <w:tcW w:type="dxa" w:w="3000"/>
            <w:shd w:fill="F7F6F2" w:val="clear"/>
            <w:tcMar>
              <w:top w:type="dxa" w:w="100"/>
              <w:left w:type="dxa" w:w="120"/>
              <w:bottom w:type="dxa" w:w="100"/>
              <w:right w:type="dxa" w:w="120"/>
            </w:tcMar>
            <w:vAlign w:val="center"/>
          </w:tcPr>
          <w:p>
            <w:r>
              <w:rPr>
                <w:b w:val="false"/>
                <w:bCs w:val="false"/>
                <w:color w:val="232220"/>
                <w:sz w:val="18"/>
                <w:szCs w:val="18"/>
              </w:rPr>
              <w:t xml:space="preserve">6 jours</w:t>
            </w:r>
          </w:p>
        </w:tc>
        <w:tc>
          <w:tcPr>
            <w:tcW w:type="dxa" w:w="6000"/>
            <w:shd w:fill="F7F6F2" w:val="clear"/>
            <w:tcMar>
              <w:top w:type="dxa" w:w="100"/>
              <w:left w:type="dxa" w:w="120"/>
              <w:bottom w:type="dxa" w:w="100"/>
              <w:right w:type="dxa" w:w="120"/>
            </w:tcMar>
            <w:vAlign w:val="center"/>
          </w:tcPr>
          <w:p>
            <w:r>
              <w:rPr>
                <w:b w:val="false"/>
                <w:bCs w:val="false"/>
                <w:color w:val="232220"/>
                <w:sz w:val="18"/>
                <w:szCs w:val="18"/>
              </w:rPr>
              <w:t xml:space="preserve">Accepté</w:t>
            </w:r>
          </w:p>
        </w:tc>
      </w:tr>
      <w:tr>
        <w:tc>
          <w:tcPr>
            <w:tcW w:type="dxa" w:w="3000"/>
            <w:shd w:fill="FFFFFF" w:val="clear"/>
            <w:tcMar>
              <w:top w:type="dxa" w:w="100"/>
              <w:left w:type="dxa" w:w="120"/>
              <w:bottom w:type="dxa" w:w="100"/>
              <w:right w:type="dxa" w:w="120"/>
            </w:tcMar>
            <w:vAlign w:val="center"/>
          </w:tcPr>
          <w:p>
            <w:r>
              <w:rPr>
                <w:b w:val="false"/>
                <w:bCs w:val="false"/>
                <w:color w:val="232220"/>
                <w:sz w:val="18"/>
                <w:szCs w:val="18"/>
              </w:rPr>
              <w:t xml:space="preserve">7 jours</w:t>
            </w:r>
          </w:p>
        </w:tc>
        <w:tc>
          <w:tcPr>
            <w:tcW w:type="dxa" w:w="6000"/>
            <w:shd w:fill="FFFFFF" w:val="clear"/>
            <w:tcMar>
              <w:top w:type="dxa" w:w="100"/>
              <w:left w:type="dxa" w:w="120"/>
              <w:bottom w:type="dxa" w:w="100"/>
              <w:right w:type="dxa" w:w="120"/>
            </w:tcMar>
            <w:vAlign w:val="center"/>
          </w:tcPr>
          <w:p>
            <w:r>
              <w:rPr>
                <w:b w:val="false"/>
                <w:bCs w:val="false"/>
                <w:color w:val="232220"/>
                <w:sz w:val="18"/>
                <w:szCs w:val="18"/>
              </w:rPr>
              <w:t xml:space="preserve">Refusé (FreeTierRestrictionError, confirmé dès la création initiale)</w:t>
            </w:r>
          </w:p>
        </w:tc>
      </w:tr>
    </w:tbl>
    <w:p>
      <w:pPr>
        <w:spacing w:after="160" w:line="30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6E5E" w:sz="16"/>
              <w:left w:val="single" w:color="E3F0EC" w:sz="2"/>
              <w:bottom w:val="single" w:color="E3F0EC" w:sz="2"/>
              <w:right w:val="single" w:color="E3F0EC" w:sz="2"/>
            </w:tcBorders>
            <w:shd w:fill="E3F0EC" w:val="clear"/>
            <w:tcMar>
              <w:top w:type="dxa" w:w="160"/>
              <w:left w:type="dxa" w:w="200"/>
              <w:bottom w:type="dxa" w:w="160"/>
              <w:right w:type="dxa" w:w="200"/>
            </w:tcMar>
          </w:tcPr>
          <w:p>
            <w:pPr>
              <w:spacing w:after="60"/>
            </w:pPr>
            <w:r>
              <w:rPr>
                <w:b/>
                <w:bCs/>
                <w:color w:val="1F3B57"/>
                <w:sz w:val="19"/>
                <w:szCs w:val="19"/>
              </w:rPr>
              <w:t xml:space="preserve">Résultat</w:t>
            </w:r>
          </w:p>
          <w:p>
            <w:pPr>
              <w:spacing w:line="280"/>
            </w:pPr>
            <w:r>
              <w:rPr>
                <w:color w:val="3A3936"/>
                <w:sz w:val="20"/>
                <w:szCs w:val="20"/>
              </w:rPr>
              <w:t xml:space="preserve">backup_retention_period relevé à 6 dans environments/dev/main.tf — fenêtre de PITR passée de moins de 24h à 6 jours, sans changer de compte AWS ni de plan tarifaire.</w:t>
            </w:r>
          </w:p>
        </w:tc>
      </w:tr>
    </w:tbl>
    <w:p>
      <w:pPr>
        <w:pStyle w:val="Heading1"/>
        <w:pBdr>
          <w:bottom w:val="single" w:color="2E6E5E" w:sz="4" w:space="4"/>
        </w:pBdr>
        <w:spacing w:after="220" w:before="480"/>
      </w:pPr>
      <w:r>
        <w:rPr>
          <w:b/>
          <w:bCs/>
          <w:color w:val="2E6E5E"/>
          <w:sz w:val="30"/>
          <w:szCs w:val="30"/>
        </w:rPr>
        <w:t xml:space="preserve">7  </w:t>
      </w:r>
      <w:r>
        <w:rPr>
          <w:b/>
          <w:bCs/>
          <w:color w:val="1F3B57"/>
          <w:sz w:val="30"/>
          <w:szCs w:val="30"/>
        </w:rPr>
        <w:t xml:space="preserve">Rotation des secrets — Tier 2</w:t>
      </w:r>
    </w:p>
    <w:p>
      <w:pPr>
        <w:spacing w:after="160" w:line="300"/>
      </w:pPr>
      <w:r>
        <w:rPr>
          <w:sz w:val="21"/>
          <w:szCs w:val="21"/>
        </w:rPr>
        <w:t xml:space="preserve">Après la rotation Tier 1 (mots de passe admin PostgreSQL, faite en urgence à la découverte de la fuite), le Sprint 6 a traité les secrets restants exposés dans le même tfstate :</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3500"/>
        <w:gridCol w:w="5500"/>
      </w:tblGrid>
      <w:tr>
        <w:trPr>
          <w:tblHeader/>
        </w:trPr>
        <w:tc>
          <w:tcPr>
            <w:tcW w:type="dxa" w:w="3500"/>
            <w:shd w:fill="1F3B57" w:val="clear"/>
            <w:tcMar>
              <w:top w:type="dxa" w:w="100"/>
              <w:left w:type="dxa" w:w="120"/>
              <w:bottom w:type="dxa" w:w="100"/>
              <w:right w:type="dxa" w:w="120"/>
            </w:tcMar>
            <w:vAlign w:val="center"/>
          </w:tcPr>
          <w:p>
            <w:r>
              <w:rPr>
                <w:b/>
                <w:bCs/>
                <w:color w:val="FFFFFF"/>
                <w:sz w:val="18"/>
                <w:szCs w:val="18"/>
              </w:rPr>
              <w:t xml:space="preserve">Secret</w:t>
            </w:r>
          </w:p>
        </w:tc>
        <w:tc>
          <w:tcPr>
            <w:tcW w:type="dxa" w:w="5500"/>
            <w:shd w:fill="1F3B57" w:val="clear"/>
            <w:tcMar>
              <w:top w:type="dxa" w:w="100"/>
              <w:left w:type="dxa" w:w="120"/>
              <w:bottom w:type="dxa" w:w="100"/>
              <w:right w:type="dxa" w:w="120"/>
            </w:tcMar>
            <w:vAlign w:val="center"/>
          </w:tcPr>
          <w:p>
            <w:r>
              <w:rPr>
                <w:b/>
                <w:bCs/>
                <w:color w:val="FFFFFF"/>
                <w:sz w:val="18"/>
                <w:szCs w:val="18"/>
              </w:rPr>
              <w:t xml:space="preserve">Statut</w:t>
            </w:r>
          </w:p>
        </w:tc>
      </w:tr>
      <w:tr>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Clés de compte de stockage Azure (flow logs, storage cost-guard)</w:t>
            </w:r>
          </w:p>
        </w:tc>
        <w:tc>
          <w:tcPr>
            <w:tcW w:type="dxa" w:w="5500"/>
            <w:shd w:fill="FFFFFF" w:val="clear"/>
            <w:tcMar>
              <w:top w:type="dxa" w:w="100"/>
              <w:left w:type="dxa" w:w="120"/>
              <w:bottom w:type="dxa" w:w="100"/>
              <w:right w:type="dxa" w:w="120"/>
            </w:tcMar>
            <w:vAlign w:val="center"/>
          </w:tcPr>
          <w:p>
            <w:r>
              <w:rPr>
                <w:b w:val="false"/>
                <w:bCs w:val="false"/>
                <w:color w:val="232220"/>
                <w:sz w:val="18"/>
                <w:szCs w:val="18"/>
              </w:rPr>
              <w:t xml:space="preserve">Rotées — les deux comptes, les deux clés (primary/secondary)</w:t>
            </w:r>
          </w:p>
        </w:tc>
      </w:tr>
      <w:tr>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Certificat auto-signé ALB (clé privée, certificat)</w:t>
            </w:r>
          </w:p>
        </w:tc>
        <w:tc>
          <w:tcPr>
            <w:tcW w:type="dxa" w:w="5500"/>
            <w:shd w:fill="F7F6F2" w:val="clear"/>
            <w:tcMar>
              <w:top w:type="dxa" w:w="100"/>
              <w:left w:type="dxa" w:w="120"/>
              <w:bottom w:type="dxa" w:w="100"/>
              <w:right w:type="dxa" w:w="120"/>
            </w:tcMar>
            <w:vAlign w:val="center"/>
          </w:tcPr>
          <w:p>
            <w:r>
              <w:rPr>
                <w:b w:val="false"/>
                <w:bCs w:val="false"/>
                <w:color w:val="232220"/>
                <w:sz w:val="18"/>
                <w:szCs w:val="18"/>
              </w:rPr>
              <w:t xml:space="preserve">Roté via terraform taint + apply — zéro downtime vérifié (ARN ACM stable)</w:t>
            </w:r>
          </w:p>
        </w:tc>
      </w:tr>
      <w:tr>
        <w:tc>
          <w:tcPr>
            <w:tcW w:type="dxa" w:w="3500"/>
            <w:shd w:fill="FFFFFF" w:val="clear"/>
            <w:tcMar>
              <w:top w:type="dxa" w:w="100"/>
              <w:left w:type="dxa" w:w="120"/>
              <w:bottom w:type="dxa" w:w="100"/>
              <w:right w:type="dxa" w:w="120"/>
            </w:tcMar>
            <w:vAlign w:val="center"/>
          </w:tcPr>
          <w:p>
            <w:r>
              <w:rPr>
                <w:b w:val="false"/>
                <w:bCs w:val="false"/>
                <w:color w:val="232220"/>
                <w:sz w:val="18"/>
                <w:szCs w:val="18"/>
              </w:rPr>
              <w:t xml:space="preserve">Clés Automation Account DSC (cost-guard)</w:t>
            </w:r>
          </w:p>
        </w:tc>
        <w:tc>
          <w:tcPr>
            <w:tcW w:type="dxa" w:w="5500"/>
            <w:shd w:fill="FFFFFF" w:val="clear"/>
            <w:tcMar>
              <w:top w:type="dxa" w:w="100"/>
              <w:left w:type="dxa" w:w="120"/>
              <w:bottom w:type="dxa" w:w="100"/>
              <w:right w:type="dxa" w:w="120"/>
            </w:tcMar>
            <w:vAlign w:val="center"/>
          </w:tcPr>
          <w:p>
            <w:r>
              <w:rPr>
                <w:b w:val="false"/>
                <w:bCs w:val="false"/>
                <w:color w:val="232220"/>
                <w:sz w:val="18"/>
                <w:szCs w:val="18"/>
              </w:rPr>
              <w:t xml:space="preserve">Dépriorisées — usage effectivement nul, risque jugé négligeable</w:t>
            </w:r>
          </w:p>
        </w:tc>
      </w:tr>
      <w:tr>
        <w:tc>
          <w:tcPr>
            <w:tcW w:type="dxa" w:w="3500"/>
            <w:shd w:fill="F7F6F2" w:val="clear"/>
            <w:tcMar>
              <w:top w:type="dxa" w:w="100"/>
              <w:left w:type="dxa" w:w="120"/>
              <w:bottom w:type="dxa" w:w="100"/>
              <w:right w:type="dxa" w:w="120"/>
            </w:tcMar>
            <w:vAlign w:val="center"/>
          </w:tcPr>
          <w:p>
            <w:r>
              <w:rPr>
                <w:b w:val="false"/>
                <w:bCs w:val="false"/>
                <w:color w:val="232220"/>
                <w:sz w:val="18"/>
                <w:szCs w:val="18"/>
              </w:rPr>
              <w:t xml:space="preserve">Clés partagées Log Analytics Workspace</w:t>
            </w:r>
          </w:p>
        </w:tc>
        <w:tc>
          <w:tcPr>
            <w:tcW w:type="dxa" w:w="5500"/>
            <w:shd w:fill="F7F6F2" w:val="clear"/>
            <w:tcMar>
              <w:top w:type="dxa" w:w="100"/>
              <w:left w:type="dxa" w:w="120"/>
              <w:bottom w:type="dxa" w:w="100"/>
              <w:right w:type="dxa" w:w="120"/>
            </w:tcMar>
            <w:vAlign w:val="center"/>
          </w:tcPr>
          <w:p>
            <w:r>
              <w:rPr>
                <w:b w:val="false"/>
                <w:bCs w:val="false"/>
                <w:color w:val="232220"/>
                <w:sz w:val="18"/>
                <w:szCs w:val="18"/>
              </w:rPr>
              <w:t xml:space="preserve">Bloqué — Microsoft a retiré ces clés de l'UI et l'API REST documentée renvoie une erreur incohérente avec son propre contrat public ; 0 agent legacy connecté au workspace ; ticket support Azure ouvert</w:t>
            </w:r>
          </w:p>
        </w:tc>
      </w:tr>
    </w:tbl>
    <w:p>
      <w:r>
        <w:br w:type="page"/>
      </w:r>
    </w:p>
    <w:p>
      <w:pPr>
        <w:pStyle w:val="Heading1"/>
        <w:pBdr>
          <w:bottom w:val="single" w:color="2E6E5E" w:sz="4" w:space="4"/>
        </w:pBdr>
        <w:spacing w:after="220" w:before="480"/>
      </w:pPr>
      <w:r>
        <w:rPr>
          <w:b/>
          <w:bCs/>
          <w:color w:val="2E6E5E"/>
          <w:sz w:val="30"/>
          <w:szCs w:val="30"/>
        </w:rPr>
        <w:t xml:space="preserve">8  </w:t>
      </w:r>
      <w:r>
        <w:rPr>
          <w:b/>
          <w:bCs/>
          <w:color w:val="1F3B57"/>
          <w:sz w:val="30"/>
          <w:szCs w:val="30"/>
        </w:rPr>
        <w:t xml:space="preserve">Registre des décisions d'architecture (ADR)</w:t>
      </w:r>
    </w:p>
    <w:tbl>
      <w:tblPr>
        <w:tblW w:type="dxa" w:w="9000"/>
        <w:tblBorders>
          <w:top w:val="single" w:color="D8D5CC" w:sz="2"/>
          <w:left w:val="single" w:color="D8D5CC" w:sz="2"/>
          <w:bottom w:val="single" w:color="D8D5CC" w:sz="2"/>
          <w:right w:val="single" w:color="D8D5CC" w:sz="2"/>
          <w:insideH w:val="single" w:color="D8D5CC" w:sz="2"/>
          <w:insideV w:val="single" w:color="D8D5CC" w:sz="2"/>
        </w:tblBorders>
      </w:tblPr>
      <w:tblGrid>
        <w:gridCol w:w="1200"/>
        <w:gridCol w:w="5300"/>
        <w:gridCol w:w="2500"/>
      </w:tblGrid>
      <w:tr>
        <w:trPr>
          <w:tblHeader/>
        </w:trPr>
        <w:tc>
          <w:tcPr>
            <w:tcW w:type="dxa" w:w="1200"/>
            <w:shd w:fill="1F3B57" w:val="clear"/>
            <w:tcMar>
              <w:top w:type="dxa" w:w="100"/>
              <w:left w:type="dxa" w:w="120"/>
              <w:bottom w:type="dxa" w:w="100"/>
              <w:right w:type="dxa" w:w="120"/>
            </w:tcMar>
            <w:vAlign w:val="center"/>
          </w:tcPr>
          <w:p>
            <w:r>
              <w:rPr>
                <w:b/>
                <w:bCs/>
                <w:color w:val="FFFFFF"/>
                <w:sz w:val="18"/>
                <w:szCs w:val="18"/>
              </w:rPr>
              <w:t xml:space="preserve">ADR</w:t>
            </w:r>
          </w:p>
        </w:tc>
        <w:tc>
          <w:tcPr>
            <w:tcW w:type="dxa" w:w="5300"/>
            <w:shd w:fill="1F3B57" w:val="clear"/>
            <w:tcMar>
              <w:top w:type="dxa" w:w="100"/>
              <w:left w:type="dxa" w:w="120"/>
              <w:bottom w:type="dxa" w:w="100"/>
              <w:right w:type="dxa" w:w="120"/>
            </w:tcMar>
            <w:vAlign w:val="center"/>
          </w:tcPr>
          <w:p>
            <w:r>
              <w:rPr>
                <w:b/>
                <w:bCs/>
                <w:color w:val="FFFFFF"/>
                <w:sz w:val="18"/>
                <w:szCs w:val="18"/>
              </w:rPr>
              <w:t xml:space="preserve">Titre</w:t>
            </w:r>
          </w:p>
        </w:tc>
        <w:tc>
          <w:tcPr>
            <w:tcW w:type="dxa" w:w="2500"/>
            <w:shd w:fill="1F3B57" w:val="clear"/>
            <w:tcMar>
              <w:top w:type="dxa" w:w="100"/>
              <w:left w:type="dxa" w:w="120"/>
              <w:bottom w:type="dxa" w:w="100"/>
              <w:right w:type="dxa" w:w="120"/>
            </w:tcMar>
            <w:vAlign w:val="center"/>
          </w:tcPr>
          <w:p>
            <w:r>
              <w:rPr>
                <w:b/>
                <w:bCs/>
                <w:color w:val="FFFFFF"/>
                <w:sz w:val="18"/>
                <w:szCs w:val="18"/>
              </w:rPr>
              <w:t xml:space="preserve">Statut</w:t>
            </w:r>
          </w:p>
        </w:tc>
      </w:tr>
      <w:tr>
        <w:tc>
          <w:tcPr>
            <w:tcW w:type="dxa" w:w="1200"/>
            <w:shd w:fill="FFFFFF" w:val="clear"/>
            <w:tcMar>
              <w:top w:type="dxa" w:w="100"/>
              <w:left w:type="dxa" w:w="120"/>
              <w:bottom w:type="dxa" w:w="100"/>
              <w:right w:type="dxa" w:w="120"/>
            </w:tcMar>
            <w:vAlign w:val="center"/>
          </w:tcPr>
          <w:p>
            <w:r>
              <w:rPr>
                <w:b w:val="false"/>
                <w:bCs w:val="false"/>
                <w:color w:val="232220"/>
                <w:sz w:val="18"/>
                <w:szCs w:val="18"/>
              </w:rPr>
              <w:t xml:space="preserve">0003</w:t>
            </w:r>
          </w:p>
        </w:tc>
        <w:tc>
          <w:tcPr>
            <w:tcW w:type="dxa" w:w="5300"/>
            <w:shd w:fill="FFFFFF" w:val="clear"/>
            <w:tcMar>
              <w:top w:type="dxa" w:w="100"/>
              <w:left w:type="dxa" w:w="120"/>
              <w:bottom w:type="dxa" w:w="100"/>
              <w:right w:type="dxa" w:w="120"/>
            </w:tcMar>
            <w:vAlign w:val="center"/>
          </w:tcPr>
          <w:p>
            <w:r>
              <w:rPr>
                <w:b w:val="false"/>
                <w:bCs w:val="false"/>
                <w:color w:val="232220"/>
                <w:sz w:val="18"/>
                <w:szCs w:val="18"/>
              </w:rPr>
              <w:t xml:space="preserve">Certificat auto-signé sur l'ALB AWS</w:t>
            </w:r>
          </w:p>
        </w:tc>
        <w:tc>
          <w:tcPr>
            <w:tcW w:type="dxa" w:w="2500"/>
            <w:shd w:fill="FFFFFF" w:val="clear"/>
            <w:tcMar>
              <w:top w:type="dxa" w:w="100"/>
              <w:left w:type="dxa" w:w="120"/>
              <w:bottom w:type="dxa" w:w="100"/>
              <w:right w:type="dxa" w:w="120"/>
            </w:tcMar>
            <w:vAlign w:val="center"/>
          </w:tcPr>
          <w:p>
            <w:r>
              <w:rPr>
                <w:b w:val="false"/>
                <w:bCs w:val="false"/>
                <w:color w:val="232220"/>
                <w:sz w:val="18"/>
                <w:szCs w:val="18"/>
              </w:rPr>
              <w:t xml:space="preserve">Acceptée (temporaire)</w:t>
            </w:r>
          </w:p>
        </w:tc>
      </w:tr>
      <w:tr>
        <w:tc>
          <w:tcPr>
            <w:tcW w:type="dxa" w:w="1200"/>
            <w:shd w:fill="F7F6F2" w:val="clear"/>
            <w:tcMar>
              <w:top w:type="dxa" w:w="100"/>
              <w:left w:type="dxa" w:w="120"/>
              <w:bottom w:type="dxa" w:w="100"/>
              <w:right w:type="dxa" w:w="120"/>
            </w:tcMar>
            <w:vAlign w:val="center"/>
          </w:tcPr>
          <w:p>
            <w:r>
              <w:rPr>
                <w:b w:val="false"/>
                <w:bCs w:val="false"/>
                <w:color w:val="232220"/>
                <w:sz w:val="18"/>
                <w:szCs w:val="18"/>
              </w:rPr>
              <w:t xml:space="preserve">0004</w:t>
            </w:r>
          </w:p>
        </w:tc>
        <w:tc>
          <w:tcPr>
            <w:tcW w:type="dxa" w:w="5300"/>
            <w:shd w:fill="F7F6F2" w:val="clear"/>
            <w:tcMar>
              <w:top w:type="dxa" w:w="100"/>
              <w:left w:type="dxa" w:w="120"/>
              <w:bottom w:type="dxa" w:w="100"/>
              <w:right w:type="dxa" w:w="120"/>
            </w:tcMar>
            <w:vAlign w:val="center"/>
          </w:tcPr>
          <w:p>
            <w:r>
              <w:rPr>
                <w:b w:val="false"/>
                <w:bCs w:val="false"/>
                <w:color w:val="232220"/>
                <w:sz w:val="18"/>
                <w:szCs w:val="18"/>
              </w:rPr>
              <w:t xml:space="preserve">Rotation automatique sélective des secrets</w:t>
            </w:r>
          </w:p>
        </w:tc>
        <w:tc>
          <w:tcPr>
            <w:tcW w:type="dxa" w:w="2500"/>
            <w:shd w:fill="F7F6F2" w:val="clear"/>
            <w:tcMar>
              <w:top w:type="dxa" w:w="100"/>
              <w:left w:type="dxa" w:w="120"/>
              <w:bottom w:type="dxa" w:w="100"/>
              <w:right w:type="dxa" w:w="120"/>
            </w:tcMar>
            <w:vAlign w:val="center"/>
          </w:tcPr>
          <w:p>
            <w:r>
              <w:rPr>
                <w:b w:val="false"/>
                <w:bCs w:val="false"/>
                <w:color w:val="232220"/>
                <w:sz w:val="18"/>
                <w:szCs w:val="18"/>
              </w:rPr>
              <w:t xml:space="preserve">Acceptée</w:t>
            </w:r>
          </w:p>
        </w:tc>
      </w:tr>
      <w:tr>
        <w:tc>
          <w:tcPr>
            <w:tcW w:type="dxa" w:w="1200"/>
            <w:shd w:fill="FFFFFF" w:val="clear"/>
            <w:tcMar>
              <w:top w:type="dxa" w:w="100"/>
              <w:left w:type="dxa" w:w="120"/>
              <w:bottom w:type="dxa" w:w="100"/>
              <w:right w:type="dxa" w:w="120"/>
            </w:tcMar>
            <w:vAlign w:val="center"/>
          </w:tcPr>
          <w:p>
            <w:r>
              <w:rPr>
                <w:b w:val="false"/>
                <w:bCs w:val="false"/>
                <w:color w:val="232220"/>
                <w:sz w:val="18"/>
                <w:szCs w:val="18"/>
              </w:rPr>
              <w:t xml:space="preserve">0007</w:t>
            </w:r>
          </w:p>
        </w:tc>
        <w:tc>
          <w:tcPr>
            <w:tcW w:type="dxa" w:w="5300"/>
            <w:shd w:fill="FFFFFF" w:val="clear"/>
            <w:tcMar>
              <w:top w:type="dxa" w:w="100"/>
              <w:left w:type="dxa" w:w="120"/>
              <w:bottom w:type="dxa" w:w="100"/>
              <w:right w:type="dxa" w:w="120"/>
            </w:tcMar>
            <w:vAlign w:val="center"/>
          </w:tcPr>
          <w:p>
            <w:r>
              <w:rPr>
                <w:b w:val="false"/>
                <w:bCs w:val="false"/>
                <w:color w:val="232220"/>
                <w:sz w:val="18"/>
                <w:szCs w:val="18"/>
              </w:rPr>
              <w:t xml:space="preserve">GHCR_PAT — risque accepté</w:t>
            </w:r>
          </w:p>
        </w:tc>
        <w:tc>
          <w:tcPr>
            <w:tcW w:type="dxa" w:w="2500"/>
            <w:shd w:fill="FFFFFF" w:val="clear"/>
            <w:tcMar>
              <w:top w:type="dxa" w:w="100"/>
              <w:left w:type="dxa" w:w="120"/>
              <w:bottom w:type="dxa" w:w="100"/>
              <w:right w:type="dxa" w:w="120"/>
            </w:tcMar>
            <w:vAlign w:val="center"/>
          </w:tcPr>
          <w:p>
            <w:r>
              <w:rPr>
                <w:b w:val="false"/>
                <w:bCs w:val="false"/>
                <w:color w:val="232220"/>
                <w:sz w:val="18"/>
                <w:szCs w:val="18"/>
              </w:rPr>
              <w:t xml:space="preserve">Acceptée</w:t>
            </w:r>
          </w:p>
        </w:tc>
      </w:tr>
      <w:tr>
        <w:tc>
          <w:tcPr>
            <w:tcW w:type="dxa" w:w="1200"/>
            <w:shd w:fill="F7F6F2" w:val="clear"/>
            <w:tcMar>
              <w:top w:type="dxa" w:w="100"/>
              <w:left w:type="dxa" w:w="120"/>
              <w:bottom w:type="dxa" w:w="100"/>
              <w:right w:type="dxa" w:w="120"/>
            </w:tcMar>
            <w:vAlign w:val="center"/>
          </w:tcPr>
          <w:p>
            <w:r>
              <w:rPr>
                <w:b w:val="false"/>
                <w:bCs w:val="false"/>
                <w:color w:val="232220"/>
                <w:sz w:val="18"/>
                <w:szCs w:val="18"/>
              </w:rPr>
              <w:t xml:space="preserve">0008</w:t>
            </w:r>
          </w:p>
        </w:tc>
        <w:tc>
          <w:tcPr>
            <w:tcW w:type="dxa" w:w="5300"/>
            <w:shd w:fill="F7F6F2" w:val="clear"/>
            <w:tcMar>
              <w:top w:type="dxa" w:w="100"/>
              <w:left w:type="dxa" w:w="120"/>
              <w:bottom w:type="dxa" w:w="100"/>
              <w:right w:type="dxa" w:w="120"/>
            </w:tcMar>
            <w:vAlign w:val="center"/>
          </w:tcPr>
          <w:p>
            <w:r>
              <w:rPr>
                <w:b w:val="false"/>
                <w:bCs w:val="false"/>
                <w:color w:val="232220"/>
                <w:sz w:val="18"/>
                <w:szCs w:val="18"/>
              </w:rPr>
              <w:t xml:space="preserve">Rate limiting applicatif seul</w:t>
            </w:r>
          </w:p>
        </w:tc>
        <w:tc>
          <w:tcPr>
            <w:tcW w:type="dxa" w:w="2500"/>
            <w:shd w:fill="F7F6F2" w:val="clear"/>
            <w:tcMar>
              <w:top w:type="dxa" w:w="100"/>
              <w:left w:type="dxa" w:w="120"/>
              <w:bottom w:type="dxa" w:w="100"/>
              <w:right w:type="dxa" w:w="120"/>
            </w:tcMar>
            <w:vAlign w:val="center"/>
          </w:tcPr>
          <w:p>
            <w:r>
              <w:rPr>
                <w:b w:val="false"/>
                <w:bCs w:val="false"/>
                <w:color w:val="232220"/>
                <w:sz w:val="18"/>
                <w:szCs w:val="18"/>
              </w:rPr>
              <w:t xml:space="preserve">Acceptée (temporaire)</w:t>
            </w:r>
          </w:p>
        </w:tc>
      </w:tr>
      <w:tr>
        <w:tc>
          <w:tcPr>
            <w:tcW w:type="dxa" w:w="1200"/>
            <w:shd w:fill="FFFFFF" w:val="clear"/>
            <w:tcMar>
              <w:top w:type="dxa" w:w="100"/>
              <w:left w:type="dxa" w:w="120"/>
              <w:bottom w:type="dxa" w:w="100"/>
              <w:right w:type="dxa" w:w="120"/>
            </w:tcMar>
            <w:vAlign w:val="center"/>
          </w:tcPr>
          <w:p>
            <w:r>
              <w:rPr>
                <w:b w:val="false"/>
                <w:bCs w:val="false"/>
                <w:color w:val="232220"/>
                <w:sz w:val="18"/>
                <w:szCs w:val="18"/>
              </w:rPr>
              <w:t xml:space="preserve">0009</w:t>
            </w:r>
          </w:p>
        </w:tc>
        <w:tc>
          <w:tcPr>
            <w:tcW w:type="dxa" w:w="5300"/>
            <w:shd w:fill="FFFFFF" w:val="clear"/>
            <w:tcMar>
              <w:top w:type="dxa" w:w="100"/>
              <w:left w:type="dxa" w:w="120"/>
              <w:bottom w:type="dxa" w:w="100"/>
              <w:right w:type="dxa" w:w="120"/>
            </w:tcMar>
            <w:vAlign w:val="center"/>
          </w:tcPr>
          <w:p>
            <w:r>
              <w:rPr>
                <w:b w:val="false"/>
                <w:bCs w:val="false"/>
                <w:color w:val="232220"/>
                <w:sz w:val="18"/>
                <w:szCs w:val="18"/>
              </w:rPr>
              <w:t xml:space="preserve">Stratégie de branches et versionning</w:t>
            </w:r>
          </w:p>
        </w:tc>
        <w:tc>
          <w:tcPr>
            <w:tcW w:type="dxa" w:w="2500"/>
            <w:shd w:fill="FFFFFF" w:val="clear"/>
            <w:tcMar>
              <w:top w:type="dxa" w:w="100"/>
              <w:left w:type="dxa" w:w="120"/>
              <w:bottom w:type="dxa" w:w="100"/>
              <w:right w:type="dxa" w:w="120"/>
            </w:tcMar>
            <w:vAlign w:val="center"/>
          </w:tcPr>
          <w:p>
            <w:r>
              <w:rPr>
                <w:b w:val="false"/>
                <w:bCs w:val="false"/>
                <w:color w:val="232220"/>
                <w:sz w:val="18"/>
                <w:szCs w:val="18"/>
              </w:rPr>
              <w:t xml:space="preserve">Acceptée</w:t>
            </w:r>
          </w:p>
        </w:tc>
      </w:tr>
      <w:tr>
        <w:tc>
          <w:tcPr>
            <w:tcW w:type="dxa" w:w="1200"/>
            <w:shd w:fill="F7F6F2" w:val="clear"/>
            <w:tcMar>
              <w:top w:type="dxa" w:w="100"/>
              <w:left w:type="dxa" w:w="120"/>
              <w:bottom w:type="dxa" w:w="100"/>
              <w:right w:type="dxa" w:w="120"/>
            </w:tcMar>
            <w:vAlign w:val="center"/>
          </w:tcPr>
          <w:p>
            <w:r>
              <w:rPr>
                <w:b w:val="false"/>
                <w:bCs w:val="false"/>
                <w:color w:val="232220"/>
                <w:sz w:val="18"/>
                <w:szCs w:val="18"/>
              </w:rPr>
              <w:t xml:space="preserve">0010</w:t>
            </w:r>
          </w:p>
        </w:tc>
        <w:tc>
          <w:tcPr>
            <w:tcW w:type="dxa" w:w="5300"/>
            <w:shd w:fill="F7F6F2" w:val="clear"/>
            <w:tcMar>
              <w:top w:type="dxa" w:w="100"/>
              <w:left w:type="dxa" w:w="120"/>
              <w:bottom w:type="dxa" w:w="100"/>
              <w:right w:type="dxa" w:w="120"/>
            </w:tcMar>
            <w:vAlign w:val="center"/>
          </w:tcPr>
          <w:p>
            <w:r>
              <w:rPr>
                <w:b w:val="false"/>
                <w:bCs w:val="false"/>
                <w:color w:val="232220"/>
                <w:sz w:val="18"/>
                <w:szCs w:val="18"/>
              </w:rPr>
              <w:t xml:space="preserve">Bootstrap/rotation arkcloud_app Azure — Kudu manuel</w:t>
            </w:r>
          </w:p>
        </w:tc>
        <w:tc>
          <w:tcPr>
            <w:tcW w:type="dxa" w:w="2500"/>
            <w:shd w:fill="F7F6F2" w:val="clear"/>
            <w:tcMar>
              <w:top w:type="dxa" w:w="100"/>
              <w:left w:type="dxa" w:w="120"/>
              <w:bottom w:type="dxa" w:w="100"/>
              <w:right w:type="dxa" w:w="120"/>
            </w:tcMar>
            <w:vAlign w:val="center"/>
          </w:tcPr>
          <w:p>
            <w:r>
              <w:rPr>
                <w:b w:val="false"/>
                <w:bCs w:val="false"/>
                <w:color w:val="232220"/>
                <w:sz w:val="18"/>
                <w:szCs w:val="18"/>
              </w:rPr>
              <w:t xml:space="preserve">Acceptée (backlog)</w:t>
            </w:r>
          </w:p>
        </w:tc>
      </w:tr>
      <w:tr>
        <w:tc>
          <w:tcPr>
            <w:tcW w:type="dxa" w:w="1200"/>
            <w:shd w:fill="FFFFFF" w:val="clear"/>
            <w:tcMar>
              <w:top w:type="dxa" w:w="100"/>
              <w:left w:type="dxa" w:w="120"/>
              <w:bottom w:type="dxa" w:w="100"/>
              <w:right w:type="dxa" w:w="120"/>
            </w:tcMar>
            <w:vAlign w:val="center"/>
          </w:tcPr>
          <w:p>
            <w:r>
              <w:rPr>
                <w:b w:val="false"/>
                <w:bCs w:val="false"/>
                <w:color w:val="232220"/>
                <w:sz w:val="18"/>
                <w:szCs w:val="18"/>
              </w:rPr>
              <w:t xml:space="preserve">0011</w:t>
            </w:r>
          </w:p>
        </w:tc>
        <w:tc>
          <w:tcPr>
            <w:tcW w:type="dxa" w:w="5300"/>
            <w:shd w:fill="FFFFFF" w:val="clear"/>
            <w:tcMar>
              <w:top w:type="dxa" w:w="100"/>
              <w:left w:type="dxa" w:w="120"/>
              <w:bottom w:type="dxa" w:w="100"/>
              <w:right w:type="dxa" w:w="120"/>
            </w:tcMar>
            <w:vAlign w:val="center"/>
          </w:tcPr>
          <w:p>
            <w:r>
              <w:rPr>
                <w:b w:val="false"/>
                <w:bCs w:val="false"/>
                <w:color w:val="232220"/>
                <w:sz w:val="18"/>
                <w:szCs w:val="18"/>
              </w:rPr>
              <w:t xml:space="preserve">Authentification passwordless arkcloud_app</w:t>
            </w:r>
          </w:p>
        </w:tc>
        <w:tc>
          <w:tcPr>
            <w:tcW w:type="dxa" w:w="2500"/>
            <w:shd w:fill="FFFFFF" w:val="clear"/>
            <w:tcMar>
              <w:top w:type="dxa" w:w="100"/>
              <w:left w:type="dxa" w:w="120"/>
              <w:bottom w:type="dxa" w:w="100"/>
              <w:right w:type="dxa" w:w="120"/>
            </w:tcMar>
            <w:vAlign w:val="center"/>
          </w:tcPr>
          <w:p>
            <w:r>
              <w:rPr>
                <w:b w:val="false"/>
                <w:bCs w:val="false"/>
                <w:color w:val="232220"/>
                <w:sz w:val="18"/>
                <w:szCs w:val="18"/>
              </w:rPr>
              <w:t xml:space="preserve">Proposée</w:t>
            </w:r>
          </w:p>
        </w:tc>
      </w:tr>
    </w:tbl>
    <w:p>
      <w:pPr>
        <w:pStyle w:val="Heading1"/>
        <w:pBdr>
          <w:bottom w:val="single" w:color="2E6E5E" w:sz="4" w:space="4"/>
        </w:pBdr>
        <w:spacing w:after="220" w:before="480"/>
      </w:pPr>
      <w:r>
        <w:rPr>
          <w:b/>
          <w:bCs/>
          <w:color w:val="2E6E5E"/>
          <w:sz w:val="30"/>
          <w:szCs w:val="30"/>
        </w:rPr>
        <w:t xml:space="preserve">9  </w:t>
      </w:r>
      <w:r>
        <w:rPr>
          <w:b/>
          <w:bCs/>
          <w:color w:val="1F3B57"/>
          <w:sz w:val="30"/>
          <w:szCs w:val="30"/>
        </w:rPr>
        <w:t xml:space="preserve">Ce qui reste ouvert</w:t>
      </w:r>
    </w:p>
    <w:p>
      <w:pPr>
        <w:pStyle w:val="ListParagraph"/>
        <w:numPr>
          <w:ilvl w:val="0"/>
          <w:numId w:val="1"/>
        </w:numPr>
        <w:spacing w:after="100" w:line="280"/>
      </w:pPr>
      <w:r>
        <w:rPr>
          <w:sz w:val="21"/>
          <w:szCs w:val="21"/>
        </w:rPr>
        <w:t xml:space="preserve">Ticket support Azure — régénération des clés Log Analytics, en attente de réponse Microsoft.</w:t>
      </w:r>
    </w:p>
    <w:p>
      <w:pPr>
        <w:pStyle w:val="ListParagraph"/>
        <w:numPr>
          <w:ilvl w:val="0"/>
          <w:numId w:val="1"/>
        </w:numPr>
        <w:spacing w:after="100" w:line="280"/>
      </w:pPr>
      <w:r>
        <w:rPr>
          <w:sz w:val="21"/>
          <w:szCs w:val="21"/>
        </w:rPr>
        <w:t xml:space="preserve">Procédure Kudu pour la rotation arkcloud_app côté Azure — en backlog, nécessite d'ajouter un serveur SSH au Dockerfile de l'API (jamais fait à ce jour).</w:t>
      </w:r>
    </w:p>
    <w:p>
      <w:pPr>
        <w:pStyle w:val="ListParagraph"/>
        <w:numPr>
          <w:ilvl w:val="0"/>
          <w:numId w:val="1"/>
        </w:numPr>
        <w:spacing w:after="100" w:line="280"/>
      </w:pPr>
      <w:r>
        <w:rPr>
          <w:sz w:val="21"/>
          <w:szCs w:val="21"/>
        </w:rPr>
        <w:t xml:space="preserve">Authentification passwordless (ADR-0011) — design vérifié, implémentation candidate pour un sprint applicatif dédié (Sprint 7/8).</w:t>
      </w:r>
    </w:p>
    <w:p>
      <w:pPr>
        <w:pStyle w:val="ListParagraph"/>
        <w:numPr>
          <w:ilvl w:val="0"/>
          <w:numId w:val="1"/>
        </w:numPr>
        <w:spacing w:after="100" w:line="280"/>
      </w:pPr>
      <w:r>
        <w:rPr>
          <w:sz w:val="21"/>
          <w:szCs w:val="21"/>
        </w:rPr>
        <w:t xml:space="preserve">Chantier RGPD — minimisation des logs applicatifs, item « à traiter » distinct de STRIDE.</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68C"/>
        <w:sz w:val="14"/>
        <w:szCs w:val="14"/>
      </w:rPr>
      <w:t xml:space="preserve">Page </w:t>
    </w:r>
    <w:r>
      <w:rPr>
        <w:color w:val="9A968C"/>
        <w:sz w:val="14"/>
        <w:szCs w:val="14"/>
      </w:rPr>
      <w:fldChar w:fldCharType="begin"/>
      <w:instrText xml:space="preserve">PAGE</w:instrText>
      <w:fldChar w:fldCharType="separate"/>
      <w:fldChar w:fldCharType="end"/>
    </w:r>
    <w:r>
      <w:rPr>
        <w:color w:val="9A968C"/>
        <w:sz w:val="14"/>
        <w:szCs w:val="14"/>
      </w:rPr>
      <w:t xml:space="preserve"> / </w:t>
    </w:r>
    <w:r>
      <w:rPr>
        <w:color w:val="9A968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CC" w:sz="2" w:space="4"/>
      </w:pBdr>
    </w:pPr>
    <w:r>
      <w:rPr>
        <w:color w:val="9A968C"/>
        <w:sz w:val="14"/>
        <w:szCs w:val="14"/>
      </w:rPr>
      <w:t xml:space="preserve">ArkCloud — État des lieux Sprint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382483f55eaf380f0e3c518677dd92c3388ed0.png"/><Relationship Id="rId10" Type="http://schemas.openxmlformats.org/officeDocument/2006/relationships/image" Target="media/85b10a9e4f833244fec390eed6724b540c0b3b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2026-09-08T09:47:57.514Z</dcterms:created>
  <dcterms:modified xsi:type="dcterms:W3CDTF">2026-09-08T09:47:57.517Z</dcterms:modified>
</cp:coreProperties>
</file>

<file path=docProps/custom.xml><?xml version="1.0" encoding="utf-8"?>
<Properties xmlns="http://schemas.openxmlformats.org/officeDocument/2006/custom-properties" xmlns:vt="http://schemas.openxmlformats.org/officeDocument/2006/docPropsVTypes"/>
</file>