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pStyle w:val="Title"/>
        <w:spacing w:after="100" w:before="2000"/>
        <w:jc w:val="center"/>
      </w:pPr>
      <w:r>
        <w:t xml:space="preserve">ArkCloud</w:t>
      </w:r>
    </w:p>
    <w:p>
      <w:pPr>
        <w:spacing w:after="100"/>
        <w:jc w:val="center"/>
      </w:pPr>
      <w:r>
        <w:rPr>
          <w:b/>
          <w:bCs/>
          <w:sz w:val="36"/>
          <w:szCs w:val="36"/>
        </w:rPr>
        <w:t xml:space="preserve">Architecture — document de référence</w:t>
      </w:r>
    </w:p>
    <w:p>
      <w:pPr>
        <w:spacing w:after="800"/>
        <w:jc w:val="center"/>
      </w:pPr>
      <w:r>
        <w:rPr>
          <w:i/>
          <w:iCs/>
          <w:sz w:val="24"/>
          <w:szCs w:val="24"/>
        </w:rPr>
        <w:t xml:space="preserve">De la vue d'ensemble au détail : historique, conteneurs, réseau, flux STRIDE, CI/CD, modèle de données</w:t>
      </w:r>
    </w:p>
    <w:p>
      <w:pPr>
        <w:spacing w:after="150"/>
      </w:pPr>
      <w:r>
        <w:rPr>
          <w:b w:val="false"/>
          <w:bCs w:val="false"/>
          <w:i/>
          <w:iCs/>
        </w:rPr>
        <w:t xml:space="preserve">Document généré le 27 août 2026 — dépôts epiph11/ArkCloud et epiph11/ArkCloudInfra. Sprint 6 en cours.</w:t>
      </w:r>
    </w:p>
    <w:p>
      <w:r>
        <w:br w:type="page"/>
      </w:r>
    </w:p>
    <w:p>
      <w:pPr>
        <w:pStyle w:val="Heading1"/>
        <w:spacing w:after="200" w:before="400"/>
      </w:pPr>
      <w:r>
        <w:t xml:space="preserve">Sommaire</w:t>
      </w:r>
    </w:p>
    <w:p>
      <w:pPr>
        <w:spacing w:after="150"/>
      </w:pPr>
      <w:r>
        <w:rPr>
          <w:b w:val="false"/>
          <w:bCs w:val="false"/>
          <w:i w:val="false"/>
          <w:iCs w:val="false"/>
        </w:rPr>
        <w:t xml:space="preserve">1. Historique du projet</w:t>
      </w:r>
    </w:p>
    <w:p>
      <w:pPr>
        <w:spacing w:after="150"/>
      </w:pPr>
      <w:r>
        <w:rPr>
          <w:b w:val="false"/>
          <w:bCs w:val="false"/>
          <w:i w:val="false"/>
          <w:iCs w:val="false"/>
        </w:rPr>
        <w:t xml:space="preserve">2. Vue d'ensemble (contexte système)</w:t>
      </w:r>
    </w:p>
    <w:p>
      <w:pPr>
        <w:spacing w:after="150"/>
      </w:pPr>
      <w:r>
        <w:rPr>
          <w:b w:val="false"/>
          <w:bCs w:val="false"/>
          <w:i w:val="false"/>
          <w:iCs w:val="false"/>
        </w:rPr>
        <w:t xml:space="preserve">3. Vue conteneurs — les deux piles cloud</w:t>
      </w:r>
    </w:p>
    <w:p>
      <w:pPr>
        <w:spacing w:after="150"/>
      </w:pPr>
      <w:r>
        <w:rPr>
          <w:b w:val="false"/>
          <w:bCs w:val="false"/>
          <w:i w:val="false"/>
          <w:iCs w:val="false"/>
        </w:rPr>
        <w:t xml:space="preserve">4. Inventaire des modules Terraform</w:t>
      </w:r>
    </w:p>
    <w:p>
      <w:pPr>
        <w:spacing w:after="150"/>
      </w:pPr>
      <w:r>
        <w:rPr>
          <w:b w:val="false"/>
          <w:bCs w:val="false"/>
          <w:i w:val="false"/>
          <w:iCs w:val="false"/>
        </w:rPr>
        <w:t xml:space="preserve">5. Flux détaillés (STRIDE, Sprint 6)</w:t>
      </w:r>
    </w:p>
    <w:p>
      <w:pPr>
        <w:spacing w:after="150"/>
      </w:pPr>
      <w:r>
        <w:rPr>
          <w:b w:val="false"/>
          <w:bCs w:val="false"/>
          <w:i w:val="false"/>
          <w:iCs w:val="false"/>
        </w:rPr>
        <w:t xml:space="preserve">6. Pipelines CI/CD</w:t>
      </w:r>
    </w:p>
    <w:p>
      <w:pPr>
        <w:spacing w:after="150"/>
      </w:pPr>
      <w:r>
        <w:rPr>
          <w:b w:val="false"/>
          <w:bCs w:val="false"/>
          <w:i w:val="false"/>
          <w:iCs w:val="false"/>
        </w:rPr>
        <w:t xml:space="preserve">7. Modèle de données</w:t>
      </w:r>
    </w:p>
    <w:p>
      <w:pPr>
        <w:spacing w:after="150"/>
      </w:pPr>
      <w:r>
        <w:rPr>
          <w:b w:val="false"/>
          <w:bCs w:val="false"/>
          <w:i w:val="false"/>
          <w:iCs w:val="false"/>
        </w:rPr>
        <w:t xml:space="preserve">8. Gouvernance et décisions d'architecture (ADR)</w:t>
      </w:r>
    </w:p>
    <w:p>
      <w:pPr>
        <w:spacing w:after="150"/>
      </w:pPr>
      <w:r>
        <w:rPr>
          <w:b w:val="false"/>
          <w:bCs w:val="false"/>
          <w:i w:val="false"/>
          <w:iCs w:val="false"/>
        </w:rPr>
        <w:t xml:space="preserve">9. Prochaines étapes</w:t>
      </w:r>
    </w:p>
    <w:p>
      <w:r>
        <w:br w:type="page"/>
      </w:r>
    </w:p>
    <w:p>
      <w:pPr>
        <w:pStyle w:val="Heading1"/>
        <w:spacing w:after="200" w:before="400"/>
      </w:pPr>
      <w:r>
        <w:t xml:space="preserve">1. Historique du projet</w:t>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1400"/>
        <w:gridCol w:w="6480"/>
        <w:gridCol w:w="2200"/>
      </w:tblGrid>
      <w:tr>
        <w:tc>
          <w:tcPr>
            <w:tcW w:type="dxa" w:w="1400"/>
            <w:shd w:fill="DCE6F1" w:val="clear"/>
          </w:tcPr>
          <w:p>
            <w:r>
              <w:rPr>
                <w:b/>
                <w:bCs/>
              </w:rPr>
              <w:t xml:space="preserve">Sprint</w:t>
            </w:r>
          </w:p>
        </w:tc>
        <w:tc>
          <w:tcPr>
            <w:tcW w:type="dxa" w:w="6480"/>
            <w:shd w:fill="DCE6F1" w:val="clear"/>
          </w:tcPr>
          <w:p>
            <w:r>
              <w:rPr>
                <w:b/>
                <w:bCs/>
              </w:rPr>
              <w:t xml:space="preserve">Contenu</w:t>
            </w:r>
          </w:p>
        </w:tc>
        <w:tc>
          <w:tcPr>
            <w:tcW w:type="dxa" w:w="2200"/>
            <w:shd w:fill="DCE6F1" w:val="clear"/>
          </w:tcPr>
          <w:p>
            <w:r>
              <w:rPr>
                <w:b/>
                <w:bCs/>
              </w:rPr>
              <w:t xml:space="preserve">Statut</w:t>
            </w:r>
          </w:p>
        </w:tc>
      </w:tr>
      <w:tr>
        <w:tc>
          <w:tcPr>
            <w:tcW w:type="dxa" w:w="1400"/>
          </w:tcPr>
          <w:p>
            <w:r>
              <w:rPr>
                <w:b w:val="false"/>
                <w:bCs w:val="false"/>
              </w:rPr>
              <w:t xml:space="preserve">1</w:t>
            </w:r>
          </w:p>
        </w:tc>
        <w:tc>
          <w:tcPr>
            <w:tcW w:type="dxa" w:w="6480"/>
          </w:tcPr>
          <w:p>
            <w:r>
              <w:rPr>
                <w:b w:val="false"/>
                <w:bCs w:val="false"/>
              </w:rPr>
              <w:t xml:space="preserve">Cadrage, backend .NET 10 (Domain / Application / Infrastructure / API), scaffold initial</w:t>
            </w:r>
          </w:p>
        </w:tc>
        <w:tc>
          <w:tcPr>
            <w:tcW w:type="dxa" w:w="2200"/>
          </w:tcPr>
          <w:p>
            <w:r>
              <w:rPr>
                <w:b w:val="false"/>
                <w:bCs w:val="false"/>
              </w:rPr>
              <w:t xml:space="preserve">Clôturé</w:t>
            </w:r>
          </w:p>
        </w:tc>
      </w:tr>
      <w:tr>
        <w:tc>
          <w:tcPr>
            <w:tcW w:type="dxa" w:w="1400"/>
          </w:tcPr>
          <w:p>
            <w:r>
              <w:rPr>
                <w:b w:val="false"/>
                <w:bCs w:val="false"/>
              </w:rPr>
              <w:t xml:space="preserve">2</w:t>
            </w:r>
          </w:p>
        </w:tc>
        <w:tc>
          <w:tcPr>
            <w:tcW w:type="dxa" w:w="6480"/>
          </w:tcPr>
          <w:p>
            <w:r>
              <w:rPr>
                <w:b w:val="false"/>
                <w:bCs w:val="false"/>
              </w:rPr>
              <w:t xml:space="preserve">Qualité backend — tests unitaires, conventions de code</w:t>
            </w:r>
          </w:p>
        </w:tc>
        <w:tc>
          <w:tcPr>
            <w:tcW w:type="dxa" w:w="2200"/>
          </w:tcPr>
          <w:p>
            <w:r>
              <w:rPr>
                <w:b w:val="false"/>
                <w:bCs w:val="false"/>
              </w:rPr>
              <w:t xml:space="preserve">Clôturé</w:t>
            </w:r>
          </w:p>
        </w:tc>
      </w:tr>
      <w:tr>
        <w:tc>
          <w:tcPr>
            <w:tcW w:type="dxa" w:w="1400"/>
          </w:tcPr>
          <w:p>
            <w:r>
              <w:rPr>
                <w:b w:val="false"/>
                <w:bCs w:val="false"/>
              </w:rPr>
              <w:t xml:space="preserve">3</w:t>
            </w:r>
          </w:p>
        </w:tc>
        <w:tc>
          <w:tcPr>
            <w:tcW w:type="dxa" w:w="6480"/>
          </w:tcPr>
          <w:p>
            <w:r>
              <w:rPr>
                <w:b w:val="false"/>
                <w:bCs w:val="false"/>
              </w:rPr>
              <w:t xml:space="preserve">Authentification JWT, frontend Blazor Server</w:t>
            </w:r>
          </w:p>
        </w:tc>
        <w:tc>
          <w:tcPr>
            <w:tcW w:type="dxa" w:w="2200"/>
          </w:tcPr>
          <w:p>
            <w:r>
              <w:rPr>
                <w:b w:val="false"/>
                <w:bCs w:val="false"/>
              </w:rPr>
              <w:t xml:space="preserve">Clôturé</w:t>
            </w:r>
          </w:p>
        </w:tc>
      </w:tr>
      <w:tr>
        <w:tc>
          <w:tcPr>
            <w:tcW w:type="dxa" w:w="1400"/>
          </w:tcPr>
          <w:p>
            <w:r>
              <w:rPr>
                <w:b w:val="false"/>
                <w:bCs w:val="false"/>
              </w:rPr>
              <w:t xml:space="preserve">4</w:t>
            </w:r>
          </w:p>
        </w:tc>
        <w:tc>
          <w:tcPr>
            <w:tcW w:type="dxa" w:w="6480"/>
          </w:tcPr>
          <w:p>
            <w:r>
              <w:rPr>
                <w:b w:val="false"/>
                <w:bCs w:val="false"/>
              </w:rPr>
              <w:t xml:space="preserve">CI/CD GitHub Actions + infrastructure Azure (App Service, PostgreSQL Flexible Server, Key Vault, Application Insights)</w:t>
            </w:r>
          </w:p>
        </w:tc>
        <w:tc>
          <w:tcPr>
            <w:tcW w:type="dxa" w:w="2200"/>
          </w:tcPr>
          <w:p>
            <w:r>
              <w:rPr>
                <w:b w:val="false"/>
                <w:bCs w:val="false"/>
              </w:rPr>
              <w:t xml:space="preserve">Clôturé (28/07/2026)</w:t>
            </w:r>
          </w:p>
        </w:tc>
      </w:tr>
      <w:tr>
        <w:tc>
          <w:tcPr>
            <w:tcW w:type="dxa" w:w="1400"/>
          </w:tcPr>
          <w:p>
            <w:r>
              <w:rPr>
                <w:b w:val="false"/>
                <w:bCs w:val="false"/>
              </w:rPr>
              <w:t xml:space="preserve">5</w:t>
            </w:r>
          </w:p>
        </w:tc>
        <w:tc>
          <w:tcPr>
            <w:tcW w:type="dxa" w:w="6480"/>
          </w:tcPr>
          <w:p>
            <w:r>
              <w:rPr>
                <w:b w:val="false"/>
                <w:bCs w:val="false"/>
              </w:rPr>
              <w:t xml:space="preserve">Infrastructure AWS en parallèle (VPC, ECS Fargate, RDS PostgreSQL, ALB, CloudTrail, monitoring) — double-cloud actif</w:t>
            </w:r>
          </w:p>
        </w:tc>
        <w:tc>
          <w:tcPr>
            <w:tcW w:type="dxa" w:w="2200"/>
          </w:tcPr>
          <w:p>
            <w:r>
              <w:rPr>
                <w:b w:val="false"/>
                <w:bCs w:val="false"/>
              </w:rPr>
              <w:t xml:space="preserve">Clôturé</w:t>
            </w:r>
          </w:p>
        </w:tc>
      </w:tr>
      <w:tr>
        <w:tc>
          <w:tcPr>
            <w:tcW w:type="dxa" w:w="1400"/>
          </w:tcPr>
          <w:p>
            <w:r>
              <w:rPr>
                <w:b w:val="false"/>
                <w:bCs w:val="false"/>
              </w:rPr>
              <w:t xml:space="preserve">6</w:t>
            </w:r>
          </w:p>
        </w:tc>
        <w:tc>
          <w:tcPr>
            <w:tcW w:type="dxa" w:w="6480"/>
          </w:tcPr>
          <w:p>
            <w:r>
              <w:rPr>
                <w:b w:val="false"/>
                <w:bCs w:val="false"/>
              </w:rPr>
              <w:t xml:space="preserve">Sécurité cloud avancée : NSG flow logs, HTTPS/ACM, rotation automatique des secrets, GuardDuty, Defender for Cloud, audit IAM, fitness functions, STRIDE, RGPD, ADR</w:t>
            </w:r>
          </w:p>
        </w:tc>
        <w:tc>
          <w:tcPr>
            <w:tcW w:type="dxa" w:w="2200"/>
          </w:tcPr>
          <w:p>
            <w:r>
              <w:rPr>
                <w:b w:val="false"/>
                <w:bCs w:val="false"/>
              </w:rPr>
              <w:t xml:space="preserve">En cours</w:t>
            </w:r>
          </w:p>
        </w:tc>
      </w:tr>
      <w:tr>
        <w:tc>
          <w:tcPr>
            <w:tcW w:type="dxa" w:w="1400"/>
          </w:tcPr>
          <w:p>
            <w:r>
              <w:rPr>
                <w:b w:val="false"/>
                <w:bCs w:val="false"/>
              </w:rPr>
              <w:t xml:space="preserve">7</w:t>
            </w:r>
          </w:p>
        </w:tc>
        <w:tc>
          <w:tcPr>
            <w:tcW w:type="dxa" w:w="6480"/>
          </w:tcPr>
          <w:p>
            <w:r>
              <w:rPr>
                <w:b w:val="false"/>
                <w:bCs w:val="false"/>
              </w:rPr>
              <w:t xml:space="preserve">Angular enterprise</w:t>
            </w:r>
          </w:p>
        </w:tc>
        <w:tc>
          <w:tcPr>
            <w:tcW w:type="dxa" w:w="2200"/>
          </w:tcPr>
          <w:p>
            <w:r>
              <w:rPr>
                <w:b w:val="false"/>
                <w:bCs w:val="false"/>
              </w:rPr>
              <w:t xml:space="preserve">À venir</w:t>
            </w:r>
          </w:p>
        </w:tc>
      </w:tr>
      <w:tr>
        <w:tc>
          <w:tcPr>
            <w:tcW w:type="dxa" w:w="1400"/>
          </w:tcPr>
          <w:p>
            <w:r>
              <w:rPr>
                <w:b w:val="false"/>
                <w:bCs w:val="false"/>
              </w:rPr>
              <w:t xml:space="preserve">8</w:t>
            </w:r>
          </w:p>
        </w:tc>
        <w:tc>
          <w:tcPr>
            <w:tcW w:type="dxa" w:w="6480"/>
          </w:tcPr>
          <w:p>
            <w:r>
              <w:rPr>
                <w:b w:val="false"/>
                <w:bCs w:val="false"/>
              </w:rPr>
              <w:t xml:space="preserve">Microservices, Kafka, résilience, traçabilité distribuée</w:t>
            </w:r>
          </w:p>
        </w:tc>
        <w:tc>
          <w:tcPr>
            <w:tcW w:type="dxa" w:w="2200"/>
          </w:tcPr>
          <w:p>
            <w:r>
              <w:rPr>
                <w:b w:val="false"/>
                <w:bCs w:val="false"/>
              </w:rPr>
              <w:t xml:space="preserve">À venir</w:t>
            </w:r>
          </w:p>
        </w:tc>
      </w:tr>
      <w:tr>
        <w:tc>
          <w:tcPr>
            <w:tcW w:type="dxa" w:w="1400"/>
          </w:tcPr>
          <w:p>
            <w:r>
              <w:rPr>
                <w:b w:val="false"/>
                <w:bCs w:val="false"/>
              </w:rPr>
              <w:t xml:space="preserve">9</w:t>
            </w:r>
          </w:p>
        </w:tc>
        <w:tc>
          <w:tcPr>
            <w:tcW w:type="dxa" w:w="6480"/>
          </w:tcPr>
          <w:p>
            <w:r>
              <w:rPr>
                <w:b w:val="false"/>
                <w:bCs w:val="false"/>
              </w:rPr>
              <w:t xml:space="preserve">Kubernetes (AKS/EKS)</w:t>
            </w:r>
          </w:p>
        </w:tc>
        <w:tc>
          <w:tcPr>
            <w:tcW w:type="dxa" w:w="2200"/>
          </w:tcPr>
          <w:p>
            <w:r>
              <w:rPr>
                <w:b w:val="false"/>
                <w:bCs w:val="false"/>
              </w:rPr>
              <w:t xml:space="preserve">À venir</w:t>
            </w:r>
          </w:p>
        </w:tc>
      </w:tr>
      <w:tr>
        <w:tc>
          <w:tcPr>
            <w:tcW w:type="dxa" w:w="1400"/>
          </w:tcPr>
          <w:p>
            <w:r>
              <w:rPr>
                <w:b w:val="false"/>
                <w:bCs w:val="false"/>
              </w:rPr>
              <w:t xml:space="preserve">10</w:t>
            </w:r>
          </w:p>
        </w:tc>
        <w:tc>
          <w:tcPr>
            <w:tcW w:type="dxa" w:w="6480"/>
          </w:tcPr>
          <w:p>
            <w:r>
              <w:rPr>
                <w:b w:val="false"/>
                <w:bCs w:val="false"/>
              </w:rPr>
              <w:t xml:space="preserve">SRE / plateforme, chaos engineering</w:t>
            </w:r>
          </w:p>
        </w:tc>
        <w:tc>
          <w:tcPr>
            <w:tcW w:type="dxa" w:w="2200"/>
          </w:tcPr>
          <w:p>
            <w:r>
              <w:rPr>
                <w:b w:val="false"/>
                <w:bCs w:val="false"/>
              </w:rPr>
              <w:t xml:space="preserve">À venir</w:t>
            </w:r>
          </w:p>
        </w:tc>
      </w:tr>
      <w:tr>
        <w:tc>
          <w:tcPr>
            <w:tcW w:type="dxa" w:w="1400"/>
          </w:tcPr>
          <w:p>
            <w:r>
              <w:rPr>
                <w:b w:val="false"/>
                <w:bCs w:val="false"/>
              </w:rPr>
              <w:t xml:space="preserve">11</w:t>
            </w:r>
          </w:p>
        </w:tc>
        <w:tc>
          <w:tcPr>
            <w:tcW w:type="dxa" w:w="6480"/>
          </w:tcPr>
          <w:p>
            <w:r>
              <w:rPr>
                <w:b w:val="false"/>
                <w:bCs w:val="false"/>
              </w:rPr>
              <w:t xml:space="preserve">Adoption TOGAF 10.0</w:t>
            </w:r>
          </w:p>
        </w:tc>
        <w:tc>
          <w:tcPr>
            <w:tcW w:type="dxa" w:w="2200"/>
          </w:tcPr>
          <w:p>
            <w:r>
              <w:rPr>
                <w:b w:val="false"/>
                <w:bCs w:val="false"/>
              </w:rPr>
              <w:t xml:space="preserve">À venir</w:t>
            </w:r>
          </w:p>
        </w:tc>
      </w:tr>
    </w:tbl>
    <w:p>
      <w:pPr>
        <w:spacing w:after="200"/>
      </w:pPr>
    </w:p>
    <w:p>
      <w:pPr>
        <w:spacing w:after="150"/>
      </w:pPr>
      <w:r>
        <w:rPr>
          <w:b w:val="false"/>
          <w:bCs w:val="false"/>
          <w:i w:val="false"/>
          <w:iCs w:val="false"/>
        </w:rPr>
        <w:t xml:space="preserve">Décision structurante prise en Sprint 5 (ADR-0005, migration non commencée) : ArkCloud vise une architecture cible primaire + DR répartie sur deux clouds plutôt qu'un seul — c'est pour ça qu'Azure et AWS hébergent chacun une pile applicative complète et indépendante depuis le Sprint 5, pas juste un environnement de test parallèle.</w:t>
      </w:r>
    </w:p>
    <w:p>
      <w:pPr>
        <w:spacing w:after="150"/>
      </w:pPr>
      <w:r>
        <w:rPr>
          <w:b w:val="false"/>
          <w:bCs w:val="false"/>
          <w:i w:val="false"/>
          <w:iCs w:val="false"/>
        </w:rPr>
        <w:t xml:space="preserve">Versionning (ADR-0009, Sprint 6) : modèle trunk-based allégé — develop reste la branche d'intégration continue, main est protégée (PR + CI obligatoires) et n'est mise à jour qu'à la clôture d'un sprint ou d'un jalon stable. SemVer démarré à v0.1.0, 0.x signifiant explicitement l'absence de garantie de stabilité à ce stade.</w:t>
      </w:r>
    </w:p>
    <w:p>
      <w:r>
        <w:br w:type="page"/>
      </w:r>
    </w:p>
    <w:p>
      <w:pPr>
        <w:pStyle w:val="Heading1"/>
        <w:spacing w:after="200" w:before="400"/>
      </w:pPr>
      <w:r>
        <w:t xml:space="preserve">2. Vue d'ensemble (contexte système)</w:t>
      </w:r>
    </w:p>
    <w:p>
      <w:pPr>
        <w:spacing w:after="150" w:before="150"/>
        <w:jc w:val="center"/>
      </w:pPr>
      <w:r>
        <w:drawing>
          <wp:inline distT="0" distB="0" distL="0" distR="0">
            <wp:extent cx="4572000" cy="254317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7" cstate="none"/>
                    <a:srcRect/>
                    <a:stretch>
                      <a:fillRect/>
                    </a:stretch>
                  </pic:blipFill>
                  <pic:spPr bwMode="auto">
                    <a:xfrm>
                      <a:off x="0" y="0"/>
                      <a:ext cx="4572000" cy="2543175"/>
                    </a:xfrm>
                    <a:prstGeom prst="rect">
                      <a:avLst/>
                    </a:prstGeom>
                  </pic:spPr>
                </pic:pic>
              </a:graphicData>
            </a:graphic>
          </wp:inline>
        </w:drawing>
      </w:r>
    </w:p>
    <w:p>
      <w:pPr>
        <w:spacing w:after="250"/>
        <w:jc w:val="center"/>
      </w:pPr>
      <w:r>
        <w:rPr>
          <w:i/>
          <w:iCs/>
          <w:sz w:val="18"/>
          <w:szCs w:val="18"/>
        </w:rPr>
        <w:t xml:space="preserve">Figure 1 — Contexte système ArkCloud</w:t>
      </w:r>
    </w:p>
    <w:p>
      <w:pPr>
        <w:spacing w:after="150"/>
      </w:pPr>
      <w:r>
        <w:rPr>
          <w:b w:val="false"/>
          <w:bCs w:val="false"/>
          <w:i w:val="false"/>
          <w:iCs w:val="false"/>
        </w:rPr>
        <w:t xml:space="preserve">ArkCloud est une application e-commerce B2B (gestion clients/commandes/produits) volontairement déployée en double-cloud actif — pas un site principal + un site de secours passif, mais deux piles applicatives complètes et indépendantes (Azure et AWS), chacune avec son propre frontend, API, base de données et secrets. L'objectif pédagogique et technique du projet est de couvrir l'éventail complet d'un système d'entreprise réel : sécurité, conformité, observabilité, gouvernance, jusqu'aux microservices et à Kubernetes dans les sprints à venir.</w:t>
      </w:r>
    </w:p>
    <w:p>
      <w:r>
        <w:br w:type="page"/>
      </w:r>
    </w:p>
    <w:p>
      <w:pPr>
        <w:pStyle w:val="Heading1"/>
        <w:spacing w:after="200" w:before="400"/>
      </w:pPr>
      <w:r>
        <w:t xml:space="preserve">3. Vue conteneurs — les deux piles cloud</w:t>
      </w:r>
    </w:p>
    <w:p>
      <w:pPr>
        <w:spacing w:after="150" w:before="150"/>
        <w:jc w:val="center"/>
      </w:pPr>
      <w:r>
        <w:drawing>
          <wp:inline distT="0" distB="0" distL="0" distR="0">
            <wp:extent cx="5905500" cy="23050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8" cstate="none"/>
                    <a:srcRect/>
                    <a:stretch>
                      <a:fillRect/>
                    </a:stretch>
                  </pic:blipFill>
                  <pic:spPr bwMode="auto">
                    <a:xfrm>
                      <a:off x="0" y="0"/>
                      <a:ext cx="5905500" cy="2305050"/>
                    </a:xfrm>
                    <a:prstGeom prst="rect">
                      <a:avLst/>
                    </a:prstGeom>
                  </pic:spPr>
                </pic:pic>
              </a:graphicData>
            </a:graphic>
          </wp:inline>
        </w:drawing>
      </w:r>
    </w:p>
    <w:p>
      <w:pPr>
        <w:spacing w:after="250"/>
        <w:jc w:val="center"/>
      </w:pPr>
      <w:r>
        <w:rPr>
          <w:i/>
          <w:iCs/>
          <w:sz w:val="18"/>
          <w:szCs w:val="18"/>
        </w:rPr>
        <w:t xml:space="preserve">Figure 2 — Conteneurs Azure et AWS, interconnexions réelles</w:t>
      </w:r>
    </w:p>
    <w:p>
      <w:pPr>
        <w:spacing w:after="150"/>
      </w:pPr>
      <w:r>
        <w:rPr>
          <w:b w:val="false"/>
          <w:bCs w:val="false"/>
          <w:i w:val="false"/>
          <w:iCs w:val="false"/>
        </w:rPr>
        <w:t xml:space="preserve">Point notable, volontaire : les deux clouds ne sont pas symétriques dans leur mécanique interne (Azure utilise un Automation Runbook PowerShell, AWS une Lambda Python custom pour la rotation des secrets ; Azure route par hostname séparé, AWS par path-based routing sur un seul ALB) — même politique de sécurité, mécanismes différents parce que les plateformes n'offrent pas les mêmes primitives natives.</w:t>
      </w:r>
    </w:p>
    <w:p>
      <w:r>
        <w:br w:type="page"/>
      </w:r>
    </w:p>
    <w:p>
      <w:pPr>
        <w:pStyle w:val="Heading1"/>
        <w:spacing w:after="200" w:before="400"/>
      </w:pPr>
      <w:r>
        <w:t xml:space="preserve">4. Inventaire des modules Terraform (ArkCloudInfra)</w:t>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2400"/>
        <w:gridCol w:w="1200"/>
        <w:gridCol w:w="6480"/>
      </w:tblGrid>
      <w:tr>
        <w:tc>
          <w:tcPr>
            <w:tcW w:type="dxa" w:w="2400"/>
            <w:shd w:fill="DCE6F1" w:val="clear"/>
          </w:tcPr>
          <w:p>
            <w:r>
              <w:rPr>
                <w:b/>
                <w:bCs/>
              </w:rPr>
              <w:t xml:space="preserve">Module</w:t>
            </w:r>
          </w:p>
        </w:tc>
        <w:tc>
          <w:tcPr>
            <w:tcW w:type="dxa" w:w="1200"/>
            <w:shd w:fill="DCE6F1" w:val="clear"/>
          </w:tcPr>
          <w:p>
            <w:r>
              <w:rPr>
                <w:b/>
                <w:bCs/>
              </w:rPr>
              <w:t xml:space="preserve">Cloud</w:t>
            </w:r>
          </w:p>
        </w:tc>
        <w:tc>
          <w:tcPr>
            <w:tcW w:type="dxa" w:w="6480"/>
            <w:shd w:fill="DCE6F1" w:val="clear"/>
          </w:tcPr>
          <w:p>
            <w:r>
              <w:rPr>
                <w:b/>
                <w:bCs/>
              </w:rPr>
              <w:t xml:space="preserve">Rôle</w:t>
            </w:r>
          </w:p>
        </w:tc>
      </w:tr>
      <w:tr>
        <w:tc>
          <w:tcPr>
            <w:tcW w:type="dxa" w:w="2400"/>
          </w:tcPr>
          <w:p>
            <w:r>
              <w:rPr>
                <w:b w:val="false"/>
                <w:bCs w:val="false"/>
              </w:rPr>
              <w:t xml:space="preserve">resource_group</w:t>
            </w:r>
          </w:p>
        </w:tc>
        <w:tc>
          <w:tcPr>
            <w:tcW w:type="dxa" w:w="1200"/>
          </w:tcPr>
          <w:p>
            <w:r>
              <w:rPr>
                <w:b w:val="false"/>
                <w:bCs w:val="false"/>
              </w:rPr>
              <w:t xml:space="preserve">Azure</w:t>
            </w:r>
          </w:p>
        </w:tc>
        <w:tc>
          <w:tcPr>
            <w:tcW w:type="dxa" w:w="6480"/>
          </w:tcPr>
          <w:p>
            <w:r>
              <w:rPr>
                <w:b w:val="false"/>
                <w:bCs w:val="false"/>
              </w:rPr>
              <w:t xml:space="preserve">Groupe de ressources rg-arkcloud-dev</w:t>
            </w:r>
          </w:p>
        </w:tc>
      </w:tr>
      <w:tr>
        <w:tc>
          <w:tcPr>
            <w:tcW w:type="dxa" w:w="2400"/>
          </w:tcPr>
          <w:p>
            <w:r>
              <w:rPr>
                <w:b w:val="false"/>
                <w:bCs w:val="false"/>
              </w:rPr>
              <w:t xml:space="preserve">network</w:t>
            </w:r>
          </w:p>
        </w:tc>
        <w:tc>
          <w:tcPr>
            <w:tcW w:type="dxa" w:w="1200"/>
          </w:tcPr>
          <w:p>
            <w:r>
              <w:rPr>
                <w:b w:val="false"/>
                <w:bCs w:val="false"/>
              </w:rPr>
              <w:t xml:space="preserve">Azure</w:t>
            </w:r>
          </w:p>
        </w:tc>
        <w:tc>
          <w:tcPr>
            <w:tcW w:type="dxa" w:w="6480"/>
          </w:tcPr>
          <w:p>
            <w:r>
              <w:rPr>
                <w:b w:val="false"/>
                <w:bCs w:val="false"/>
              </w:rPr>
              <w:t xml:space="preserve">VNet, subnets, NSG</w:t>
            </w:r>
          </w:p>
        </w:tc>
      </w:tr>
      <w:tr>
        <w:tc>
          <w:tcPr>
            <w:tcW w:type="dxa" w:w="2400"/>
          </w:tcPr>
          <w:p>
            <w:r>
              <w:rPr>
                <w:b w:val="false"/>
                <w:bCs w:val="false"/>
              </w:rPr>
              <w:t xml:space="preserve">postgresql</w:t>
            </w:r>
          </w:p>
        </w:tc>
        <w:tc>
          <w:tcPr>
            <w:tcW w:type="dxa" w:w="1200"/>
          </w:tcPr>
          <w:p>
            <w:r>
              <w:rPr>
                <w:b w:val="false"/>
                <w:bCs w:val="false"/>
              </w:rPr>
              <w:t xml:space="preserve">Azure</w:t>
            </w:r>
          </w:p>
        </w:tc>
        <w:tc>
          <w:tcPr>
            <w:tcW w:type="dxa" w:w="6480"/>
          </w:tcPr>
          <w:p>
            <w:r>
              <w:rPr>
                <w:b w:val="false"/>
                <w:bCs w:val="false"/>
              </w:rPr>
              <w:t xml:space="preserve">PostgreSQL Flexible Server</w:t>
            </w:r>
          </w:p>
        </w:tc>
      </w:tr>
      <w:tr>
        <w:tc>
          <w:tcPr>
            <w:tcW w:type="dxa" w:w="2400"/>
          </w:tcPr>
          <w:p>
            <w:r>
              <w:rPr>
                <w:b w:val="false"/>
                <w:bCs w:val="false"/>
              </w:rPr>
              <w:t xml:space="preserve">key_vault</w:t>
            </w:r>
          </w:p>
        </w:tc>
        <w:tc>
          <w:tcPr>
            <w:tcW w:type="dxa" w:w="1200"/>
          </w:tcPr>
          <w:p>
            <w:r>
              <w:rPr>
                <w:b w:val="false"/>
                <w:bCs w:val="false"/>
              </w:rPr>
              <w:t xml:space="preserve">Azure</w:t>
            </w:r>
          </w:p>
        </w:tc>
        <w:tc>
          <w:tcPr>
            <w:tcW w:type="dxa" w:w="6480"/>
          </w:tcPr>
          <w:p>
            <w:r>
              <w:rPr>
                <w:b w:val="false"/>
                <w:bCs w:val="false"/>
              </w:rPr>
              <w:t xml:space="preserve">Coffre de secrets (RBAC, purge protection)</w:t>
            </w:r>
          </w:p>
        </w:tc>
      </w:tr>
      <w:tr>
        <w:tc>
          <w:tcPr>
            <w:tcW w:type="dxa" w:w="2400"/>
          </w:tcPr>
          <w:p>
            <w:r>
              <w:rPr>
                <w:b w:val="false"/>
                <w:bCs w:val="false"/>
              </w:rPr>
              <w:t xml:space="preserve">monitoring</w:t>
            </w:r>
          </w:p>
        </w:tc>
        <w:tc>
          <w:tcPr>
            <w:tcW w:type="dxa" w:w="1200"/>
          </w:tcPr>
          <w:p>
            <w:r>
              <w:rPr>
                <w:b w:val="false"/>
                <w:bCs w:val="false"/>
              </w:rPr>
              <w:t xml:space="preserve">Azure</w:t>
            </w:r>
          </w:p>
        </w:tc>
        <w:tc>
          <w:tcPr>
            <w:tcW w:type="dxa" w:w="6480"/>
          </w:tcPr>
          <w:p>
            <w:r>
              <w:rPr>
                <w:b w:val="false"/>
                <w:bCs w:val="false"/>
              </w:rPr>
              <w:t xml:space="preserve">Application Insights, Log Analytics, diagnostic settings</w:t>
            </w:r>
          </w:p>
        </w:tc>
      </w:tr>
      <w:tr>
        <w:tc>
          <w:tcPr>
            <w:tcW w:type="dxa" w:w="2400"/>
          </w:tcPr>
          <w:p>
            <w:r>
              <w:rPr>
                <w:b w:val="false"/>
                <w:bCs w:val="false"/>
              </w:rPr>
              <w:t xml:space="preserve">app_service_api / _web</w:t>
            </w:r>
          </w:p>
        </w:tc>
        <w:tc>
          <w:tcPr>
            <w:tcW w:type="dxa" w:w="1200"/>
          </w:tcPr>
          <w:p>
            <w:r>
              <w:rPr>
                <w:b w:val="false"/>
                <w:bCs w:val="false"/>
              </w:rPr>
              <w:t xml:space="preserve">Azure</w:t>
            </w:r>
          </w:p>
        </w:tc>
        <w:tc>
          <w:tcPr>
            <w:tcW w:type="dxa" w:w="6480"/>
          </w:tcPr>
          <w:p>
            <w:r>
              <w:rPr>
                <w:b w:val="false"/>
                <w:bCs w:val="false"/>
              </w:rPr>
              <w:t xml:space="preserve">App Services (API, Blazor)</w:t>
            </w:r>
          </w:p>
        </w:tc>
      </w:tr>
      <w:tr>
        <w:tc>
          <w:tcPr>
            <w:tcW w:type="dxa" w:w="2400"/>
          </w:tcPr>
          <w:p>
            <w:r>
              <w:rPr>
                <w:b w:val="false"/>
                <w:bCs w:val="false"/>
              </w:rPr>
              <w:t xml:space="preserve">keyvault_access_api</w:t>
            </w:r>
          </w:p>
        </w:tc>
        <w:tc>
          <w:tcPr>
            <w:tcW w:type="dxa" w:w="1200"/>
          </w:tcPr>
          <w:p>
            <w:r>
              <w:rPr>
                <w:b w:val="false"/>
                <w:bCs w:val="false"/>
              </w:rPr>
              <w:t xml:space="preserve">Azure</w:t>
            </w:r>
          </w:p>
        </w:tc>
        <w:tc>
          <w:tcPr>
            <w:tcW w:type="dxa" w:w="6480"/>
          </w:tcPr>
          <w:p>
            <w:r>
              <w:rPr>
                <w:b w:val="false"/>
                <w:bCs w:val="false"/>
              </w:rPr>
              <w:t xml:space="preserve">Accès RBAC de l'API au Key Vault</w:t>
            </w:r>
          </w:p>
        </w:tc>
      </w:tr>
      <w:tr>
        <w:tc>
          <w:tcPr>
            <w:tcW w:type="dxa" w:w="2400"/>
          </w:tcPr>
          <w:p>
            <w:r>
              <w:rPr>
                <w:b w:val="false"/>
                <w:bCs w:val="false"/>
              </w:rPr>
              <w:t xml:space="preserve">azure_cost_guard</w:t>
            </w:r>
          </w:p>
        </w:tc>
        <w:tc>
          <w:tcPr>
            <w:tcW w:type="dxa" w:w="1200"/>
          </w:tcPr>
          <w:p>
            <w:r>
              <w:rPr>
                <w:b w:val="false"/>
                <w:bCs w:val="false"/>
              </w:rPr>
              <w:t xml:space="preserve">Azure</w:t>
            </w:r>
          </w:p>
        </w:tc>
        <w:tc>
          <w:tcPr>
            <w:tcW w:type="dxa" w:w="6480"/>
          </w:tcPr>
          <w:p>
            <w:r>
              <w:rPr>
                <w:b w:val="false"/>
                <w:bCs w:val="false"/>
              </w:rPr>
              <w:t xml:space="preserve">Garde-fou budget (7 €/mois), arrêt auto Postgres</w:t>
            </w:r>
          </w:p>
        </w:tc>
      </w:tr>
      <w:tr>
        <w:tc>
          <w:tcPr>
            <w:tcW w:type="dxa" w:w="2400"/>
          </w:tcPr>
          <w:p>
            <w:r>
              <w:rPr>
                <w:b w:val="false"/>
                <w:bCs w:val="false"/>
              </w:rPr>
              <w:t xml:space="preserve">azure_secret_rotation</w:t>
            </w:r>
          </w:p>
        </w:tc>
        <w:tc>
          <w:tcPr>
            <w:tcW w:type="dxa" w:w="1200"/>
          </w:tcPr>
          <w:p>
            <w:r>
              <w:rPr>
                <w:b w:val="false"/>
                <w:bCs w:val="false"/>
              </w:rPr>
              <w:t xml:space="preserve">Azure</w:t>
            </w:r>
          </w:p>
        </w:tc>
        <w:tc>
          <w:tcPr>
            <w:tcW w:type="dxa" w:w="6480"/>
          </w:tcPr>
          <w:p>
            <w:r>
              <w:rPr>
                <w:b w:val="false"/>
                <w:bCs w:val="false"/>
              </w:rPr>
              <w:t xml:space="preserve">Automation Runbook, rotation Postgres 90j</w:t>
            </w:r>
          </w:p>
        </w:tc>
      </w:tr>
      <w:tr>
        <w:tc>
          <w:tcPr>
            <w:tcW w:type="dxa" w:w="2400"/>
          </w:tcPr>
          <w:p>
            <w:r>
              <w:rPr>
                <w:b w:val="false"/>
                <w:bCs w:val="false"/>
              </w:rPr>
              <w:t xml:space="preserve">flow_logs</w:t>
            </w:r>
          </w:p>
        </w:tc>
        <w:tc>
          <w:tcPr>
            <w:tcW w:type="dxa" w:w="1200"/>
          </w:tcPr>
          <w:p>
            <w:r>
              <w:rPr>
                <w:b w:val="false"/>
                <w:bCs w:val="false"/>
              </w:rPr>
              <w:t xml:space="preserve">Azure</w:t>
            </w:r>
          </w:p>
        </w:tc>
        <w:tc>
          <w:tcPr>
            <w:tcW w:type="dxa" w:w="6480"/>
          </w:tcPr>
          <w:p>
            <w:r>
              <w:rPr>
                <w:b w:val="false"/>
                <w:bCs w:val="false"/>
              </w:rPr>
              <w:t xml:space="preserve">NSG flow logs → Storage Account</w:t>
            </w:r>
          </w:p>
        </w:tc>
      </w:tr>
      <w:tr>
        <w:tc>
          <w:tcPr>
            <w:tcW w:type="dxa" w:w="2400"/>
          </w:tcPr>
          <w:p>
            <w:r>
              <w:rPr>
                <w:b w:val="false"/>
                <w:bCs w:val="false"/>
              </w:rPr>
              <w:t xml:space="preserve">azure_defender</w:t>
            </w:r>
          </w:p>
        </w:tc>
        <w:tc>
          <w:tcPr>
            <w:tcW w:type="dxa" w:w="1200"/>
          </w:tcPr>
          <w:p>
            <w:r>
              <w:rPr>
                <w:b w:val="false"/>
                <w:bCs w:val="false"/>
              </w:rPr>
              <w:t xml:space="preserve">Azure</w:t>
            </w:r>
          </w:p>
        </w:tc>
        <w:tc>
          <w:tcPr>
            <w:tcW w:type="dxa" w:w="6480"/>
          </w:tcPr>
          <w:p>
            <w:r>
              <w:rPr>
                <w:b w:val="false"/>
                <w:bCs w:val="false"/>
              </w:rPr>
              <w:t xml:space="preserve">Microsoft Defender for Cloud</w:t>
            </w:r>
          </w:p>
        </w:tc>
      </w:tr>
      <w:tr>
        <w:tc>
          <w:tcPr>
            <w:tcW w:type="dxa" w:w="2400"/>
          </w:tcPr>
          <w:p>
            <w:r>
              <w:rPr>
                <w:b w:val="false"/>
                <w:bCs w:val="false"/>
              </w:rPr>
              <w:t xml:space="preserve">aws_vpc</w:t>
            </w:r>
          </w:p>
        </w:tc>
        <w:tc>
          <w:tcPr>
            <w:tcW w:type="dxa" w:w="1200"/>
          </w:tcPr>
          <w:p>
            <w:r>
              <w:rPr>
                <w:b w:val="false"/>
                <w:bCs w:val="false"/>
              </w:rPr>
              <w:t xml:space="preserve">AWS</w:t>
            </w:r>
          </w:p>
        </w:tc>
        <w:tc>
          <w:tcPr>
            <w:tcW w:type="dxa" w:w="6480"/>
          </w:tcPr>
          <w:p>
            <w:r>
              <w:rPr>
                <w:b w:val="false"/>
                <w:bCs w:val="false"/>
              </w:rPr>
              <w:t xml:space="preserve">VPC, subnets publics/privés, NAT Gateway</w:t>
            </w:r>
          </w:p>
        </w:tc>
      </w:tr>
      <w:tr>
        <w:tc>
          <w:tcPr>
            <w:tcW w:type="dxa" w:w="2400"/>
          </w:tcPr>
          <w:p>
            <w:r>
              <w:rPr>
                <w:b w:val="false"/>
                <w:bCs w:val="false"/>
              </w:rPr>
              <w:t xml:space="preserve">aws_security</w:t>
            </w:r>
          </w:p>
        </w:tc>
        <w:tc>
          <w:tcPr>
            <w:tcW w:type="dxa" w:w="1200"/>
          </w:tcPr>
          <w:p>
            <w:r>
              <w:rPr>
                <w:b w:val="false"/>
                <w:bCs w:val="false"/>
              </w:rPr>
              <w:t xml:space="preserve">AWS</w:t>
            </w:r>
          </w:p>
        </w:tc>
        <w:tc>
          <w:tcPr>
            <w:tcW w:type="dxa" w:w="6480"/>
          </w:tcPr>
          <w:p>
            <w:r>
              <w:rPr>
                <w:b w:val="false"/>
                <w:bCs w:val="false"/>
              </w:rPr>
              <w:t xml:space="preserve">Security groups (ALB, ECS, base)</w:t>
            </w:r>
          </w:p>
        </w:tc>
      </w:tr>
      <w:tr>
        <w:tc>
          <w:tcPr>
            <w:tcW w:type="dxa" w:w="2400"/>
          </w:tcPr>
          <w:p>
            <w:r>
              <w:rPr>
                <w:b w:val="false"/>
                <w:bCs w:val="false"/>
              </w:rPr>
              <w:t xml:space="preserve">aws_rds</w:t>
            </w:r>
          </w:p>
        </w:tc>
        <w:tc>
          <w:tcPr>
            <w:tcW w:type="dxa" w:w="1200"/>
          </w:tcPr>
          <w:p>
            <w:r>
              <w:rPr>
                <w:b w:val="false"/>
                <w:bCs w:val="false"/>
              </w:rPr>
              <w:t xml:space="preserve">AWS</w:t>
            </w:r>
          </w:p>
        </w:tc>
        <w:tc>
          <w:tcPr>
            <w:tcW w:type="dxa" w:w="6480"/>
          </w:tcPr>
          <w:p>
            <w:r>
              <w:rPr>
                <w:b w:val="false"/>
                <w:bCs w:val="false"/>
              </w:rPr>
              <w:t xml:space="preserve">RDS PostgreSQL</w:t>
            </w:r>
          </w:p>
        </w:tc>
      </w:tr>
      <w:tr>
        <w:tc>
          <w:tcPr>
            <w:tcW w:type="dxa" w:w="2400"/>
          </w:tcPr>
          <w:p>
            <w:r>
              <w:rPr>
                <w:b w:val="false"/>
                <w:bCs w:val="false"/>
              </w:rPr>
              <w:t xml:space="preserve">aws_secrets</w:t>
            </w:r>
          </w:p>
        </w:tc>
        <w:tc>
          <w:tcPr>
            <w:tcW w:type="dxa" w:w="1200"/>
          </w:tcPr>
          <w:p>
            <w:r>
              <w:rPr>
                <w:b w:val="false"/>
                <w:bCs w:val="false"/>
              </w:rPr>
              <w:t xml:space="preserve">AWS</w:t>
            </w:r>
          </w:p>
        </w:tc>
        <w:tc>
          <w:tcPr>
            <w:tcW w:type="dxa" w:w="6480"/>
          </w:tcPr>
          <w:p>
            <w:r>
              <w:rPr>
                <w:b w:val="false"/>
                <w:bCs w:val="false"/>
              </w:rPr>
              <w:t xml:space="preserve">Secrets Manager (JWT, connexion DB)</w:t>
            </w:r>
          </w:p>
        </w:tc>
      </w:tr>
      <w:tr>
        <w:tc>
          <w:tcPr>
            <w:tcW w:type="dxa" w:w="2400"/>
          </w:tcPr>
          <w:p>
            <w:r>
              <w:rPr>
                <w:b w:val="false"/>
                <w:bCs w:val="false"/>
              </w:rPr>
              <w:t xml:space="preserve">aws_ecr</w:t>
            </w:r>
          </w:p>
        </w:tc>
        <w:tc>
          <w:tcPr>
            <w:tcW w:type="dxa" w:w="1200"/>
          </w:tcPr>
          <w:p>
            <w:r>
              <w:rPr>
                <w:b w:val="false"/>
                <w:bCs w:val="false"/>
              </w:rPr>
              <w:t xml:space="preserve">AWS</w:t>
            </w:r>
          </w:p>
        </w:tc>
        <w:tc>
          <w:tcPr>
            <w:tcW w:type="dxa" w:w="6480"/>
          </w:tcPr>
          <w:p>
            <w:r>
              <w:rPr>
                <w:b w:val="false"/>
                <w:bCs w:val="false"/>
              </w:rPr>
              <w:t xml:space="preserve">Registre d'images (provisoire, ADR-0002)</w:t>
            </w:r>
          </w:p>
        </w:tc>
      </w:tr>
      <w:tr>
        <w:tc>
          <w:tcPr>
            <w:tcW w:type="dxa" w:w="2400"/>
          </w:tcPr>
          <w:p>
            <w:r>
              <w:rPr>
                <w:b w:val="false"/>
                <w:bCs w:val="false"/>
              </w:rPr>
              <w:t xml:space="preserve">aws_ecs</w:t>
            </w:r>
          </w:p>
        </w:tc>
        <w:tc>
          <w:tcPr>
            <w:tcW w:type="dxa" w:w="1200"/>
          </w:tcPr>
          <w:p>
            <w:r>
              <w:rPr>
                <w:b w:val="false"/>
                <w:bCs w:val="false"/>
              </w:rPr>
              <w:t xml:space="preserve">AWS</w:t>
            </w:r>
          </w:p>
        </w:tc>
        <w:tc>
          <w:tcPr>
            <w:tcW w:type="dxa" w:w="6480"/>
          </w:tcPr>
          <w:p>
            <w:r>
              <w:rPr>
                <w:b w:val="false"/>
                <w:bCs w:val="false"/>
              </w:rPr>
              <w:t xml:space="preserve">Cluster ECS Fargate</w:t>
            </w:r>
          </w:p>
        </w:tc>
      </w:tr>
      <w:tr>
        <w:tc>
          <w:tcPr>
            <w:tcW w:type="dxa" w:w="2400"/>
          </w:tcPr>
          <w:p>
            <w:r>
              <w:rPr>
                <w:b w:val="false"/>
                <w:bCs w:val="false"/>
              </w:rPr>
              <w:t xml:space="preserve">aws_alb</w:t>
            </w:r>
          </w:p>
        </w:tc>
        <w:tc>
          <w:tcPr>
            <w:tcW w:type="dxa" w:w="1200"/>
          </w:tcPr>
          <w:p>
            <w:r>
              <w:rPr>
                <w:b w:val="false"/>
                <w:bCs w:val="false"/>
              </w:rPr>
              <w:t xml:space="preserve">AWS</w:t>
            </w:r>
          </w:p>
        </w:tc>
        <w:tc>
          <w:tcPr>
            <w:tcW w:type="dxa" w:w="6480"/>
          </w:tcPr>
          <w:p>
            <w:r>
              <w:rPr>
                <w:b w:val="false"/>
                <w:bCs w:val="false"/>
              </w:rPr>
              <w:t xml:space="preserve">Application Load Balancer, TLS, logs d'accès S3 (Sprint 6)</w:t>
            </w:r>
          </w:p>
        </w:tc>
      </w:tr>
      <w:tr>
        <w:tc>
          <w:tcPr>
            <w:tcW w:type="dxa" w:w="2400"/>
          </w:tcPr>
          <w:p>
            <w:r>
              <w:rPr>
                <w:b w:val="false"/>
                <w:bCs w:val="false"/>
              </w:rPr>
              <w:t xml:space="preserve">aws_ecs_service_api / _web</w:t>
            </w:r>
          </w:p>
        </w:tc>
        <w:tc>
          <w:tcPr>
            <w:tcW w:type="dxa" w:w="1200"/>
          </w:tcPr>
          <w:p>
            <w:r>
              <w:rPr>
                <w:b w:val="false"/>
                <w:bCs w:val="false"/>
              </w:rPr>
              <w:t xml:space="preserve">AWS</w:t>
            </w:r>
          </w:p>
        </w:tc>
        <w:tc>
          <w:tcPr>
            <w:tcW w:type="dxa" w:w="6480"/>
          </w:tcPr>
          <w:p>
            <w:r>
              <w:rPr>
                <w:b w:val="false"/>
                <w:bCs w:val="false"/>
              </w:rPr>
              <w:t xml:space="preserve">Services ECS (API, Web)</w:t>
            </w:r>
          </w:p>
        </w:tc>
      </w:tr>
      <w:tr>
        <w:tc>
          <w:tcPr>
            <w:tcW w:type="dxa" w:w="2400"/>
          </w:tcPr>
          <w:p>
            <w:r>
              <w:rPr>
                <w:b w:val="false"/>
                <w:bCs w:val="false"/>
              </w:rPr>
              <w:t xml:space="preserve">aws_cloudtrail</w:t>
            </w:r>
          </w:p>
        </w:tc>
        <w:tc>
          <w:tcPr>
            <w:tcW w:type="dxa" w:w="1200"/>
          </w:tcPr>
          <w:p>
            <w:r>
              <w:rPr>
                <w:b w:val="false"/>
                <w:bCs w:val="false"/>
              </w:rPr>
              <w:t xml:space="preserve">AWS</w:t>
            </w:r>
          </w:p>
        </w:tc>
        <w:tc>
          <w:tcPr>
            <w:tcW w:type="dxa" w:w="6480"/>
          </w:tcPr>
          <w:p>
            <w:r>
              <w:rPr>
                <w:b w:val="false"/>
                <w:bCs w:val="false"/>
              </w:rPr>
              <w:t xml:space="preserve">Audit trail, bucket S3 dédié</w:t>
            </w:r>
          </w:p>
        </w:tc>
      </w:tr>
      <w:tr>
        <w:tc>
          <w:tcPr>
            <w:tcW w:type="dxa" w:w="2400"/>
          </w:tcPr>
          <w:p>
            <w:r>
              <w:rPr>
                <w:b w:val="false"/>
                <w:bCs w:val="false"/>
              </w:rPr>
              <w:t xml:space="preserve">aws_monitoring</w:t>
            </w:r>
          </w:p>
        </w:tc>
        <w:tc>
          <w:tcPr>
            <w:tcW w:type="dxa" w:w="1200"/>
          </w:tcPr>
          <w:p>
            <w:r>
              <w:rPr>
                <w:b w:val="false"/>
                <w:bCs w:val="false"/>
              </w:rPr>
              <w:t xml:space="preserve">AWS</w:t>
            </w:r>
          </w:p>
        </w:tc>
        <w:tc>
          <w:tcPr>
            <w:tcW w:type="dxa" w:w="6480"/>
          </w:tcPr>
          <w:p>
            <w:r>
              <w:rPr>
                <w:b w:val="false"/>
                <w:bCs w:val="false"/>
              </w:rPr>
              <w:t xml:space="preserve">CloudWatch, alarmes, dashboard, SNS</w:t>
            </w:r>
          </w:p>
        </w:tc>
      </w:tr>
      <w:tr>
        <w:tc>
          <w:tcPr>
            <w:tcW w:type="dxa" w:w="2400"/>
          </w:tcPr>
          <w:p>
            <w:r>
              <w:rPr>
                <w:b w:val="false"/>
                <w:bCs w:val="false"/>
              </w:rPr>
              <w:t xml:space="preserve">aws_secret_rotation</w:t>
            </w:r>
          </w:p>
        </w:tc>
        <w:tc>
          <w:tcPr>
            <w:tcW w:type="dxa" w:w="1200"/>
          </w:tcPr>
          <w:p>
            <w:r>
              <w:rPr>
                <w:b w:val="false"/>
                <w:bCs w:val="false"/>
              </w:rPr>
              <w:t xml:space="preserve">AWS</w:t>
            </w:r>
          </w:p>
        </w:tc>
        <w:tc>
          <w:tcPr>
            <w:tcW w:type="dxa" w:w="6480"/>
          </w:tcPr>
          <w:p>
            <w:r>
              <w:rPr>
                <w:b w:val="false"/>
                <w:bCs w:val="false"/>
              </w:rPr>
              <w:t xml:space="preserve">Lambda custom, rotation Postgres 90j</w:t>
            </w:r>
          </w:p>
        </w:tc>
      </w:tr>
      <w:tr>
        <w:tc>
          <w:tcPr>
            <w:tcW w:type="dxa" w:w="2400"/>
          </w:tcPr>
          <w:p>
            <w:r>
              <w:rPr>
                <w:b w:val="false"/>
                <w:bCs w:val="false"/>
              </w:rPr>
              <w:t xml:space="preserve">aws_guardduty</w:t>
            </w:r>
          </w:p>
        </w:tc>
        <w:tc>
          <w:tcPr>
            <w:tcW w:type="dxa" w:w="1200"/>
          </w:tcPr>
          <w:p>
            <w:r>
              <w:rPr>
                <w:b w:val="false"/>
                <w:bCs w:val="false"/>
              </w:rPr>
              <w:t xml:space="preserve">AWS</w:t>
            </w:r>
          </w:p>
        </w:tc>
        <w:tc>
          <w:tcPr>
            <w:tcW w:type="dxa" w:w="6480"/>
          </w:tcPr>
          <w:p>
            <w:r>
              <w:rPr>
                <w:b w:val="false"/>
                <w:bCs w:val="false"/>
              </w:rPr>
              <w:t xml:space="preserve">Détection de menaces (compte/région)</w:t>
            </w:r>
          </w:p>
        </w:tc>
      </w:tr>
    </w:tbl>
    <w:p>
      <w:pPr>
        <w:spacing w:after="200"/>
      </w:pPr>
    </w:p>
    <w:p>
      <w:pPr>
        <w:spacing w:after="150"/>
      </w:pPr>
      <w:r>
        <w:rPr>
          <w:b w:val="false"/>
          <w:bCs w:val="false"/>
          <w:i w:val="false"/>
          <w:iCs w:val="false"/>
        </w:rPr>
        <w:t xml:space="preserve">24 modules au total, répartis en deux environnements indépendants (environments/dev, un seul à ce jour) mais un seul state Terraform partagé entre les deux clouds.</w:t>
      </w:r>
    </w:p>
    <w:p>
      <w:r>
        <w:br w:type="page"/>
      </w:r>
    </w:p>
    <w:p>
      <w:pPr>
        <w:pStyle w:val="Heading1"/>
        <w:spacing w:after="200" w:before="400"/>
      </w:pPr>
      <w:r>
        <w:t xml:space="preserve">5. Flux détaillés (STRIDE, Sprint 6)</w:t>
      </w:r>
    </w:p>
    <w:p>
      <w:pPr>
        <w:spacing w:after="150"/>
      </w:pPr>
      <w:r>
        <w:rPr>
          <w:b w:val="false"/>
          <w:bCs w:val="false"/>
          <w:i w:val="false"/>
          <w:iCs w:val="false"/>
        </w:rPr>
        <w:t xml:space="preserve">Chaque flux ci-dessous correspond à une ligne du threat model (docs/threat-model-stride.md) — la séquence complète d'une requête, de bout en bout, avec les frontières de confiance traversées.</w:t>
      </w:r>
    </w:p>
    <w:p>
      <w:pPr>
        <w:pStyle w:val="Heading2"/>
        <w:spacing w:after="150" w:before="300"/>
      </w:pPr>
      <w:r>
        <w:t xml:space="preserve">5.1 Flux 1 — Navigateur vers ALB / App Service</w:t>
      </w:r>
    </w:p>
    <w:p>
      <w:pPr>
        <w:spacing w:after="150" w:before="150"/>
        <w:jc w:val="center"/>
      </w:pPr>
      <w:r>
        <w:drawing>
          <wp:inline distT="0" distB="0" distL="0" distR="0">
            <wp:extent cx="4191000" cy="57340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 cstate="none"/>
                    <a:srcRect/>
                    <a:stretch>
                      <a:fillRect/>
                    </a:stretch>
                  </pic:blipFill>
                  <pic:spPr bwMode="auto">
                    <a:xfrm>
                      <a:off x="0" y="0"/>
                      <a:ext cx="4191000" cy="5734050"/>
                    </a:xfrm>
                    <a:prstGeom prst="rect">
                      <a:avLst/>
                    </a:prstGeom>
                  </pic:spPr>
                </pic:pic>
              </a:graphicData>
            </a:graphic>
          </wp:inline>
        </w:drawing>
      </w:r>
    </w:p>
    <w:p>
      <w:pPr>
        <w:spacing w:after="250"/>
        <w:jc w:val="center"/>
      </w:pPr>
      <w:r>
        <w:rPr>
          <w:i/>
          <w:iCs/>
          <w:sz w:val="18"/>
          <w:szCs w:val="18"/>
        </w:rPr>
        <w:t xml:space="preserve">Figure 3 — Flux navigateur, incluant les logs d'accès ALB (Sprint 6)</w:t>
      </w:r>
    </w:p>
    <w:p>
      <w:r>
        <w:br w:type="page"/>
      </w:r>
    </w:p>
    <w:p>
      <w:pPr>
        <w:pStyle w:val="Heading2"/>
        <w:spacing w:after="150" w:before="300"/>
      </w:pPr>
      <w:r>
        <w:t xml:space="preserve">5.2 Flux 4 — CI vers cloud (OIDC, déploiement)</w:t>
      </w:r>
    </w:p>
    <w:p>
      <w:pPr>
        <w:spacing w:after="150" w:before="150"/>
        <w:jc w:val="center"/>
      </w:pPr>
      <w:r>
        <w:drawing>
          <wp:inline distT="0" distB="0" distL="0" distR="0">
            <wp:extent cx="4572000" cy="38100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 cstate="none"/>
                    <a:srcRect/>
                    <a:stretch>
                      <a:fillRect/>
                    </a:stretch>
                  </pic:blipFill>
                  <pic:spPr bwMode="auto">
                    <a:xfrm>
                      <a:off x="0" y="0"/>
                      <a:ext cx="4572000" cy="3810000"/>
                    </a:xfrm>
                    <a:prstGeom prst="rect">
                      <a:avLst/>
                    </a:prstGeom>
                  </pic:spPr>
                </pic:pic>
              </a:graphicData>
            </a:graphic>
          </wp:inline>
        </w:drawing>
      </w:r>
    </w:p>
    <w:p>
      <w:pPr>
        <w:spacing w:after="250"/>
        <w:jc w:val="center"/>
      </w:pPr>
      <w:r>
        <w:rPr>
          <w:i/>
          <w:iCs/>
          <w:sz w:val="18"/>
          <w:szCs w:val="18"/>
        </w:rPr>
        <w:t xml:space="preserve">Figure 4 — Authentification OIDC et déploiement Terraform</w:t>
      </w:r>
    </w:p>
    <w:p>
      <w:pPr>
        <w:pStyle w:val="Heading2"/>
        <w:spacing w:after="150" w:before="300"/>
      </w:pPr>
      <w:r>
        <w:t xml:space="preserve">5.3 Flux 5 — Rotation automatique des secrets</w:t>
      </w:r>
    </w:p>
    <w:p>
      <w:pPr>
        <w:spacing w:after="150" w:before="150"/>
        <w:jc w:val="center"/>
      </w:pPr>
      <w:r>
        <w:drawing>
          <wp:inline distT="0" distB="0" distL="0" distR="0">
            <wp:extent cx="4572000" cy="301942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1" cstate="none"/>
                    <a:srcRect/>
                    <a:stretch>
                      <a:fillRect/>
                    </a:stretch>
                  </pic:blipFill>
                  <pic:spPr bwMode="auto">
                    <a:xfrm>
                      <a:off x="0" y="0"/>
                      <a:ext cx="4572000" cy="3019425"/>
                    </a:xfrm>
                    <a:prstGeom prst="rect">
                      <a:avLst/>
                    </a:prstGeom>
                  </pic:spPr>
                </pic:pic>
              </a:graphicData>
            </a:graphic>
          </wp:inline>
        </w:drawing>
      </w:r>
    </w:p>
    <w:p>
      <w:pPr>
        <w:spacing w:after="250"/>
        <w:jc w:val="center"/>
      </w:pPr>
      <w:r>
        <w:rPr>
          <w:i/>
          <w:iCs/>
          <w:sz w:val="18"/>
          <w:szCs w:val="18"/>
        </w:rPr>
        <w:t xml:space="preserve">Figure 5 — Rotation automatique, test avant bascule</w:t>
      </w:r>
    </w:p>
    <w:p>
      <w:r>
        <w:br w:type="page"/>
      </w:r>
    </w:p>
    <w:p>
      <w:pPr>
        <w:pStyle w:val="Heading2"/>
        <w:spacing w:after="150" w:before="300"/>
      </w:pPr>
      <w:r>
        <w:t xml:space="preserve">5.4 Résumé STRIDE — état réel au 27/08/2026</w:t>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2400"/>
        <w:gridCol w:w="4680"/>
        <w:gridCol w:w="3000"/>
      </w:tblGrid>
      <w:tr>
        <w:tc>
          <w:tcPr>
            <w:tcW w:type="dxa" w:w="2400"/>
            <w:shd w:fill="DCE6F1" w:val="clear"/>
          </w:tcPr>
          <w:p>
            <w:r>
              <w:rPr>
                <w:b/>
                <w:bCs/>
              </w:rPr>
              <w:t xml:space="preserve">Flux</w:t>
            </w:r>
          </w:p>
        </w:tc>
        <w:tc>
          <w:tcPr>
            <w:tcW w:type="dxa" w:w="4680"/>
            <w:shd w:fill="DCE6F1" w:val="clear"/>
          </w:tcPr>
          <w:p>
            <w:r>
              <w:rPr>
                <w:b/>
                <w:bCs/>
              </w:rPr>
              <w:t xml:space="preserve">Menace</w:t>
            </w:r>
          </w:p>
        </w:tc>
        <w:tc>
          <w:tcPr>
            <w:tcW w:type="dxa" w:w="3000"/>
            <w:shd w:fill="DCE6F1" w:val="clear"/>
          </w:tcPr>
          <w:p>
            <w:r>
              <w:rPr>
                <w:b/>
                <w:bCs/>
              </w:rPr>
              <w:t xml:space="preserve">État</w:t>
            </w:r>
          </w:p>
        </w:tc>
      </w:tr>
      <w:tr>
        <w:tc>
          <w:tcPr>
            <w:tcW w:type="dxa" w:w="2400"/>
          </w:tcPr>
          <w:p>
            <w:r>
              <w:rPr>
                <w:b w:val="false"/>
                <w:bCs w:val="false"/>
              </w:rPr>
              <w:t xml:space="preserve">1. Navigateur → ALB/App Service</w:t>
            </w:r>
          </w:p>
        </w:tc>
        <w:tc>
          <w:tcPr>
            <w:tcW w:type="dxa" w:w="4680"/>
          </w:tcPr>
          <w:p>
            <w:r>
              <w:rPr>
                <w:b w:val="false"/>
                <w:bCs w:val="false"/>
              </w:rPr>
              <w:t xml:space="preserve">Certificat auto-signé (AWS)</w:t>
            </w:r>
          </w:p>
        </w:tc>
        <w:tc>
          <w:tcPr>
            <w:tcW w:type="dxa" w:w="3000"/>
          </w:tcPr>
          <w:p>
            <w:r>
              <w:rPr>
                <w:b w:val="false"/>
                <w:bCs w:val="false"/>
              </w:rPr>
              <w:t xml:space="preserve">Acceptée — ADR-0003</w:t>
            </w:r>
          </w:p>
        </w:tc>
      </w:tr>
      <w:tr>
        <w:tc>
          <w:tcPr>
            <w:tcW w:type="dxa" w:w="2400"/>
          </w:tcPr>
          <w:p>
            <w:r>
              <w:rPr>
                <w:b w:val="false"/>
                <w:bCs w:val="false"/>
              </w:rPr>
              <w:t xml:space="preserve">1. Navigateur → ALB/App Service</w:t>
            </w:r>
          </w:p>
        </w:tc>
        <w:tc>
          <w:tcPr>
            <w:tcW w:type="dxa" w:w="4680"/>
          </w:tcPr>
          <w:p>
            <w:r>
              <w:rPr>
                <w:b w:val="false"/>
                <w:bCs w:val="false"/>
              </w:rPr>
              <w:t xml:space="preserve">Logs d'accès ALB absents</w:t>
            </w:r>
          </w:p>
        </w:tc>
        <w:tc>
          <w:tcPr>
            <w:tcW w:type="dxa" w:w="3000"/>
          </w:tcPr>
          <w:p>
            <w:r>
              <w:rPr>
                <w:b w:val="false"/>
                <w:bCs w:val="false"/>
              </w:rPr>
              <w:t xml:space="preserve">Mitigée (Sprint 6)</w:t>
            </w:r>
          </w:p>
        </w:tc>
      </w:tr>
      <w:tr>
        <w:tc>
          <w:tcPr>
            <w:tcW w:type="dxa" w:w="2400"/>
          </w:tcPr>
          <w:p>
            <w:r>
              <w:rPr>
                <w:b w:val="false"/>
                <w:bCs w:val="false"/>
              </w:rPr>
              <w:t xml:space="preserve">1. Navigateur → ALB/App Service</w:t>
            </w:r>
          </w:p>
        </w:tc>
        <w:tc>
          <w:tcPr>
            <w:tcW w:type="dxa" w:w="4680"/>
          </w:tcPr>
          <w:p>
            <w:r>
              <w:rPr>
                <w:b w:val="false"/>
                <w:bCs w:val="false"/>
              </w:rPr>
              <w:t xml:space="preserve">Pas de rate limiting infra</w:t>
            </w:r>
          </w:p>
        </w:tc>
        <w:tc>
          <w:tcPr>
            <w:tcW w:type="dxa" w:w="3000"/>
          </w:tcPr>
          <w:p>
            <w:r>
              <w:rPr>
                <w:b w:val="false"/>
                <w:bCs w:val="false"/>
              </w:rPr>
              <w:t xml:space="preserve">Acceptée pour l'instant — ADR-0008</w:t>
            </w:r>
          </w:p>
        </w:tc>
      </w:tr>
      <w:tr>
        <w:tc>
          <w:tcPr>
            <w:tcW w:type="dxa" w:w="2400"/>
          </w:tcPr>
          <w:p>
            <w:r>
              <w:rPr>
                <w:b w:val="false"/>
                <w:bCs w:val="false"/>
              </w:rPr>
              <w:t xml:space="preserve">3. API → base</w:t>
            </w:r>
          </w:p>
        </w:tc>
        <w:tc>
          <w:tcPr>
            <w:tcW w:type="dxa" w:w="4680"/>
          </w:tcPr>
          <w:p>
            <w:r>
              <w:rPr>
                <w:b w:val="false"/>
                <w:bCs w:val="false"/>
              </w:rPr>
              <w:t xml:space="preserve">Compte applicatif trop privilégié</w:t>
            </w:r>
          </w:p>
        </w:tc>
        <w:tc>
          <w:tcPr>
            <w:tcW w:type="dxa" w:w="3000"/>
          </w:tcPr>
          <w:p>
            <w:r>
              <w:rPr>
                <w:b w:val="false"/>
                <w:bCs w:val="false"/>
              </w:rPr>
              <w:t xml:space="preserve">En cours de correction (rôle arkcloud_app)</w:t>
            </w:r>
          </w:p>
        </w:tc>
      </w:tr>
      <w:tr>
        <w:tc>
          <w:tcPr>
            <w:tcW w:type="dxa" w:w="2400"/>
          </w:tcPr>
          <w:p>
            <w:r>
              <w:rPr>
                <w:b w:val="false"/>
                <w:bCs w:val="false"/>
              </w:rPr>
              <w:t xml:space="preserve">3. API → base</w:t>
            </w:r>
          </w:p>
        </w:tc>
        <w:tc>
          <w:tcPr>
            <w:tcW w:type="dxa" w:w="4680"/>
          </w:tcPr>
          <w:p>
            <w:r>
              <w:rPr>
                <w:b w:val="false"/>
                <w:bCs w:val="false"/>
              </w:rPr>
              <w:t xml:space="preserve">Données personnelles dans les logs</w:t>
            </w:r>
          </w:p>
        </w:tc>
        <w:tc>
          <w:tcPr>
            <w:tcW w:type="dxa" w:w="3000"/>
          </w:tcPr>
          <w:p>
            <w:r>
              <w:rPr>
                <w:b w:val="false"/>
                <w:bCs w:val="false"/>
              </w:rPr>
              <w:t xml:space="preserve">Mitigée (Sprint 6, AuthService.cs)</w:t>
            </w:r>
          </w:p>
        </w:tc>
      </w:tr>
      <w:tr>
        <w:tc>
          <w:tcPr>
            <w:tcW w:type="dxa" w:w="2400"/>
          </w:tcPr>
          <w:p>
            <w:r>
              <w:rPr>
                <w:b w:val="false"/>
                <w:bCs w:val="false"/>
              </w:rPr>
              <w:t xml:space="preserve">4. CI → cloud</w:t>
            </w:r>
          </w:p>
        </w:tc>
        <w:tc>
          <w:tcPr>
            <w:tcW w:type="dxa" w:w="4680"/>
          </w:tcPr>
          <w:p>
            <w:r>
              <w:rPr>
                <w:b w:val="false"/>
                <w:bCs w:val="false"/>
              </w:rPr>
              <w:t xml:space="preserve">GHCR_PAT, secret humain</w:t>
            </w:r>
          </w:p>
        </w:tc>
        <w:tc>
          <w:tcPr>
            <w:tcW w:type="dxa" w:w="3000"/>
          </w:tcPr>
          <w:p>
            <w:r>
              <w:rPr>
                <w:b w:val="false"/>
                <w:bCs w:val="false"/>
              </w:rPr>
              <w:t xml:space="preserve">Acceptée — ADR-0007, rotation automatisée depuis Sprint 6</w:t>
            </w:r>
          </w:p>
        </w:tc>
      </w:tr>
      <w:tr>
        <w:tc>
          <w:tcPr>
            <w:tcW w:type="dxa" w:w="2400"/>
          </w:tcPr>
          <w:p>
            <w:r>
              <w:rPr>
                <w:b w:val="false"/>
                <w:bCs w:val="false"/>
              </w:rPr>
              <w:t xml:space="preserve">5. Rotation → base</w:t>
            </w:r>
          </w:p>
        </w:tc>
        <w:tc>
          <w:tcPr>
            <w:tcW w:type="dxa" w:w="4680"/>
          </w:tcPr>
          <w:p>
            <w:r>
              <w:rPr>
                <w:b w:val="false"/>
                <w:bCs w:val="false"/>
              </w:rPr>
              <w:t xml:space="preserve">Restaurabilité après rotation jamais testée</w:t>
            </w:r>
          </w:p>
        </w:tc>
        <w:tc>
          <w:tcPr>
            <w:tcW w:type="dxa" w:w="3000"/>
          </w:tcPr>
          <w:p>
            <w:r>
              <w:rPr>
                <w:b w:val="false"/>
                <w:bCs w:val="false"/>
              </w:rPr>
              <w:t xml:space="preserve">À traiter</w:t>
            </w:r>
          </w:p>
        </w:tc>
      </w:tr>
    </w:tbl>
    <w:p>
      <w:r>
        <w:br w:type="page"/>
      </w:r>
    </w:p>
    <w:p>
      <w:pPr>
        <w:pStyle w:val="Heading1"/>
        <w:spacing w:after="200" w:before="400"/>
      </w:pPr>
      <w:r>
        <w:t xml:space="preserve">6. Pipelines CI/CD</w:t>
      </w:r>
    </w:p>
    <w:p>
      <w:pPr>
        <w:spacing w:after="150" w:before="150"/>
        <w:jc w:val="center"/>
      </w:pPr>
      <w:r>
        <w:drawing>
          <wp:inline distT="0" distB="0" distL="0" distR="0">
            <wp:extent cx="5905500" cy="24955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2" cstate="none"/>
                    <a:srcRect/>
                    <a:stretch>
                      <a:fillRect/>
                    </a:stretch>
                  </pic:blipFill>
                  <pic:spPr bwMode="auto">
                    <a:xfrm>
                      <a:off x="0" y="0"/>
                      <a:ext cx="5905500" cy="2495550"/>
                    </a:xfrm>
                    <a:prstGeom prst="rect">
                      <a:avLst/>
                    </a:prstGeom>
                  </pic:spPr>
                </pic:pic>
              </a:graphicData>
            </a:graphic>
          </wp:inline>
        </w:drawing>
      </w:r>
    </w:p>
    <w:p>
      <w:pPr>
        <w:spacing w:after="250"/>
        <w:jc w:val="center"/>
      </w:pPr>
      <w:r>
        <w:rPr>
          <w:i/>
          <w:iCs/>
          <w:sz w:val="18"/>
          <w:szCs w:val="18"/>
        </w:rPr>
        <w:t xml:space="preserve">Figure 6 — Workflows GitHub Actions, ArkCloud et ArkCloudInfra</w:t>
      </w:r>
    </w:p>
    <w:p>
      <w:pPr>
        <w:spacing w:after="150"/>
      </w:pPr>
      <w:r>
        <w:rPr>
          <w:b w:val="false"/>
          <w:bCs w:val="false"/>
          <w:i w:val="false"/>
          <w:iCs w:val="false"/>
        </w:rPr>
        <w:t xml:space="preserve">terraform-ci.yml a été modifié au Sprint 6 pour que workflow_dispatch puisse aussi déclencher un vrai apply (auparavant limité au plan) — nécessaire pour que la rotation automatisée de GHCR_PAT (scripts/rotate-ghcr-pat.ps1) puisse réellement repropager le secret sans attendre un push sur main.</w:t>
      </w:r>
    </w:p>
    <w:p>
      <w:r>
        <w:br w:type="page"/>
      </w:r>
    </w:p>
    <w:p>
      <w:pPr>
        <w:pStyle w:val="Heading1"/>
        <w:spacing w:after="200" w:before="400"/>
      </w:pPr>
      <w:r>
        <w:t xml:space="preserve">7. Modèle de données</w:t>
      </w:r>
    </w:p>
    <w:p>
      <w:pPr>
        <w:spacing w:after="150" w:before="150"/>
        <w:jc w:val="center"/>
      </w:pPr>
      <w:r>
        <w:drawing>
          <wp:inline distT="0" distB="0" distL="0" distR="0">
            <wp:extent cx="4381500" cy="460057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3" cstate="none"/>
                    <a:srcRect/>
                    <a:stretch>
                      <a:fillRect/>
                    </a:stretch>
                  </pic:blipFill>
                  <pic:spPr bwMode="auto">
                    <a:xfrm>
                      <a:off x="0" y="0"/>
                      <a:ext cx="4381500" cy="4600575"/>
                    </a:xfrm>
                    <a:prstGeom prst="rect">
                      <a:avLst/>
                    </a:prstGeom>
                  </pic:spPr>
                </pic:pic>
              </a:graphicData>
            </a:graphic>
          </wp:inline>
        </w:drawing>
      </w:r>
    </w:p>
    <w:p>
      <w:pPr>
        <w:spacing w:after="250"/>
        <w:jc w:val="center"/>
      </w:pPr>
      <w:r>
        <w:rPr>
          <w:i/>
          <w:iCs/>
          <w:sz w:val="18"/>
          <w:szCs w:val="18"/>
        </w:rPr>
        <w:t xml:space="preserve">Figure 7 — Schéma relationnel, 8 tables réelles (4 migrations EF Core)</w:t>
      </w:r>
    </w:p>
    <w:p>
      <w:pPr>
        <w:spacing w:after="150"/>
      </w:pPr>
      <w:r>
        <w:rPr>
          <w:b w:val="false"/>
          <w:bCs w:val="false"/>
          <w:i w:val="false"/>
          <w:iCs w:val="false"/>
        </w:rPr>
        <w:t xml:space="preserve">Issu de 4 migrations EF Core réelles (InitialCreate, AddAuthentication, AddCreatedAtTimestamps, AddProductStockAndCategory). Point ouvert, identifié pendant le chantier RGPD : orders.customer_id reste orphelin quand un client est supprimé (droit à l'effacement incomplet, docs/rgpd-classification-donnees.md).</w:t>
      </w:r>
    </w:p>
    <w:p>
      <w:r>
        <w:br w:type="page"/>
      </w:r>
    </w:p>
    <w:p>
      <w:pPr>
        <w:pStyle w:val="Heading1"/>
        <w:spacing w:after="200" w:before="400"/>
      </w:pPr>
      <w:r>
        <w:t xml:space="preserve">8. Gouvernance et décisions d'architecture</w:t>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1200"/>
        <w:gridCol w:w="6280"/>
        <w:gridCol w:w="2600"/>
      </w:tblGrid>
      <w:tr>
        <w:tc>
          <w:tcPr>
            <w:tcW w:type="dxa" w:w="1200"/>
            <w:shd w:fill="DCE6F1" w:val="clear"/>
          </w:tcPr>
          <w:p>
            <w:r>
              <w:rPr>
                <w:b/>
                <w:bCs/>
              </w:rPr>
              <w:t xml:space="preserve">ADR</w:t>
            </w:r>
          </w:p>
        </w:tc>
        <w:tc>
          <w:tcPr>
            <w:tcW w:type="dxa" w:w="6280"/>
            <w:shd w:fill="DCE6F1" w:val="clear"/>
          </w:tcPr>
          <w:p>
            <w:r>
              <w:rPr>
                <w:b/>
                <w:bCs/>
              </w:rPr>
              <w:t xml:space="preserve">Décision</w:t>
            </w:r>
          </w:p>
        </w:tc>
        <w:tc>
          <w:tcPr>
            <w:tcW w:type="dxa" w:w="2600"/>
            <w:shd w:fill="DCE6F1" w:val="clear"/>
          </w:tcPr>
          <w:p>
            <w:r>
              <w:rPr>
                <w:b/>
                <w:bCs/>
              </w:rPr>
              <w:t xml:space="preserve">Statut</w:t>
            </w:r>
          </w:p>
        </w:tc>
      </w:tr>
      <w:tr>
        <w:tc>
          <w:tcPr>
            <w:tcW w:type="dxa" w:w="1200"/>
          </w:tcPr>
          <w:p>
            <w:r>
              <w:rPr>
                <w:b w:val="false"/>
                <w:bCs w:val="false"/>
              </w:rPr>
              <w:t xml:space="preserve">0001</w:t>
            </w:r>
          </w:p>
        </w:tc>
        <w:tc>
          <w:tcPr>
            <w:tcW w:type="dxa" w:w="6280"/>
          </w:tcPr>
          <w:p>
            <w:r>
              <w:rPr>
                <w:b w:val="false"/>
                <w:bCs w:val="false"/>
              </w:rPr>
              <w:t xml:space="preserve">Terraform dans un repo séparé (ArkCloudInfra)</w:t>
            </w:r>
          </w:p>
        </w:tc>
        <w:tc>
          <w:tcPr>
            <w:tcW w:type="dxa" w:w="2600"/>
          </w:tcPr>
          <w:p>
            <w:r>
              <w:rPr>
                <w:b w:val="false"/>
                <w:bCs w:val="false"/>
              </w:rPr>
              <w:t xml:space="preserve">Acceptée</w:t>
            </w:r>
          </w:p>
        </w:tc>
      </w:tr>
      <w:tr>
        <w:tc>
          <w:tcPr>
            <w:tcW w:type="dxa" w:w="1200"/>
          </w:tcPr>
          <w:p>
            <w:r>
              <w:rPr>
                <w:b w:val="false"/>
                <w:bCs w:val="false"/>
              </w:rPr>
              <w:t xml:space="preserve">0002</w:t>
            </w:r>
          </w:p>
        </w:tc>
        <w:tc>
          <w:tcPr>
            <w:tcW w:type="dxa" w:w="6280"/>
          </w:tcPr>
          <w:p>
            <w:r>
              <w:rPr>
                <w:b w:val="false"/>
                <w:bCs w:val="false"/>
              </w:rPr>
              <w:t xml:space="preserve">Amazon ECR provisoire plutôt que JFrog</w:t>
            </w:r>
          </w:p>
        </w:tc>
        <w:tc>
          <w:tcPr>
            <w:tcW w:type="dxa" w:w="2600"/>
          </w:tcPr>
          <w:p>
            <w:r>
              <w:rPr>
                <w:b w:val="false"/>
                <w:bCs w:val="false"/>
              </w:rPr>
              <w:t xml:space="preserve">Acceptée</w:t>
            </w:r>
          </w:p>
        </w:tc>
      </w:tr>
      <w:tr>
        <w:tc>
          <w:tcPr>
            <w:tcW w:type="dxa" w:w="1200"/>
          </w:tcPr>
          <w:p>
            <w:r>
              <w:rPr>
                <w:b w:val="false"/>
                <w:bCs w:val="false"/>
              </w:rPr>
              <w:t xml:space="preserve">0003</w:t>
            </w:r>
          </w:p>
        </w:tc>
        <w:tc>
          <w:tcPr>
            <w:tcW w:type="dxa" w:w="6280"/>
          </w:tcPr>
          <w:p>
            <w:r>
              <w:rPr>
                <w:b w:val="false"/>
                <w:bCs w:val="false"/>
              </w:rPr>
              <w:t xml:space="preserve">Certificat auto-signé sur l'ALB AWS</w:t>
            </w:r>
          </w:p>
        </w:tc>
        <w:tc>
          <w:tcPr>
            <w:tcW w:type="dxa" w:w="2600"/>
          </w:tcPr>
          <w:p>
            <w:r>
              <w:rPr>
                <w:b w:val="false"/>
                <w:bCs w:val="false"/>
              </w:rPr>
              <w:t xml:space="preserve">Acceptée (temporaire)</w:t>
            </w:r>
          </w:p>
        </w:tc>
      </w:tr>
      <w:tr>
        <w:tc>
          <w:tcPr>
            <w:tcW w:type="dxa" w:w="1200"/>
          </w:tcPr>
          <w:p>
            <w:r>
              <w:rPr>
                <w:b w:val="false"/>
                <w:bCs w:val="false"/>
              </w:rPr>
              <w:t xml:space="preserve">0004</w:t>
            </w:r>
          </w:p>
        </w:tc>
        <w:tc>
          <w:tcPr>
            <w:tcW w:type="dxa" w:w="6280"/>
          </w:tcPr>
          <w:p>
            <w:r>
              <w:rPr>
                <w:b w:val="false"/>
                <w:bCs w:val="false"/>
              </w:rPr>
              <w:t xml:space="preserve">Rotation automatique sélective des secrets</w:t>
            </w:r>
          </w:p>
        </w:tc>
        <w:tc>
          <w:tcPr>
            <w:tcW w:type="dxa" w:w="2600"/>
          </w:tcPr>
          <w:p>
            <w:r>
              <w:rPr>
                <w:b w:val="false"/>
                <w:bCs w:val="false"/>
              </w:rPr>
              <w:t xml:space="preserve">Acceptée</w:t>
            </w:r>
          </w:p>
        </w:tc>
      </w:tr>
      <w:tr>
        <w:tc>
          <w:tcPr>
            <w:tcW w:type="dxa" w:w="1200"/>
          </w:tcPr>
          <w:p>
            <w:r>
              <w:rPr>
                <w:b w:val="false"/>
                <w:bCs w:val="false"/>
              </w:rPr>
              <w:t xml:space="preserve">0005</w:t>
            </w:r>
          </w:p>
        </w:tc>
        <w:tc>
          <w:tcPr>
            <w:tcW w:type="dxa" w:w="6280"/>
          </w:tcPr>
          <w:p>
            <w:r>
              <w:rPr>
                <w:b w:val="false"/>
                <w:bCs w:val="false"/>
              </w:rPr>
              <w:t xml:space="preserve">Architecture cible Azure/AWS — primaire + DR</w:t>
            </w:r>
          </w:p>
        </w:tc>
        <w:tc>
          <w:tcPr>
            <w:tcW w:type="dxa" w:w="2600"/>
          </w:tcPr>
          <w:p>
            <w:r>
              <w:rPr>
                <w:b w:val="false"/>
                <w:bCs w:val="false"/>
              </w:rPr>
              <w:t xml:space="preserve">Acceptée (migration non commencée)</w:t>
            </w:r>
          </w:p>
        </w:tc>
      </w:tr>
      <w:tr>
        <w:tc>
          <w:tcPr>
            <w:tcW w:type="dxa" w:w="1200"/>
          </w:tcPr>
          <w:p>
            <w:r>
              <w:rPr>
                <w:b w:val="false"/>
                <w:bCs w:val="false"/>
              </w:rPr>
              <w:t xml:space="preserve">0007</w:t>
            </w:r>
          </w:p>
        </w:tc>
        <w:tc>
          <w:tcPr>
            <w:tcW w:type="dxa" w:w="6280"/>
          </w:tcPr>
          <w:p>
            <w:r>
              <w:rPr>
                <w:b w:val="false"/>
                <w:bCs w:val="false"/>
              </w:rPr>
              <w:t xml:space="preserve">GHCR_PAT — risque accepté</w:t>
            </w:r>
          </w:p>
        </w:tc>
        <w:tc>
          <w:tcPr>
            <w:tcW w:type="dxa" w:w="2600"/>
          </w:tcPr>
          <w:p>
            <w:r>
              <w:rPr>
                <w:b w:val="false"/>
                <w:bCs w:val="false"/>
              </w:rPr>
              <w:t xml:space="preserve">Acceptée</w:t>
            </w:r>
          </w:p>
        </w:tc>
      </w:tr>
      <w:tr>
        <w:tc>
          <w:tcPr>
            <w:tcW w:type="dxa" w:w="1200"/>
          </w:tcPr>
          <w:p>
            <w:r>
              <w:rPr>
                <w:b w:val="false"/>
                <w:bCs w:val="false"/>
              </w:rPr>
              <w:t xml:space="preserve">0008</w:t>
            </w:r>
          </w:p>
        </w:tc>
        <w:tc>
          <w:tcPr>
            <w:tcW w:type="dxa" w:w="6280"/>
          </w:tcPr>
          <w:p>
            <w:r>
              <w:rPr>
                <w:b w:val="false"/>
                <w:bCs w:val="false"/>
              </w:rPr>
              <w:t xml:space="preserve">Rate limiting applicatif seul, rien en infra</w:t>
            </w:r>
          </w:p>
        </w:tc>
        <w:tc>
          <w:tcPr>
            <w:tcW w:type="dxa" w:w="2600"/>
          </w:tcPr>
          <w:p>
            <w:r>
              <w:rPr>
                <w:b w:val="false"/>
                <w:bCs w:val="false"/>
              </w:rPr>
              <w:t xml:space="preserve">Acceptée (temporaire)</w:t>
            </w:r>
          </w:p>
        </w:tc>
      </w:tr>
      <w:tr>
        <w:tc>
          <w:tcPr>
            <w:tcW w:type="dxa" w:w="1200"/>
          </w:tcPr>
          <w:p>
            <w:r>
              <w:rPr>
                <w:b w:val="false"/>
                <w:bCs w:val="false"/>
              </w:rPr>
              <w:t xml:space="preserve">0009</w:t>
            </w:r>
          </w:p>
        </w:tc>
        <w:tc>
          <w:tcPr>
            <w:tcW w:type="dxa" w:w="6280"/>
          </w:tcPr>
          <w:p>
            <w:r>
              <w:rPr>
                <w:b w:val="false"/>
                <w:bCs w:val="false"/>
              </w:rPr>
              <w:t xml:space="preserve">Stratégie de branches et de versionning</w:t>
            </w:r>
          </w:p>
        </w:tc>
        <w:tc>
          <w:tcPr>
            <w:tcW w:type="dxa" w:w="2600"/>
          </w:tcPr>
          <w:p>
            <w:r>
              <w:rPr>
                <w:b w:val="false"/>
                <w:bCs w:val="false"/>
              </w:rPr>
              <w:t xml:space="preserve">Acceptée</w:t>
            </w:r>
          </w:p>
        </w:tc>
      </w:tr>
    </w:tbl>
    <w:p>
      <w:pPr>
        <w:spacing w:after="200"/>
      </w:pPr>
    </w:p>
    <w:p>
      <w:pPr>
        <w:spacing w:after="150"/>
      </w:pPr>
      <w:r>
        <w:rPr>
          <w:b w:val="false"/>
          <w:bCs w:val="false"/>
          <w:i/>
          <w:iCs/>
        </w:rPr>
        <w:t xml:space="preserve">(0006 réservée — la rotation Jwt:Key est couverte par l'ADR-0004, le numéro n'est pas réattribué.)</w:t>
      </w:r>
    </w:p>
    <w:p>
      <w:pPr>
        <w:spacing w:after="150"/>
      </w:pPr>
      <w:r>
        <w:rPr>
          <w:b w:val="false"/>
          <w:bCs w:val="false"/>
          <w:i w:val="false"/>
          <w:iCs w:val="false"/>
        </w:rPr>
        <w:t xml:space="preserve">Outillage qualité/architecture (Sprint 6, en cours) : ArchUnitNET (fitness functions de couche, en CI), infracost (garde-fou coût sur les plans Terraform), essai NDepend (28 jours, ne sera pas conservé au-delà — un faux positif connu du style top-level statements y a été trouvé et documenté plutôt que corrigé). SonarQube/SonarCloud, Snyk et Renovate restent à mettre en place, un par un.</w:t>
      </w:r>
    </w:p>
    <w:p>
      <w:r>
        <w:br w:type="page"/>
      </w:r>
    </w:p>
    <w:p>
      <w:pPr>
        <w:pStyle w:val="Heading1"/>
        <w:spacing w:after="200" w:before="400"/>
      </w:pPr>
      <w:r>
        <w:t xml:space="preserve">9. Prochaines étapes (Sprint 6, reste à faire)</w:t>
      </w:r>
    </w:p>
    <w:p>
      <w:pPr>
        <w:pStyle w:val="ListParagraph"/>
        <w:numPr>
          <w:ilvl w:val="0"/>
          <w:numId w:val="1"/>
        </w:numPr>
        <w:spacing w:after="80"/>
      </w:pPr>
      <w:r>
        <w:t xml:space="preserve">Clôturer les 2 items STRIDE restants : revue des privilèges SQL (arkcloud_app, en cours), drill de restauration après rotation.</w:t>
      </w:r>
    </w:p>
    <w:p>
      <w:pPr>
        <w:pStyle w:val="ListParagraph"/>
        <w:numPr>
          <w:ilvl w:val="0"/>
          <w:numId w:val="1"/>
        </w:numPr>
        <w:spacing w:after="80"/>
      </w:pPr>
      <w:r>
        <w:t xml:space="preserve">SBOM (Syft) + signature d'images (Cosign).</w:t>
      </w:r>
    </w:p>
    <w:p>
      <w:pPr>
        <w:pStyle w:val="ListParagraph"/>
        <w:numPr>
          <w:ilvl w:val="0"/>
          <w:numId w:val="1"/>
        </w:numPr>
        <w:spacing w:after="80"/>
      </w:pPr>
      <w:r>
        <w:t xml:space="preserve">Purge automatique après la fenêtre de rétention RGPD, correction de orders.customer_id orphelin.</w:t>
      </w:r>
    </w:p>
    <w:p>
      <w:pPr>
        <w:pStyle w:val="ListParagraph"/>
        <w:numPr>
          <w:ilvl w:val="0"/>
          <w:numId w:val="1"/>
        </w:numPr>
        <w:spacing w:after="80"/>
      </w:pPr>
      <w:r>
        <w:t xml:space="preserve">SonarCloud, Snyk, Renovate.</w:t>
      </w:r>
    </w:p>
    <w:p>
      <w:pPr>
        <w:pStyle w:val="ListParagraph"/>
        <w:numPr>
          <w:ilvl w:val="0"/>
          <w:numId w:val="1"/>
        </w:numPr>
        <w:spacing w:after="80"/>
      </w:pPr>
      <w:r>
        <w:t xml:space="preserve">Merge develop → main + tag SemVer à la clôture du sprint.</w:t>
      </w:r>
    </w:p>
    <w:sectPr>
      <w:pgSz w:w="12240" w:h="15840" w:orient="portrait"/>
      <w:pgMar w:top="1080" w:right="1080" w:bottom="1080" w:left="108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image" Target="media/aadad876dc8eacf9ffdd6e551774601ce68e3a95.png"/><Relationship Id="rId8" Type="http://schemas.openxmlformats.org/officeDocument/2006/relationships/image" Target="media/a162dd23990570274ab5defea9c8b4f42975e121.png"/><Relationship Id="rId9" Type="http://schemas.openxmlformats.org/officeDocument/2006/relationships/image" Target="media/569c3bdcfaeac9c6b28d4c77107ec774829b0e16.png"/><Relationship Id="rId10" Type="http://schemas.openxmlformats.org/officeDocument/2006/relationships/image" Target="media/3ffd6a27bd0ac26b52eda296c03308e2a95f1751.png"/><Relationship Id="rId11" Type="http://schemas.openxmlformats.org/officeDocument/2006/relationships/image" Target="media/1a64f4baa9323b4697cf736443a10092b5ecd776.png"/><Relationship Id="rId12" Type="http://schemas.openxmlformats.org/officeDocument/2006/relationships/image" Target="media/5efb0675c50eeffd72e20760bbd771dd466ab8dd.png"/><Relationship Id="rId13" Type="http://schemas.openxmlformats.org/officeDocument/2006/relationships/image" Target="media/c099c581b7d2534b2740cedc8fb15ed2b53c5f4e.png"/><Relationship Id="rId14"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2026-08-26T17:38:40.126Z</dcterms:created>
  <dcterms:modified xsi:type="dcterms:W3CDTF">2026-08-26T17:38:40.126Z</dcterms:modified>
</cp:coreProperties>
</file>

<file path=docProps/custom.xml><?xml version="1.0" encoding="utf-8"?>
<Properties xmlns="http://schemas.openxmlformats.org/officeDocument/2006/custom-properties" xmlns:vt="http://schemas.openxmlformats.org/officeDocument/2006/docPropsVTypes"/>
</file>