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F4E79"/>
          <w:sz w:val="48"/>
        </w:rPr>
        <w:t>财务绩效预测研究报告</w:t>
      </w:r>
    </w:p>
    <w:p>
      <w:pPr>
        <w:jc w:val="center"/>
      </w:pPr>
      <w:r>
        <w:rPr>
          <w:rFonts w:ascii="Times New Roman" w:hAnsi="Times New Roman" w:eastAsia="黑体"/>
          <w:b w:val="0"/>
          <w:i w:val="0"/>
          <w:color w:val="666666"/>
          <w:sz w:val="28"/>
        </w:rPr>
        <w:t>基于历史季度财务序列的九目标回归、泄漏安全交叉验证与 OOF 融合</w:t>
      </w:r>
    </w:p>
    <w:p>
      <w:pPr>
        <w:pBdr>
          <w:bottom w:val="single" w:sz="8" w:space="2" w:color="1F4E79"/>
        </w:pBdr>
      </w:pP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封面信息表：研究对象与交付口径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9"/>
              </w:rPr>
              <w:t>项目</w:t>
            </w:r>
          </w:p>
        </w:tc>
        <w:tc>
          <w:tcPr>
            <w:tcW w:type="dxa" w:w="456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9"/>
              </w:rPr>
              <w:t>内容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研究任务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预测 Q0 最新季度 9 项财务指标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数据规模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训练集 1624 行 × 212 列；测试集 406 行 × 203 列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验证协议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5 折 GroupKFold；完全相同历史特征记录不跨折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最终模型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M6 逐目标 OOF 融合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OOF 平均 R²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0.8572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交付文件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Notebook、Word/PDF 报告、submission.csv、README_delivery.md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环境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Conda QuantEnv；Python 3.10.20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报告日期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2026 年 6 月 10 日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资料来源：项目自动生成结果；results/*.json。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F4E79"/>
          <w:sz w:val="36"/>
        </w:rPr>
        <w:t>目录</w:t>
      </w:r>
    </w:p>
    <w:p>
      <w:pPr>
        <w:ind w:left="567" w:right="567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/>
          <w:b w:val="0"/>
          <w:i w:val="0"/>
          <w:color w:val="666666"/>
          <w:sz w:val="20"/>
        </w:rPr>
        <w:t>目录将在 Word 中打开后自动更新。</w:t>
      </w:r>
      <w:r>
        <w:fldChar w:fldCharType="end"/>
      </w:r>
    </w:p>
    <w:p>
      <w:r>
        <w:br w:type="page"/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摘要与核心结论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本项目是九目标监督回归任务：以公司过去 10 个季度的财务序列和元数据预测 Q0 最新季度的 9 项财务指标。评估口径为 9 个目标 R² 的算术平均值。报告不使用排行榜或测试集反馈选模，所有模型、融合权重和后处理选择均来自 GroupKFold OOF 结果。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最终模型为 M6 逐目标 OOF 融合，OOF 平均 R² 为 0.8572，分折均值标准差为 0.0490。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规则基线并不弱。B4 规则融合 OOF 平均 R² 为 0.7831，说明最近季度复制、季节性复制和短趋势外推已经捕捉了大部分财务序列惯性。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CatBoost 直接预测的边际收益主要来自元数据，M3a/M3b/M3c/M3d 的 OOF 平均 R² 分别为 0.5543、0.5695、0.6084 和 0.6090；人工序列特征对直接模型的增益有限。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残差模型是核心改进。M4 在 B4 基线残差上训练，OOF 平均 R² 达到 0.8253，说明模型更擅长学习偏离历史惯性的部分，而不是直接重建公司规模。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会计一致性后处理没有被强行采用。OOF 检验显示 none 的平均 R² 最高，强制资产负债表或利润表恒等式会降低预测精度。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最困难目标是股东权益，M6 OOF R² 为 0.4009；毛利、收入、营业费用和 EBITDA 等经营类目标均超过 0.96。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1：核心结论摘要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9"/>
              </w:rPr>
              <w:t>项目</w:t>
            </w:r>
          </w:p>
        </w:tc>
        <w:tc>
          <w:tcPr>
            <w:tcW w:type="dxa" w:w="456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9"/>
              </w:rPr>
              <w:t>结论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最终模型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M6 逐目标 OOF 融合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OOF 平均 R²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0.8572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最强规则基线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B4，OOF 平均 R² 0.7831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最强单模型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M4 残差模型，OOF 平均 R² 0.8253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会计后处理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OOF 选择 none，不强制修正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submission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406 行 × 10 列；SHA256 c8c777fb68ca7d36...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资料来源：results/tables/final_model_scores.csv、results/final_submission_manifest.json。</w:t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1. 任务理解、数据结构与冻结</w:t>
      </w:r>
    </w:p>
    <w:p>
      <w:pPr>
        <w:spacing w:before="140" w:after="160"/>
        <w:pBdr>
          <w:bottom w:val="single" w:sz="8" w:space="2" w:color="5B9BD5"/>
        </w:pBdr>
      </w:pPr>
      <w:r>
        <w:rPr>
          <w:rFonts w:ascii="Times New Roman" w:hAnsi="Times New Roman" w:eastAsia="黑体"/>
          <w:b/>
          <w:i w:val="0"/>
          <w:color w:val="1F4E79"/>
          <w:sz w:val="26"/>
        </w:rPr>
        <w:t>1.1 任务口径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目标列为总资产、总负债、股东权益、毛利、营业成本、营业收入、营业利润、营业费用和 EBITDA。时间顺序为 Q10 到 Q1，再预测 Q0。Id 只作为记录标识，不进入模型特征。最终 submission 的列顺序完全沿用 sample_submission.csv。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2：数据集 schema 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数据集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行数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列数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Id唯一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缺失率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特征列</w:t>
            </w:r>
          </w:p>
        </w:tc>
        <w:tc>
          <w:tcPr>
            <w:tcW w:type="dxa" w:w="130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目标列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train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1624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212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True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5.60%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202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9</w:t>
            </w:r>
          </w:p>
        </w:tc>
      </w:tr>
      <w:tr>
        <w:tc>
          <w:tcPr>
            <w:tcW w:type="dxa" w:w="130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test</w:t>
            </w:r>
          </w:p>
        </w:tc>
        <w:tc>
          <w:tcPr>
            <w:tcW w:type="dxa" w:w="130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406</w:t>
            </w:r>
          </w:p>
        </w:tc>
        <w:tc>
          <w:tcPr>
            <w:tcW w:type="dxa" w:w="130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203</w:t>
            </w:r>
          </w:p>
        </w:tc>
        <w:tc>
          <w:tcPr>
            <w:tcW w:type="dxa" w:w="130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True</w:t>
            </w:r>
          </w:p>
        </w:tc>
        <w:tc>
          <w:tcPr>
            <w:tcW w:type="dxa" w:w="130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7.03%</w:t>
            </w:r>
          </w:p>
        </w:tc>
        <w:tc>
          <w:tcPr>
            <w:tcW w:type="dxa" w:w="130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202</w:t>
            </w:r>
          </w:p>
        </w:tc>
        <w:tc>
          <w:tcPr>
            <w:tcW w:type="dxa" w:w="130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</w:t>
            </w:r>
          </w:p>
        </w:tc>
      </w:tr>
      <w:tr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sample_submission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406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True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0.00%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资料来源：results/tables/schema_summary.csv。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3：原始文件冻结清单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3043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原始文件</w:t>
            </w:r>
          </w:p>
        </w:tc>
        <w:tc>
          <w:tcPr>
            <w:tcW w:type="dxa" w:w="3043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大小(MB)</w:t>
            </w:r>
          </w:p>
        </w:tc>
        <w:tc>
          <w:tcPr>
            <w:tcW w:type="dxa" w:w="3043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SHA256前16位</w:t>
            </w:r>
          </w:p>
        </w:tc>
      </w:tr>
      <w:tr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train.csv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3.29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fc0d1fab1ed7b597</w:t>
            </w:r>
          </w:p>
        </w:tc>
      </w:tr>
      <w:tr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test.csv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0.78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a1003ff8a6f90a97</w:t>
            </w:r>
          </w:p>
        </w:tc>
      </w:tr>
      <w:tr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sample_submission.csv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0.01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874682cab231f9e4</w:t>
            </w:r>
          </w:p>
        </w:tc>
      </w:tr>
      <w:tr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data_dictionary.txt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0.01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ba3697c21555558b</w:t>
            </w:r>
          </w:p>
        </w:tc>
      </w:tr>
      <w:tr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说明.docx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0.02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c4e71f313214b7fe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资料来源：results/input_manifest.json；完整哈希见项目 manifest。</w:t>
      </w:r>
    </w:p>
    <w:p>
      <w:pPr>
        <w:spacing w:before="140" w:after="160"/>
        <w:pBdr>
          <w:bottom w:val="single" w:sz="8" w:space="2" w:color="5B9BD5"/>
        </w:pBdr>
      </w:pPr>
      <w:r>
        <w:rPr>
          <w:rFonts w:ascii="Times New Roman" w:hAnsi="Times New Roman" w:eastAsia="黑体"/>
          <w:b/>
          <w:i w:val="0"/>
          <w:color w:val="1F4E79"/>
          <w:sz w:val="26"/>
        </w:rPr>
        <w:t>1.2 数据质量和泄漏风险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训练集和测试集均存在完全相同的历史特征记录。若使用普通 KFold，相同财务历史可能同时进入训练折和验证折，验证分数会被高估。因此全部 OOF 实验使用基于稳定特征哈希的 GroupKFold，并把重复特征记录固定在同一折。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4：重复样本与跨集特征匹配审计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范围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重复行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重复组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最大组大小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说明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train_non_id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16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10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exact duplicate rows within the same dataset scope</w:t>
            </w:r>
          </w:p>
        </w:tc>
      </w:tr>
      <w:tr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train_common_features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16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10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exact duplicate rows within the same dataset scope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test_common_features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exact duplicate rows within the same dataset scope</w:t>
            </w:r>
          </w:p>
        </w:tc>
      </w:tr>
      <w:tr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train_rows_matching_test_common_features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18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10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train rows whose common feature hash also appears in test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test_rows_matching_train_common_features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4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2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test rows whose common feature hash also appears in train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资料来源：results/tables/duplicate_summary.csv。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5：季度维度缺失率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季度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平均缺失率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中位缺失率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字段数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Q1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1.38%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0.49%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Q2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1.61%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0.74%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Q3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3.12%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1.48%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Q4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1.86%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0.99%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Q5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2.11%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1.03%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Q6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2.82%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1.63%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Q7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11.95%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10.69%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Q8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3.86%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2.66%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Q9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8.23%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7.19%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Q10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12.89%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12.32%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17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资料来源：results/tables/missing_rate_by_quarter.csv。</w:t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2. EDA：样本分布、缺失模式与目标特征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EDA 的目的不是展示图表数量，而是回答建模前的三个问题：样本结构是否稳定、缺失是否有时间规律、目标是否适合直接线性外推。结论是：行业和板块分布不均、较早季度缺失率更高，且目标分布厚尾明显。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704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ecto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4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1：板块样本分布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图表解读：板块分布决定模型能否在行业维度上稳定外推。样本并非均匀覆盖，报告后续不把行业变量视为无风险增强。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8103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industry_top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1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2：行业 Top 20 样本数量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图表解读：行业集中度较高，行业变量能提供横截面先验，但也可能放大样本内结构偏差。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81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issing_top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1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3：缺失率最高字段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图表解读：高缺失字段集中在估值、风险和远期财务项目，缺失模式本身具有信息含量。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4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issing_by_quar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4：各历史季度平均缺失率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图表解读：Q7、Q9、Q10 的平均缺失率明显抬升，说明较早季度信息质量弱于最近季度。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995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target_distribu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95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5：九个目标 signed-log 分布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图表解读：目标分布厚尾且允许负值，简单 log1p 变换会破坏符号信息。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5107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lag_correlatio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1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6：历史滞后值与 Q0 目标相关性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图表解读：最近季度和部分年度同比位置提供主要预测信息，支持 B1/B4 规则基线作为强起点。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4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accounting_identity_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7：会计恒等式误差分布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图表解读：会计关系总体有约束力，但尾部误差较重，机械修正需要 OOF 验证。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45414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target_correlation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41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8：目标变量相关性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图表解读：收入、成本、利润类指标相关性较高，权益类指标更容易受重分类和异常项目影响。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资料来源：results/tables/*.csv 与 figures/*.png 自动生成。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6：目标变量分布特征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26"/>
        <w:gridCol w:w="1826"/>
        <w:gridCol w:w="1826"/>
        <w:gridCol w:w="1826"/>
        <w:gridCol w:w="1826"/>
      </w:tblGrid>
      <w:tr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目标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中位数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标准差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正值占比</w:t>
            </w:r>
          </w:p>
        </w:tc>
        <w:tc>
          <w:tcPr>
            <w:tcW w:type="dxa" w:w="1826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偏度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总资产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631,705,500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26,366,381,533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98.28%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4.36</w:t>
            </w:r>
          </w:p>
        </w:tc>
      </w:tr>
      <w:tr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总负债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291,650,000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16,243,727,637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98.28%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7.27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股东权益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247,001,000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11,691,092,663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86.33%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0.31</w:t>
            </w:r>
          </w:p>
        </w:tc>
      </w:tr>
      <w:tr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毛利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37,557,000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1,817,922,670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89.29%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11.10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营业成本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25,135,986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3,085,667,453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82.94%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9.30</w:t>
            </w:r>
          </w:p>
        </w:tc>
      </w:tr>
      <w:tr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营业收入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92,668,000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4,041,766,683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96.37%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7.73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营业利润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-200146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631,054,264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48.40%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10.28</w:t>
            </w:r>
          </w:p>
        </w:tc>
      </w:tr>
      <w:tr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营业费用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46,144,500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1,553,039,099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99.75%</w:t>
            </w:r>
          </w:p>
        </w:tc>
        <w:tc>
          <w:tcPr>
            <w:tcW w:type="dxa" w:w="1826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15.22</w:t>
            </w:r>
          </w:p>
        </w:tc>
      </w:tr>
      <w:tr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EBITDA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-700000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1,438,215,965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45.38%</w:t>
            </w:r>
          </w:p>
        </w:tc>
        <w:tc>
          <w:tcPr>
            <w:tcW w:type="dxa" w:w="182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1.54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资料来源：results/tables/target_summary.csv。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目标分布的一个关键特征是厚尾和符号混合。营业利润正值占比约 48.40%，EBITDA 正值占比约 45.38%，说明部分目标天然跨零。这也是报告采用 signed-log 可视化、但最终模型保留原值预测的重要原因。</w:t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3. 建模路线：先规则基线，再机器学习</w:t>
      </w:r>
    </w:p>
    <w:p>
      <w:pPr>
        <w:spacing w:before="140" w:after="160"/>
        <w:pBdr>
          <w:bottom w:val="single" w:sz="8" w:space="2" w:color="5B9BD5"/>
        </w:pBdr>
      </w:pPr>
      <w:r>
        <w:rPr>
          <w:rFonts w:ascii="Times New Roman" w:hAnsi="Times New Roman" w:eastAsia="黑体"/>
          <w:b/>
          <w:i w:val="0"/>
          <w:color w:val="1F4E79"/>
          <w:sz w:val="26"/>
        </w:rPr>
        <w:t>3.1 规则基线的解释价值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财务报表具有明显的序列惯性。若最近季度复制已经很强，机器学习模型必须证明自己能够学习额外信息；否则复杂模型只是重述最近一期。B4 逐目标融合 B1、B2 和 B3，OOF 平均 R² 达到 0.7831，是后续模型和报告叙事的基准线。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7：主要实验 OOF 结果汇总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实验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定位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OOF均值R²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分折均值标准差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B0 均值预测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指标校验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-0.0012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0.0040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B1 最近季度复制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最近季度规则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0.7226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0.1033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B2 季节性复制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季节性规则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0.3315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0.4688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B3 短趋势外推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趋势规则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0.5004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0.2116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B4 规则基线融合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规则基线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0.7831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0.1291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M1 Ridge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线性对照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0.7314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0.1903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M2 HistGBR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非线性对照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0.4972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0.1145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M4 CatBoost 残差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残差主模型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0.8252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1.1203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M3a CatBoost 直接：历史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直预测消融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0.5543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0.7004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M3b CatBoost 直接：历史+行业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行业消融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0.5695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2.1825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M3c CatBoost 直接：历史+元数据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元数据消融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0.6084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1.3768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M3d CatBoost 直接：工程特征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特征工程消融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0.6090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0.4335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M6 逐目标 OOF 融合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最终模型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0.8572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0.0490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资料来源：results/tables/all_model_scores.csv、results/experiment_log.csv。</w:t>
      </w:r>
    </w:p>
    <w:p>
      <w:pPr>
        <w:spacing w:before="140" w:after="160"/>
        <w:pBdr>
          <w:bottom w:val="single" w:sz="8" w:space="2" w:color="5B9BD5"/>
        </w:pBdr>
      </w:pPr>
      <w:r>
        <w:rPr>
          <w:rFonts w:ascii="Times New Roman" w:hAnsi="Times New Roman" w:eastAsia="黑体"/>
          <w:b/>
          <w:i w:val="0"/>
          <w:color w:val="1F4E79"/>
          <w:sz w:val="26"/>
        </w:rPr>
        <w:t>3.2 元数据消融和残差建模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CatBoost 直接模型的消融结果显示，行业分类只带来小幅改善，完整元数据的贡献更明显；但工程化序列特征对直接预测的均值提升很小。原因在于九个目标的量级差异较大，直接模型需要同时处理公司规模、行业结构和时间趋势，任务负担较重。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残差建模把任务拆为两层：先由 B4 解释稳定的历史惯性，再由 CatBoost 学习偏离惯性的部分。这种拆法降低了模型直接学习公司绝对规模的压力，M4 平均 R² 从 M3d 的 0.6090 提升到 0.8253。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9866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model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86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9：模型 OOF 平均 R² 对比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图表解读：规则融合、残差建模和逐目标 OOF 融合依次提升，最终模型不是单一算法结果。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资料来源：results/tables/all_model_scores.csv。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627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target_score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27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10：各目标 OOF R² 热力图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图表解读：目标难度差异显著，股东权益是主要短板，费用、毛利和收入类目标稳定性更高。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资料来源：results/tables/all_model_scores.csv。</w:t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4. 最终融合：逐目标选择模型来源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最终模型不使用统一权重。每个目标在 OOF 上独立搜索 B4、M3d 和 M4 的融合权重，目标函数为该目标的 R²。这一设计符合任务评价方式：先逐目标计算 R²，再取算术平均值。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8：最终模型各目标 R² 与融合权重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2"/>
        <w:gridCol w:w="2282"/>
        <w:gridCol w:w="2282"/>
        <w:gridCol w:w="2282"/>
      </w:tblGrid>
      <w:tr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目标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字段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M6 OOF R²</w:t>
            </w:r>
          </w:p>
        </w:tc>
        <w:tc>
          <w:tcPr>
            <w:tcW w:type="dxa" w:w="2282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6"/>
              </w:rPr>
              <w:t>融合权重(B4/M3d/M4)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总资产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Q0_TOTAL_ASSETS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0.7035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0.00,0.40,0.60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总负债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Q0_TOTAL_LIABILITIES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0.9112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0.00,0.00,1.00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股东权益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Q0_TOTAL_STOCKHOLDERS_EQUITY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0.4009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0.00,1.00,0.00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毛利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Q0_GROSS_PROFIT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0.9841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0.00,0.00,1.00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营业成本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Q0_COST_OF_REVENUES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0.9644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0.00,0.00,1.00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营业收入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Q0_REVENUES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0.9729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0.30,0.00,0.70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营业利润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Q0_OPERATING_INCOME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0.8268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0.00,0.00,1.00</w:t>
            </w:r>
          </w:p>
        </w:tc>
      </w:tr>
      <w:tr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营业费用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Q0_OPERATING_EXPENSES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0.9874</w:t>
            </w:r>
          </w:p>
        </w:tc>
        <w:tc>
          <w:tcPr>
            <w:tcW w:type="dxa" w:w="2282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0.97,0.03,0.00</w:t>
            </w:r>
          </w:p>
        </w:tc>
      </w:tr>
      <w:tr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EBITDA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Q0_EBITDA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0.9638</w:t>
            </w:r>
          </w:p>
        </w:tc>
        <w:tc>
          <w:tcPr>
            <w:tcW w:type="dxa" w:w="228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6"/>
              </w:rPr>
              <w:t>0.00,0.00,1.00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资料来源：results/tables/blend_scores.csv、results/tables/final_model_scores.csv。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融合权重揭示了目标结构差异。总负债、毛利、营业成本、营业利润和 EBITDA 完全依赖残差模型；股东权益完全依赖 M3d 直接模型；营业费用主要沿用 B4 规则基线。这说明不同财务项目的信息来源不同，统一建模路线会损失目标层面的稳定性。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43918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oof_scat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9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11：OOF 真实值与预测值散点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图表解读：signed-log 空间下大部分样本沿对角线分布，尾部公司仍是主要误差来源。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资料来源：results/oof/m6_oof_blend.csv、results/tables/blend_scores.csv。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4830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residual_distrib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12：OOF 残差分布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图表解读：残差分布显示多数目标误差集中，但权益和资产端残差尾部更宽。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资料来源：results/oof/m6_oof_blend.csv、results/tables/blend_scores.csv。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24830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blend_weigh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图 13：逐目标 OOF 融合权重</w:t>
      </w:r>
    </w:p>
    <w:p>
      <w:pPr>
        <w:spacing w:lineRule="exact" w:line="360" w:after="40"/>
        <w:jc w:val="both"/>
      </w:pPr>
      <w:r>
        <w:rPr>
          <w:rFonts w:ascii="Times New Roman" w:hAnsi="Times New Roman" w:eastAsia="宋体"/>
          <w:b w:val="0"/>
          <w:i w:val="0"/>
          <w:color w:val="666666"/>
          <w:sz w:val="19"/>
        </w:rPr>
        <w:t>图表解读：不同目标依赖的模型来源不同，统一权重会掩盖目标层面的结构差异。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资料来源：results/oof/m6_oof_blend.csv、results/tables/blend_scores.csv。</w:t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5. 会计一致性后处理：为什么选择不修正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资产负债表和利润表恒等式是重要的财务约束，但预测任务的评价指标是逐目标 R²。若强制修正能提升报表逻辑却显著降低 OOF R²，则不应进入最终提交。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9：会计一致性后处理 OOF 检验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64"/>
        <w:gridCol w:w="4564"/>
      </w:tblGrid>
      <w:tr>
        <w:tc>
          <w:tcPr>
            <w:tcW w:type="dxa" w:w="456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后处理方案</w:t>
            </w:r>
          </w:p>
        </w:tc>
        <w:tc>
          <w:tcPr>
            <w:tcW w:type="dxa" w:w="4564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平均R²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none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0.8572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balance_sheet_equity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0.8367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gross_profit_identity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0.8547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operating_income_identity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0.3626</w:t>
            </w:r>
          </w:p>
        </w:tc>
      </w:tr>
      <w:tr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income_statement_identity</w:t>
            </w:r>
          </w:p>
        </w:tc>
        <w:tc>
          <w:tcPr>
            <w:tcW w:type="dxa" w:w="45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0.3421</w:t>
            </w:r>
          </w:p>
        </w:tc>
      </w:tr>
      <w:tr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balance_and_income_identity</w:t>
            </w:r>
          </w:p>
        </w:tc>
        <w:tc>
          <w:tcPr>
            <w:tcW w:type="dxa" w:w="4564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0.3217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资料来源：results/tables/accounting_postprocess_scores.csv。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结果显示，none 的平均 R² 为 0.8572，是所有方案中最高。强制 balance_sheet_equity 会把股东权益 R² 从 0.4009 降至 0.2165；强制 operating_income_identity 则会使营业利润 R² 大幅转负。最终提交不做机械会计修正。</w:t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6. 可复现性、交付验证与风险提示</w:t>
      </w:r>
    </w:p>
    <w:p>
      <w:pPr>
        <w:spacing w:before="140" w:after="160"/>
        <w:pBdr>
          <w:bottom w:val="single" w:sz="8" w:space="2" w:color="5B9BD5"/>
        </w:pBdr>
      </w:pPr>
      <w:r>
        <w:rPr>
          <w:rFonts w:ascii="Times New Roman" w:hAnsi="Times New Roman" w:eastAsia="黑体"/>
          <w:b/>
          <w:i w:val="0"/>
          <w:color w:val="1F4E79"/>
          <w:sz w:val="26"/>
        </w:rPr>
        <w:t>6.1 交付验证</w:t>
      </w:r>
    </w:p>
    <w:p>
      <w:pPr>
        <w:keepNext/>
        <w:jc w:val="center"/>
      </w:pPr>
      <w:r>
        <w:rPr>
          <w:rFonts w:ascii="Times New Roman" w:hAnsi="Times New Roman" w:eastAsia="黑体"/>
          <w:b/>
          <w:i w:val="0"/>
          <w:color w:val="1F4E79"/>
          <w:sz w:val="20"/>
        </w:rPr>
        <w:t>表 10：交付物和验证状态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c>
          <w:tcPr>
            <w:tcW w:type="dxa" w:w="3043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交付项</w:t>
            </w:r>
          </w:p>
        </w:tc>
        <w:tc>
          <w:tcPr>
            <w:tcW w:type="dxa" w:w="3043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路径</w:t>
            </w:r>
          </w:p>
        </w:tc>
        <w:tc>
          <w:tcPr>
            <w:tcW w:type="dxa" w:w="3043"/>
            <w:shd w:fill="D9EAF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222222"/>
                <w:sz w:val="17"/>
              </w:rPr>
              <w:t>校验</w:t>
            </w:r>
          </w:p>
        </w:tc>
      </w:tr>
      <w:tr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Notebook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deliverables/financial_performance_prediction_final.ipynb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0e4fea2cc080b0a2</w:t>
            </w:r>
          </w:p>
        </w:tc>
      </w:tr>
      <w:tr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Word 报告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deliverables/financial_performance_prediction_report.docx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本次构建后写入 report_manifest</w:t>
            </w:r>
          </w:p>
        </w:tc>
      </w:tr>
      <w:tr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PDF 预览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deliverables/financial_performance_prediction_report.pdf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本次导出后写入 report_manifest</w:t>
            </w:r>
          </w:p>
        </w:tc>
      </w:tr>
      <w:tr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submission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deliverables/submission.csv</w:t>
            </w:r>
          </w:p>
        </w:tc>
        <w:tc>
          <w:tcPr>
            <w:tcW w:type="dxa" w:w="3043"/>
            <w:shd w:fill="F7F9FC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c8c777fb68ca7d36</w:t>
            </w:r>
          </w:p>
        </w:tc>
      </w:tr>
      <w:tr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验收状态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scripts/validate_delivery.py</w:t>
            </w:r>
          </w:p>
        </w:tc>
        <w:tc>
          <w:tcPr>
            <w:tcW w:type="dxa" w:w="304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7"/>
              </w:rPr>
              <w:t>PASS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i/>
          <w:color w:val="666666"/>
          <w:sz w:val="17"/>
        </w:rPr>
        <w:t>资料来源：results/delivery_validation.json、results/package_manifest.json。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全部自动化命令使用 QuantEnv。最终验收检查覆盖原始文件哈希、submission 行列和列顺序、Notebook 执行、DOCX/PDF 存在性和实验日志完整性。</w:t>
      </w:r>
    </w:p>
    <w:p>
      <w:pPr>
        <w:spacing w:before="140" w:after="160"/>
        <w:pBdr>
          <w:bottom w:val="single" w:sz="8" w:space="2" w:color="5B9BD5"/>
        </w:pBdr>
      </w:pPr>
      <w:r>
        <w:rPr>
          <w:rFonts w:ascii="Times New Roman" w:hAnsi="Times New Roman" w:eastAsia="黑体"/>
          <w:b/>
          <w:i w:val="0"/>
          <w:color w:val="1F4E79"/>
          <w:sz w:val="26"/>
        </w:rPr>
        <w:t>6.2 风险提示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样本量只有 1,624 条训练记录，九个目标均存在厚尾样本；高 R² 不能等同于对所有尾部公司的精确预测。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股东权益目标仍是短板，M6 OOF R² 为 0.4009。该目标可能受重分类、非经常性项目和会计调整影响，历史序列解释力弱于经营类指标。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元数据来自同一数据文件且 train/test 均提供，允许用于主模型；但若未来应用场景无法在预测时获得同等元数据，模型表现需要重新评估。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LightGBM、XGBoost 和 Optuna 未用于最终路线。该选择是为了避免无必要地改动长期使用的 QuantEnv，不代表这些方法无价值。</w:t>
      </w:r>
    </w:p>
    <w:p>
      <w:pPr>
        <w:pStyle w:val="ListBullet"/>
        <w:spacing w:lineRule="exact" w:line="340" w:after="6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会计恒等式没有强制写入 submission。报告已在 OOF 上验证强制修正会降低目标 R²，最终以比赛评价指标和可复现验证为准。</w:t>
      </w:r>
    </w:p>
    <w:p>
      <w:pPr>
        <w:spacing w:before="200" w:after="160"/>
        <w:jc w:val="center"/>
      </w:pPr>
      <w:r>
        <w:rPr>
          <w:rFonts w:ascii="Times New Roman" w:hAnsi="Times New Roman" w:eastAsia="黑体"/>
          <w:b/>
          <w:i w:val="0"/>
          <w:color w:val="1F4E79"/>
          <w:sz w:val="34"/>
        </w:rPr>
        <w:t>7. 结论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本项目的有效路线可以概括为：用财务序列规则基线解释稳定惯性，用残差模型学习偏离惯性的部分，再按目标在 OOF 上融合。该路线同时满足课程要求中的 EDA、分析过程、机器学习训练、交叉验证和 submission 生成。</w:t>
      </w:r>
    </w:p>
    <w:p>
      <w:pPr>
        <w:spacing w:lineRule="exact" w:line="360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从结果看，最终模型的优势并非来自单一算法，而来自验证协议和任务拆解：GroupKFold 控制重复样本泄漏，B4 提供强规则基线，M4 提升残差解释，M6 再按目标选择最合适的信息来源。在不使用测试集反馈和不手工调整报告数字的前提下，M6 是当前最稳健的交付版本。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89" w:bottom="1219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66666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666666"/>
        <w:sz w:val="18"/>
      </w:rPr>
      <w:t>财务绩效预测研究报告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